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99" w:rsidRDefault="00597C99">
      <w:pPr>
        <w:spacing w:line="480" w:lineRule="exact"/>
        <w:jc w:val="left"/>
        <w:rPr>
          <w:rStyle w:val="NormalCharacter"/>
          <w:rFonts w:ascii="Times New Roman" w:eastAsia="楷体" w:hAnsi="Times New Roman" w:cs="Times New Roman"/>
          <w:bCs/>
          <w:sz w:val="28"/>
          <w:szCs w:val="28"/>
        </w:rPr>
      </w:pPr>
    </w:p>
    <w:p w:rsidR="00597C99" w:rsidRPr="00E418E6" w:rsidRDefault="001E3992" w:rsidP="00E418E6">
      <w:pPr>
        <w:spacing w:line="480" w:lineRule="exact"/>
        <w:jc w:val="center"/>
        <w:rPr>
          <w:rFonts w:ascii="方正小标宋简体" w:eastAsia="方正小标宋简体" w:hAnsi="Times New Roman" w:cs="Times New Roman"/>
          <w:bCs/>
          <w:sz w:val="32"/>
          <w:szCs w:val="32"/>
        </w:rPr>
      </w:pP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五华县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2021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年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1-5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z w:val="32"/>
          <w:szCs w:val="32"/>
        </w:rPr>
        <w:t>月份经济运行</w:t>
      </w:r>
      <w:r>
        <w:rPr>
          <w:rStyle w:val="NormalCharacter"/>
          <w:rFonts w:ascii="方正小标宋简体" w:eastAsia="方正小标宋简体" w:hAnsi="Times New Roman" w:cs="Times New Roman" w:hint="eastAsia"/>
          <w:bCs/>
          <w:spacing w:val="20"/>
          <w:sz w:val="32"/>
          <w:szCs w:val="32"/>
        </w:rPr>
        <w:t>情况简析</w:t>
      </w:r>
    </w:p>
    <w:p w:rsidR="00597C99" w:rsidRDefault="00597C99">
      <w:pPr>
        <w:spacing w:line="480" w:lineRule="exact"/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</w:pPr>
    </w:p>
    <w:p w:rsidR="00597C99" w:rsidRDefault="001E399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1-5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/>
          <w:sz w:val="28"/>
          <w:szCs w:val="28"/>
        </w:rPr>
        <w:t>，我县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继续加快项目投资建设，落实暖企稳企措施，促进企业稳产扩产，</w:t>
      </w:r>
      <w:r>
        <w:rPr>
          <w:rFonts w:ascii="Times New Roman" w:eastAsia="方正仿宋简体" w:hAnsi="Times New Roman" w:cs="Times New Roman"/>
          <w:sz w:val="28"/>
          <w:szCs w:val="28"/>
        </w:rPr>
        <w:t>国民经济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持续向好，</w:t>
      </w:r>
      <w:r>
        <w:rPr>
          <w:rFonts w:ascii="Times New Roman" w:eastAsia="方正仿宋简体" w:hAnsi="Times New Roman" w:cs="Times New Roman"/>
          <w:sz w:val="28"/>
          <w:szCs w:val="28"/>
        </w:rPr>
        <w:t>固定资产投资、规模以上工业增加值、社会消费品零售总额、一般公共预算收入、税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收</w:t>
      </w:r>
      <w:r>
        <w:rPr>
          <w:rFonts w:ascii="Times New Roman" w:eastAsia="方正仿宋简体" w:hAnsi="Times New Roman" w:cs="Times New Roman"/>
          <w:sz w:val="28"/>
          <w:szCs w:val="28"/>
        </w:rPr>
        <w:t>收入、全社会用电量、外贸进出口总额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等</w:t>
      </w:r>
      <w:r>
        <w:rPr>
          <w:rFonts w:ascii="Times New Roman" w:eastAsia="方正仿宋简体" w:hAnsi="Times New Roman" w:cs="Times New Roman"/>
          <w:sz w:val="28"/>
          <w:szCs w:val="28"/>
        </w:rPr>
        <w:t>主要经济指标均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实现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12.8%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以上的</w:t>
      </w:r>
      <w:r>
        <w:rPr>
          <w:rFonts w:ascii="Times New Roman" w:eastAsia="方正仿宋简体" w:hAnsi="Times New Roman" w:cs="Times New Roman"/>
          <w:sz w:val="28"/>
          <w:szCs w:val="28"/>
        </w:rPr>
        <w:t>同比增长，金融业平稳运行。主要特点如下：</w:t>
      </w:r>
    </w:p>
    <w:p w:rsidR="00597C99" w:rsidRDefault="001E399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一、</w:t>
      </w:r>
      <w:r>
        <w:rPr>
          <w:rFonts w:ascii="黑体" w:eastAsia="黑体" w:hAnsi="黑体" w:cs="Times New Roman" w:hint="eastAsia"/>
          <w:sz w:val="28"/>
          <w:szCs w:val="28"/>
        </w:rPr>
        <w:t>房地产开发投资力度加快加大</w:t>
      </w:r>
      <w:r>
        <w:rPr>
          <w:rFonts w:ascii="黑体" w:eastAsia="黑体" w:hAnsi="黑体" w:cs="Times New Roman"/>
          <w:sz w:val="28"/>
          <w:szCs w:val="28"/>
        </w:rPr>
        <w:t>，固定资产投资</w:t>
      </w:r>
      <w:r>
        <w:rPr>
          <w:rFonts w:ascii="黑体" w:eastAsia="黑体" w:hAnsi="黑体" w:cs="Times New Roman" w:hint="eastAsia"/>
          <w:sz w:val="28"/>
          <w:szCs w:val="28"/>
        </w:rPr>
        <w:t>快速</w:t>
      </w:r>
      <w:r>
        <w:rPr>
          <w:rFonts w:ascii="黑体" w:eastAsia="黑体" w:hAnsi="黑体" w:cs="Times New Roman"/>
          <w:sz w:val="28"/>
          <w:szCs w:val="28"/>
        </w:rPr>
        <w:t>增长。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月，全县完成固定资产投资同比增长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38.8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％，比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27.2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20.2%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，总量和增速均排全市第一。分类型看：房地产开发投资增长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139.1%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、占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固定资产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投资总额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49.4%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，工业投资增长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13.4%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，交通业投资增长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12.7%(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其中“高速公路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+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高铁”投资增长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64.2%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），市政等其他项目投资下降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40.2%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597C99" w:rsidRDefault="001E399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二、工业生产保持较快增长，但与</w:t>
      </w:r>
      <w:r>
        <w:rPr>
          <w:rFonts w:ascii="黑体" w:eastAsia="黑体" w:hAnsi="黑体" w:cs="Times New Roman" w:hint="eastAsia"/>
          <w:sz w:val="28"/>
          <w:szCs w:val="28"/>
        </w:rPr>
        <w:t>兄弟县区仍</w:t>
      </w:r>
      <w:r>
        <w:rPr>
          <w:rFonts w:ascii="黑体" w:eastAsia="黑体" w:hAnsi="黑体" w:cs="Times New Roman"/>
          <w:sz w:val="28"/>
          <w:szCs w:val="28"/>
        </w:rPr>
        <w:t>有差距。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月，全县完成规模以上工业总产值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12.97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21.3%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11.2%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。实现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规模以上工业增加值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2.29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18.8%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3.6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3.3%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，总量和增速均排全市第八；增速比排名第一的梅县区（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46.6%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27.8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个百分点，比排名第七的丰顺县（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19%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）低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分门类看：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制造业增加值为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2.13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19%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93.0%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；电力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热力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燃气及水的生产和供应业增加值为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0.16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15.5%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7.0%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597C99" w:rsidRDefault="001E399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pacing w:val="-4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三、</w:t>
      </w:r>
      <w:r>
        <w:rPr>
          <w:rFonts w:ascii="黑体" w:eastAsia="黑体" w:hAnsi="黑体" w:cs="Times New Roman"/>
          <w:spacing w:val="-4"/>
          <w:sz w:val="28"/>
          <w:szCs w:val="28"/>
        </w:rPr>
        <w:t>消费市场持续恢复，</w:t>
      </w:r>
      <w:r>
        <w:rPr>
          <w:rFonts w:ascii="黑体" w:eastAsia="黑体" w:hAnsi="黑体" w:cs="Times New Roman" w:hint="eastAsia"/>
          <w:spacing w:val="-4"/>
          <w:sz w:val="28"/>
          <w:szCs w:val="28"/>
        </w:rPr>
        <w:t>城镇</w:t>
      </w:r>
      <w:r>
        <w:rPr>
          <w:rFonts w:ascii="黑体" w:eastAsia="黑体" w:hAnsi="黑体" w:cs="Times New Roman"/>
          <w:spacing w:val="-4"/>
          <w:sz w:val="28"/>
          <w:szCs w:val="28"/>
        </w:rPr>
        <w:t>消费</w:t>
      </w:r>
      <w:r>
        <w:rPr>
          <w:rFonts w:ascii="黑体" w:eastAsia="黑体" w:hAnsi="黑体" w:cs="Times New Roman" w:hint="eastAsia"/>
          <w:spacing w:val="-4"/>
          <w:sz w:val="28"/>
          <w:szCs w:val="28"/>
        </w:rPr>
        <w:t>增速高于农村</w:t>
      </w:r>
      <w:r>
        <w:rPr>
          <w:rFonts w:ascii="黑体" w:eastAsia="黑体" w:hAnsi="黑体" w:cs="Times New Roman"/>
          <w:spacing w:val="-4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1-5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，全县完成社会消费品零售总额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36.05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18.2%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0.4%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，总量排全市第四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、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增速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排全市第三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。从消费类型看：商品零售总额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32.20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17.8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89.3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；餐饮收入总额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3.85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21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10.7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；住餐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业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仍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未达疫前水平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。从经营地看：城镇消费总额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27.38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18.6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76.0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；乡村消费总额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8.67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lastRenderedPageBreak/>
        <w:t>亿元、同比增长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16.9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，占比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24.0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；城镇消费增速比农村高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1.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7</w:t>
      </w:r>
      <w:r>
        <w:rPr>
          <w:rFonts w:ascii="Times New Roman" w:eastAsia="方正仿宋简体" w:hAnsi="Times New Roman" w:cs="Times New Roman"/>
          <w:spacing w:val="-4"/>
          <w:sz w:val="28"/>
          <w:szCs w:val="28"/>
        </w:rPr>
        <w:t>个百分点。</w:t>
      </w:r>
    </w:p>
    <w:p w:rsidR="00597C99" w:rsidRDefault="001E399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pacing w:val="-4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四、财税收入保持较快增长。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1-5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月，全县实现地方一般公共预算收入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4.79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12.8%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4.6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10.5%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，总量排全市第二、增速排全市第三。全县完成税收收入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9.10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16.3%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月高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0.3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1.9%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；其中县级收入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3.44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亿元、同比增长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20.9%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月高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1.2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个百分点。</w:t>
      </w:r>
    </w:p>
    <w:p w:rsidR="00597C99" w:rsidRDefault="001E399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五、工业用电量保持</w:t>
      </w:r>
      <w:r>
        <w:rPr>
          <w:rFonts w:ascii="黑体" w:eastAsia="黑体" w:hAnsi="黑体" w:cs="Times New Roman" w:hint="eastAsia"/>
          <w:sz w:val="28"/>
          <w:szCs w:val="28"/>
        </w:rPr>
        <w:t>较快</w:t>
      </w:r>
      <w:r>
        <w:rPr>
          <w:rFonts w:ascii="黑体" w:eastAsia="黑体" w:hAnsi="黑体" w:cs="Times New Roman"/>
          <w:sz w:val="28"/>
          <w:szCs w:val="28"/>
        </w:rPr>
        <w:t>增长</w:t>
      </w:r>
      <w:r>
        <w:rPr>
          <w:rFonts w:ascii="黑体" w:eastAsia="黑体" w:hAnsi="黑体" w:cs="Times New Roman" w:hint="eastAsia"/>
          <w:sz w:val="28"/>
          <w:szCs w:val="28"/>
        </w:rPr>
        <w:t>，居民生活用电小幅回落</w:t>
      </w:r>
      <w:r>
        <w:rPr>
          <w:rFonts w:ascii="黑体" w:eastAsia="黑体" w:hAnsi="黑体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/>
          <w:sz w:val="28"/>
          <w:szCs w:val="28"/>
        </w:rPr>
        <w:t>，全社会用电量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5.19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亿千瓦时、同比增长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15.3%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13.6%</w:t>
      </w:r>
      <w:r>
        <w:rPr>
          <w:rFonts w:ascii="Times New Roman" w:eastAsia="方正仿宋简体" w:hAnsi="Times New Roman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分类型看：城乡居民生活用电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2.31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亿千瓦时，同比下降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2.2%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；全行业用电合计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2.89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亿千瓦时、同比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34.4%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其中工业用电量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1.48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亿千瓦时、同比增长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28.7%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3.1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，两年平均增长</w:t>
      </w:r>
      <w:r>
        <w:rPr>
          <w:rFonts w:ascii="Times New Roman" w:eastAsia="方正仿宋简体" w:hAnsi="Times New Roman" w:cs="Times New Roman" w:hint="eastAsia"/>
          <w:spacing w:val="-4"/>
          <w:sz w:val="28"/>
          <w:szCs w:val="28"/>
        </w:rPr>
        <w:t>13.4%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；工业用电中规上工业用电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0.41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亿千瓦时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42.5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597C99" w:rsidRDefault="001E399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六、外贸进出口总额保持</w:t>
      </w:r>
      <w:r>
        <w:rPr>
          <w:rFonts w:ascii="黑体" w:eastAsia="黑体" w:hAnsi="黑体" w:cs="Times New Roman" w:hint="eastAsia"/>
          <w:sz w:val="28"/>
          <w:szCs w:val="28"/>
        </w:rPr>
        <w:t>快速</w:t>
      </w:r>
      <w:r>
        <w:rPr>
          <w:rFonts w:ascii="黑体" w:eastAsia="黑体" w:hAnsi="黑体" w:cs="Times New Roman"/>
          <w:sz w:val="28"/>
          <w:szCs w:val="28"/>
        </w:rPr>
        <w:t>增长，</w:t>
      </w:r>
      <w:r>
        <w:rPr>
          <w:rFonts w:ascii="黑体" w:eastAsia="黑体" w:hAnsi="黑体" w:cs="Times New Roman" w:hint="eastAsia"/>
          <w:sz w:val="28"/>
          <w:szCs w:val="28"/>
        </w:rPr>
        <w:t>但</w:t>
      </w:r>
      <w:r>
        <w:rPr>
          <w:rFonts w:ascii="黑体" w:eastAsia="黑体" w:hAnsi="黑体" w:cs="Times New Roman" w:hint="eastAsia"/>
          <w:sz w:val="28"/>
          <w:szCs w:val="28"/>
        </w:rPr>
        <w:t>实际利用外资两月无新增</w:t>
      </w:r>
      <w:r>
        <w:rPr>
          <w:rFonts w:ascii="黑体" w:eastAsia="黑体" w:hAnsi="黑体" w:cs="Times New Roman"/>
          <w:sz w:val="28"/>
          <w:szCs w:val="28"/>
        </w:rPr>
        <w:t>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1-5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月，全县外贸进出口总额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6726.90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万美元、同比增长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23.7%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，两年平均增长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11.7%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；其中：出口总额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6449.60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万美元、同比增长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21.2%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；进口总额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277.30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元、同比增长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149.2%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。实际利用外资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444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万美元，连续两个月无新增，同比下降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69.3%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，两年平均下降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44.6%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。</w:t>
      </w:r>
    </w:p>
    <w:p w:rsidR="00597C99" w:rsidRDefault="001E3992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七、金融业平稳运行，存贷比稳步提高。</w:t>
      </w:r>
      <w:r>
        <w:rPr>
          <w:rFonts w:ascii="Times New Roman" w:eastAsia="方正仿宋简体" w:hAnsi="Times New Roman" w:cs="Times New Roman"/>
          <w:sz w:val="28"/>
          <w:szCs w:val="28"/>
        </w:rPr>
        <w:t>截至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简体" w:hAnsi="Times New Roman" w:cs="Times New Roman"/>
          <w:sz w:val="28"/>
          <w:szCs w:val="28"/>
        </w:rPr>
        <w:t>月底，全县金融机构本外币各项存款余额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321.22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亿元，比年初增长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1.7%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个百分点；其中，住户存款余额预计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275.48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亿元，比年初增长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7.0%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0.8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个百分点。金融机构本外币各项贷款余额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203.91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亿元，比年初增长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7.3%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，比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月底高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个百分点。存贷比为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63.5%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，</w:t>
      </w:r>
      <w:r>
        <w:rPr>
          <w:rFonts w:ascii="Times New Roman" w:eastAsia="方正仿宋简体" w:hAnsi="Times New Roman" w:cs="Times New Roman"/>
          <w:sz w:val="28"/>
          <w:szCs w:val="28"/>
        </w:rPr>
        <w:t>比去年同期（</w:t>
      </w:r>
      <w:r>
        <w:rPr>
          <w:rFonts w:ascii="Times New Roman" w:eastAsia="方正仿宋简体" w:hAnsi="Times New Roman" w:cs="Times New Roman"/>
          <w:sz w:val="28"/>
          <w:szCs w:val="28"/>
        </w:rPr>
        <w:t>53.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简体" w:hAnsi="Times New Roman" w:cs="Times New Roman"/>
          <w:sz w:val="28"/>
          <w:szCs w:val="28"/>
        </w:rPr>
        <w:t>%</w:t>
      </w:r>
      <w:r>
        <w:rPr>
          <w:rFonts w:ascii="Times New Roman" w:eastAsia="方正仿宋简体" w:hAnsi="Times New Roman" w:cs="Times New Roman"/>
          <w:sz w:val="28"/>
          <w:szCs w:val="28"/>
        </w:rPr>
        <w:t>）高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10.3</w:t>
      </w:r>
      <w:r>
        <w:rPr>
          <w:rFonts w:ascii="Times New Roman" w:eastAsia="方正仿宋简体" w:hAnsi="Times New Roman" w:cs="Times New Roman"/>
          <w:sz w:val="28"/>
          <w:szCs w:val="28"/>
        </w:rPr>
        <w:t>个百分点。</w:t>
      </w:r>
    </w:p>
    <w:sectPr w:rsidR="00597C99" w:rsidSect="00781F3A">
      <w:footerReference w:type="default" r:id="rId7"/>
      <w:pgSz w:w="11906" w:h="16838" w:code="9"/>
      <w:pgMar w:top="1474" w:right="1474" w:bottom="1474" w:left="1474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992" w:rsidRDefault="001E3992" w:rsidP="00597C99">
      <w:r>
        <w:separator/>
      </w:r>
    </w:p>
  </w:endnote>
  <w:endnote w:type="continuationSeparator" w:id="1">
    <w:p w:rsidR="001E3992" w:rsidRDefault="001E3992" w:rsidP="00597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27AE9404-51FB-428F-BEED-60FDF33E99D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FC9AB0F-1B87-4B3B-88E8-F98436EAFC4D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6FA23AE2-1DFC-4FCA-A676-10CB38386C9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8B7DD8D-7938-44EC-82D5-A0CE6E830767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C99" w:rsidRDefault="00597C9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597C99" w:rsidRDefault="00597C99">
                <w:pPr>
                  <w:pStyle w:val="a3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1E3992">
                  <w:rPr>
                    <w:rFonts w:asciiTheme="majorEastAsia" w:eastAsiaTheme="majorEastAsia" w:hAnsiTheme="majorEastAsia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E418E6">
                  <w:rPr>
                    <w:rFonts w:asciiTheme="majorEastAsia" w:eastAsiaTheme="majorEastAsia" w:hAnsiTheme="majorEastAsia"/>
                    <w:noProof/>
                  </w:rPr>
                  <w:t>- 2 -</w:t>
                </w:r>
                <w:r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992" w:rsidRDefault="001E3992" w:rsidP="00597C99">
      <w:r>
        <w:separator/>
      </w:r>
    </w:p>
  </w:footnote>
  <w:footnote w:type="continuationSeparator" w:id="1">
    <w:p w:rsidR="001E3992" w:rsidRDefault="001E3992" w:rsidP="00597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D9"/>
    <w:rsid w:val="0009390A"/>
    <w:rsid w:val="00111A34"/>
    <w:rsid w:val="001E3992"/>
    <w:rsid w:val="002B53CB"/>
    <w:rsid w:val="003A6341"/>
    <w:rsid w:val="00597C99"/>
    <w:rsid w:val="005F09A2"/>
    <w:rsid w:val="005F37C3"/>
    <w:rsid w:val="00781F3A"/>
    <w:rsid w:val="00882B14"/>
    <w:rsid w:val="009C74FF"/>
    <w:rsid w:val="00AF5D32"/>
    <w:rsid w:val="00E418E6"/>
    <w:rsid w:val="00E77886"/>
    <w:rsid w:val="00EC14D9"/>
    <w:rsid w:val="012349B7"/>
    <w:rsid w:val="01BB12A3"/>
    <w:rsid w:val="01C0241A"/>
    <w:rsid w:val="021E222F"/>
    <w:rsid w:val="027C5D94"/>
    <w:rsid w:val="02AE184B"/>
    <w:rsid w:val="04930909"/>
    <w:rsid w:val="05286451"/>
    <w:rsid w:val="06581112"/>
    <w:rsid w:val="066F0643"/>
    <w:rsid w:val="07D854DC"/>
    <w:rsid w:val="09650FD4"/>
    <w:rsid w:val="0A105458"/>
    <w:rsid w:val="0A7F5EC6"/>
    <w:rsid w:val="0ADD1F1A"/>
    <w:rsid w:val="0D3A4634"/>
    <w:rsid w:val="0D8F2394"/>
    <w:rsid w:val="10A3463E"/>
    <w:rsid w:val="10B81304"/>
    <w:rsid w:val="10F17E29"/>
    <w:rsid w:val="11635695"/>
    <w:rsid w:val="120A7998"/>
    <w:rsid w:val="12667650"/>
    <w:rsid w:val="134B2D9C"/>
    <w:rsid w:val="139A519B"/>
    <w:rsid w:val="13B14E1B"/>
    <w:rsid w:val="1401070F"/>
    <w:rsid w:val="14767F67"/>
    <w:rsid w:val="157E3309"/>
    <w:rsid w:val="166231D1"/>
    <w:rsid w:val="167913E8"/>
    <w:rsid w:val="17DF1576"/>
    <w:rsid w:val="18D15785"/>
    <w:rsid w:val="196413A4"/>
    <w:rsid w:val="19A71B74"/>
    <w:rsid w:val="1A1409B3"/>
    <w:rsid w:val="1A7638DE"/>
    <w:rsid w:val="1A9451F0"/>
    <w:rsid w:val="1AB664D9"/>
    <w:rsid w:val="1AEC18B3"/>
    <w:rsid w:val="1BB27C94"/>
    <w:rsid w:val="209B1067"/>
    <w:rsid w:val="20A56CA5"/>
    <w:rsid w:val="20AE6B74"/>
    <w:rsid w:val="21187FB5"/>
    <w:rsid w:val="21310D11"/>
    <w:rsid w:val="239534C1"/>
    <w:rsid w:val="241D16E8"/>
    <w:rsid w:val="24901A1A"/>
    <w:rsid w:val="24967636"/>
    <w:rsid w:val="24A91651"/>
    <w:rsid w:val="24DA3047"/>
    <w:rsid w:val="24DF6717"/>
    <w:rsid w:val="2500608E"/>
    <w:rsid w:val="251C60D5"/>
    <w:rsid w:val="257C72E1"/>
    <w:rsid w:val="267C27A2"/>
    <w:rsid w:val="268B7806"/>
    <w:rsid w:val="26B23E11"/>
    <w:rsid w:val="26C01913"/>
    <w:rsid w:val="27135B47"/>
    <w:rsid w:val="28AA3191"/>
    <w:rsid w:val="28B37FAE"/>
    <w:rsid w:val="298D53DE"/>
    <w:rsid w:val="2A712D0A"/>
    <w:rsid w:val="2B295867"/>
    <w:rsid w:val="2B33283C"/>
    <w:rsid w:val="2B630693"/>
    <w:rsid w:val="2C793F96"/>
    <w:rsid w:val="2CE54A9E"/>
    <w:rsid w:val="2CFA58D8"/>
    <w:rsid w:val="2D261583"/>
    <w:rsid w:val="2F077D98"/>
    <w:rsid w:val="2FA74803"/>
    <w:rsid w:val="2FB64C6B"/>
    <w:rsid w:val="304B0EF9"/>
    <w:rsid w:val="306A297F"/>
    <w:rsid w:val="306D51FF"/>
    <w:rsid w:val="314E701A"/>
    <w:rsid w:val="31D51107"/>
    <w:rsid w:val="31E36B85"/>
    <w:rsid w:val="32035A1C"/>
    <w:rsid w:val="32161023"/>
    <w:rsid w:val="324648CB"/>
    <w:rsid w:val="32D808C2"/>
    <w:rsid w:val="332C3320"/>
    <w:rsid w:val="34096584"/>
    <w:rsid w:val="34975F33"/>
    <w:rsid w:val="34BD4C31"/>
    <w:rsid w:val="350A3813"/>
    <w:rsid w:val="35247D48"/>
    <w:rsid w:val="358B19C0"/>
    <w:rsid w:val="35DA11E8"/>
    <w:rsid w:val="3628789A"/>
    <w:rsid w:val="372B36C4"/>
    <w:rsid w:val="37943733"/>
    <w:rsid w:val="37CE5661"/>
    <w:rsid w:val="38950BBD"/>
    <w:rsid w:val="3970606F"/>
    <w:rsid w:val="3A57612B"/>
    <w:rsid w:val="3A5E6050"/>
    <w:rsid w:val="3A983C52"/>
    <w:rsid w:val="3C5B3212"/>
    <w:rsid w:val="3CB21666"/>
    <w:rsid w:val="3CFE42B1"/>
    <w:rsid w:val="3D351175"/>
    <w:rsid w:val="3DC70233"/>
    <w:rsid w:val="3DE16978"/>
    <w:rsid w:val="3E282903"/>
    <w:rsid w:val="3EEF31BA"/>
    <w:rsid w:val="3F0B4CBF"/>
    <w:rsid w:val="3F8E2CBE"/>
    <w:rsid w:val="3FFC48B3"/>
    <w:rsid w:val="404D613F"/>
    <w:rsid w:val="411A5F27"/>
    <w:rsid w:val="414474DF"/>
    <w:rsid w:val="41847D84"/>
    <w:rsid w:val="41C47AA8"/>
    <w:rsid w:val="42054FF6"/>
    <w:rsid w:val="42230F4E"/>
    <w:rsid w:val="429441C8"/>
    <w:rsid w:val="43CB3177"/>
    <w:rsid w:val="44562392"/>
    <w:rsid w:val="44973136"/>
    <w:rsid w:val="449C2DAD"/>
    <w:rsid w:val="44C67FDC"/>
    <w:rsid w:val="458D4D84"/>
    <w:rsid w:val="459C3E7A"/>
    <w:rsid w:val="45BD690E"/>
    <w:rsid w:val="467B487E"/>
    <w:rsid w:val="467C4CA8"/>
    <w:rsid w:val="46DC5745"/>
    <w:rsid w:val="46ED6C6B"/>
    <w:rsid w:val="4759697B"/>
    <w:rsid w:val="4A120B94"/>
    <w:rsid w:val="4A6E6F3D"/>
    <w:rsid w:val="4CBB2899"/>
    <w:rsid w:val="4D065E43"/>
    <w:rsid w:val="4D1F385B"/>
    <w:rsid w:val="4D303CA9"/>
    <w:rsid w:val="4D76663E"/>
    <w:rsid w:val="4DD43B25"/>
    <w:rsid w:val="4E2A45BA"/>
    <w:rsid w:val="4FC51BF5"/>
    <w:rsid w:val="50057278"/>
    <w:rsid w:val="50DD4004"/>
    <w:rsid w:val="510C61B8"/>
    <w:rsid w:val="513E1221"/>
    <w:rsid w:val="525164A4"/>
    <w:rsid w:val="52F67AA9"/>
    <w:rsid w:val="537768B3"/>
    <w:rsid w:val="538A187B"/>
    <w:rsid w:val="538C5998"/>
    <w:rsid w:val="53E51E3A"/>
    <w:rsid w:val="54EB1881"/>
    <w:rsid w:val="54F7037E"/>
    <w:rsid w:val="5572264A"/>
    <w:rsid w:val="55997BEB"/>
    <w:rsid w:val="569F5CD1"/>
    <w:rsid w:val="56AF177F"/>
    <w:rsid w:val="57916F0E"/>
    <w:rsid w:val="57DC4CDB"/>
    <w:rsid w:val="582E3E80"/>
    <w:rsid w:val="58C428A6"/>
    <w:rsid w:val="59486F6A"/>
    <w:rsid w:val="594F7A18"/>
    <w:rsid w:val="5BA761CE"/>
    <w:rsid w:val="5BED1B8E"/>
    <w:rsid w:val="5C895452"/>
    <w:rsid w:val="5C895478"/>
    <w:rsid w:val="5CAF1637"/>
    <w:rsid w:val="5CD42417"/>
    <w:rsid w:val="5E007170"/>
    <w:rsid w:val="5E3B05AD"/>
    <w:rsid w:val="5EDA482F"/>
    <w:rsid w:val="5FB2602C"/>
    <w:rsid w:val="5FBF49C5"/>
    <w:rsid w:val="608F2D95"/>
    <w:rsid w:val="609A4E1A"/>
    <w:rsid w:val="60CA67BB"/>
    <w:rsid w:val="60E728B6"/>
    <w:rsid w:val="619D5765"/>
    <w:rsid w:val="61CB0445"/>
    <w:rsid w:val="61E4787B"/>
    <w:rsid w:val="61ED48D1"/>
    <w:rsid w:val="6206748F"/>
    <w:rsid w:val="6209472A"/>
    <w:rsid w:val="628720A0"/>
    <w:rsid w:val="62A83061"/>
    <w:rsid w:val="63136EFC"/>
    <w:rsid w:val="636E5D16"/>
    <w:rsid w:val="638C25F8"/>
    <w:rsid w:val="6391146C"/>
    <w:rsid w:val="65806A0D"/>
    <w:rsid w:val="65DA6297"/>
    <w:rsid w:val="662F536F"/>
    <w:rsid w:val="66646464"/>
    <w:rsid w:val="66704BC0"/>
    <w:rsid w:val="66B54861"/>
    <w:rsid w:val="67186444"/>
    <w:rsid w:val="679E5412"/>
    <w:rsid w:val="69972381"/>
    <w:rsid w:val="6A1037EB"/>
    <w:rsid w:val="6A1B790E"/>
    <w:rsid w:val="6A734CA6"/>
    <w:rsid w:val="6AA02534"/>
    <w:rsid w:val="6B17268F"/>
    <w:rsid w:val="6B95731D"/>
    <w:rsid w:val="6CA1645A"/>
    <w:rsid w:val="6D0848E0"/>
    <w:rsid w:val="6D5F7C72"/>
    <w:rsid w:val="6E1B38DD"/>
    <w:rsid w:val="6EFC0B5E"/>
    <w:rsid w:val="6F753042"/>
    <w:rsid w:val="6FB71CAF"/>
    <w:rsid w:val="70B364F1"/>
    <w:rsid w:val="70CD468A"/>
    <w:rsid w:val="70FD3A4D"/>
    <w:rsid w:val="718025B7"/>
    <w:rsid w:val="71847EB1"/>
    <w:rsid w:val="72225C24"/>
    <w:rsid w:val="72990F2B"/>
    <w:rsid w:val="72E40823"/>
    <w:rsid w:val="73C70FD6"/>
    <w:rsid w:val="74CE679C"/>
    <w:rsid w:val="74DC2333"/>
    <w:rsid w:val="75A11B69"/>
    <w:rsid w:val="75D549F3"/>
    <w:rsid w:val="76993E1F"/>
    <w:rsid w:val="769B01A9"/>
    <w:rsid w:val="76A83C36"/>
    <w:rsid w:val="772E6241"/>
    <w:rsid w:val="77921E33"/>
    <w:rsid w:val="77E149E3"/>
    <w:rsid w:val="77E2768C"/>
    <w:rsid w:val="780806F5"/>
    <w:rsid w:val="784B1E09"/>
    <w:rsid w:val="786E58B9"/>
    <w:rsid w:val="78C16966"/>
    <w:rsid w:val="7A307323"/>
    <w:rsid w:val="7A6F439D"/>
    <w:rsid w:val="7B1060B3"/>
    <w:rsid w:val="7B814771"/>
    <w:rsid w:val="7C8715F5"/>
    <w:rsid w:val="7CD114F2"/>
    <w:rsid w:val="7CE76B79"/>
    <w:rsid w:val="7D177C50"/>
    <w:rsid w:val="7D795883"/>
    <w:rsid w:val="7DB6187A"/>
    <w:rsid w:val="7E215C5A"/>
    <w:rsid w:val="7E6C1FCC"/>
    <w:rsid w:val="7F023F74"/>
    <w:rsid w:val="7F2A5CD3"/>
    <w:rsid w:val="7F82509D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C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597C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97C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97C99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597C99"/>
    <w:rPr>
      <w:b/>
    </w:rPr>
  </w:style>
  <w:style w:type="character" w:customStyle="1" w:styleId="NormalCharacter">
    <w:name w:val="NormalCharacter"/>
    <w:qFormat/>
    <w:rsid w:val="00597C9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2021-05-29T09:06:00Z</cp:lastPrinted>
  <dcterms:created xsi:type="dcterms:W3CDTF">2014-10-29T12:08:00Z</dcterms:created>
  <dcterms:modified xsi:type="dcterms:W3CDTF">2021-06-21T06:41:00Z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47A06DF962FF4A2594D747E7B0461692</vt:lpwstr>
  </property>
  <property fmtid="{D5CDD505-2E9C-101B-9397-08002B2CF9AE}" pid="4" name="KSOSaveFontToCloudKey">
    <vt:lpwstr>305600870_embed</vt:lpwstr>
  </property>
</Properties>
</file>