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70" w:rsidRDefault="002A4E70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8"/>
          <w:szCs w:val="28"/>
        </w:rPr>
      </w:pPr>
    </w:p>
    <w:p w:rsidR="002A4E70" w:rsidRDefault="00264C8B" w:rsidP="00FE3A0A">
      <w:pPr>
        <w:spacing w:line="480" w:lineRule="exact"/>
        <w:jc w:val="center"/>
        <w:rPr>
          <w:rFonts w:ascii="方正小标宋简体" w:eastAsia="方正小标宋简体" w:hAnsi="宋体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kern w:val="0"/>
          <w:sz w:val="32"/>
          <w:szCs w:val="32"/>
        </w:rPr>
        <w:t>五华县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2021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年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1-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8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月份经济运行</w:t>
      </w:r>
      <w:r>
        <w:rPr>
          <w:rFonts w:ascii="方正小标宋简体" w:eastAsia="方正小标宋简体" w:hAnsi="宋体" w:hint="eastAsia"/>
          <w:kern w:val="0"/>
          <w:sz w:val="32"/>
          <w:szCs w:val="32"/>
        </w:rPr>
        <w:t>情况简析</w:t>
      </w:r>
    </w:p>
    <w:p w:rsidR="002A4E70" w:rsidRDefault="002A4E70">
      <w:pPr>
        <w:snapToGrid w:val="0"/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我县主要经济指标表现为“四稳二快一降”，即：工业生产、社会消费、财政收入和金融业稳定增长，固定资产投资和全社会用电量较快增长，外贸进出口总额出现下降。</w:t>
      </w:r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工业生产</w:t>
      </w:r>
      <w:r>
        <w:rPr>
          <w:rFonts w:ascii="黑体" w:eastAsia="黑体" w:hAnsi="黑体" w:cs="黑体" w:hint="eastAsia"/>
          <w:sz w:val="28"/>
          <w:szCs w:val="28"/>
        </w:rPr>
        <w:t>稳定</w:t>
      </w:r>
      <w:r>
        <w:rPr>
          <w:rFonts w:ascii="黑体" w:eastAsia="黑体" w:hAnsi="黑体" w:cs="黑体" w:hint="eastAsia"/>
          <w:sz w:val="28"/>
          <w:szCs w:val="28"/>
        </w:rPr>
        <w:t>增长，</w:t>
      </w:r>
      <w:r>
        <w:rPr>
          <w:rFonts w:ascii="黑体" w:eastAsia="黑体" w:hAnsi="黑体" w:cs="黑体" w:hint="eastAsia"/>
          <w:sz w:val="28"/>
          <w:szCs w:val="28"/>
        </w:rPr>
        <w:t>其中增加值增速略快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，全县规模以上工业总产值</w:t>
      </w:r>
      <w:r>
        <w:rPr>
          <w:rFonts w:ascii="仿宋" w:eastAsia="仿宋" w:hAnsi="仿宋" w:hint="eastAsia"/>
          <w:sz w:val="28"/>
          <w:szCs w:val="28"/>
        </w:rPr>
        <w:t>21.79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5.7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5.8</w:t>
      </w:r>
      <w:r>
        <w:rPr>
          <w:rFonts w:ascii="仿宋" w:eastAsia="仿宋" w:hAnsi="仿宋" w:hint="eastAsia"/>
          <w:sz w:val="28"/>
          <w:szCs w:val="28"/>
        </w:rPr>
        <w:t>个百分点</w:t>
      </w:r>
      <w:r>
        <w:rPr>
          <w:rFonts w:ascii="仿宋" w:eastAsia="仿宋" w:hAnsi="仿宋" w:hint="eastAsia"/>
          <w:sz w:val="28"/>
          <w:szCs w:val="28"/>
        </w:rPr>
        <w:t>，增幅逐月下降，两年平均增长</w:t>
      </w:r>
      <w:r>
        <w:rPr>
          <w:rFonts w:ascii="仿宋" w:eastAsia="仿宋" w:hAnsi="仿宋" w:hint="eastAsia"/>
          <w:sz w:val="28"/>
          <w:szCs w:val="28"/>
        </w:rPr>
        <w:t>9.1%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全县规模以上工业增加值</w:t>
      </w:r>
      <w:r>
        <w:rPr>
          <w:rFonts w:ascii="仿宋" w:eastAsia="仿宋" w:hAnsi="仿宋" w:hint="eastAsia"/>
          <w:sz w:val="28"/>
          <w:szCs w:val="28"/>
        </w:rPr>
        <w:t>4.05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11.4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；增速比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0.1</w:t>
      </w:r>
      <w:r>
        <w:rPr>
          <w:rFonts w:ascii="仿宋" w:eastAsia="仿宋" w:hAnsi="仿宋" w:hint="eastAsia"/>
          <w:sz w:val="28"/>
          <w:szCs w:val="28"/>
        </w:rPr>
        <w:t>个百分点</w:t>
      </w:r>
      <w:r>
        <w:rPr>
          <w:rFonts w:ascii="仿宋" w:eastAsia="仿宋" w:hAnsi="仿宋" w:hint="eastAsia"/>
          <w:sz w:val="28"/>
          <w:szCs w:val="28"/>
        </w:rPr>
        <w:t>，比全市平均水平低</w:t>
      </w:r>
      <w:r>
        <w:rPr>
          <w:rFonts w:ascii="仿宋" w:eastAsia="仿宋" w:hAnsi="仿宋" w:hint="eastAsia"/>
          <w:sz w:val="28"/>
          <w:szCs w:val="28"/>
        </w:rPr>
        <w:t>5.5</w:t>
      </w:r>
      <w:r>
        <w:rPr>
          <w:rFonts w:ascii="仿宋" w:eastAsia="仿宋" w:hAnsi="仿宋" w:hint="eastAsia"/>
          <w:sz w:val="28"/>
          <w:szCs w:val="28"/>
        </w:rPr>
        <w:t>个百分点，比排名第一的县低</w:t>
      </w:r>
      <w:r>
        <w:rPr>
          <w:rFonts w:ascii="仿宋" w:eastAsia="仿宋" w:hAnsi="仿宋" w:hint="eastAsia"/>
          <w:sz w:val="28"/>
          <w:szCs w:val="28"/>
        </w:rPr>
        <w:t>15.8</w:t>
      </w:r>
      <w:r>
        <w:rPr>
          <w:rFonts w:ascii="仿宋" w:eastAsia="仿宋" w:hAnsi="仿宋" w:hint="eastAsia"/>
          <w:sz w:val="28"/>
          <w:szCs w:val="28"/>
        </w:rPr>
        <w:t>个百分点，</w:t>
      </w:r>
      <w:r>
        <w:rPr>
          <w:rFonts w:ascii="仿宋" w:eastAsia="仿宋" w:hAnsi="仿宋" w:hint="eastAsia"/>
          <w:sz w:val="28"/>
          <w:szCs w:val="28"/>
        </w:rPr>
        <w:t>两年平均增长</w:t>
      </w:r>
      <w:r>
        <w:rPr>
          <w:rFonts w:ascii="仿宋" w:eastAsia="仿宋" w:hAnsi="仿宋" w:hint="eastAsia"/>
          <w:sz w:val="28"/>
          <w:szCs w:val="28"/>
        </w:rPr>
        <w:t>3.8%</w:t>
      </w:r>
      <w:r>
        <w:rPr>
          <w:rFonts w:ascii="仿宋" w:eastAsia="仿宋" w:hAnsi="仿宋" w:hint="eastAsia"/>
          <w:sz w:val="28"/>
          <w:szCs w:val="28"/>
        </w:rPr>
        <w:t>，总量和增速均排名全市（各县、区）第八</w:t>
      </w:r>
      <w:r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固定资产投资较快增长</w:t>
      </w:r>
      <w:r>
        <w:rPr>
          <w:rFonts w:ascii="黑体" w:eastAsia="黑体" w:hAnsi="黑体" w:cs="黑体" w:hint="eastAsia"/>
          <w:sz w:val="28"/>
          <w:szCs w:val="28"/>
        </w:rPr>
        <w:t>，尤其是房地产投资拉动大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，全县完成固定资产投资</w:t>
      </w:r>
      <w:r>
        <w:rPr>
          <w:rFonts w:ascii="仿宋" w:eastAsia="仿宋" w:hAnsi="仿宋" w:hint="eastAsia"/>
          <w:sz w:val="28"/>
          <w:szCs w:val="28"/>
        </w:rPr>
        <w:t>同比增长</w:t>
      </w:r>
      <w:r>
        <w:rPr>
          <w:rFonts w:ascii="仿宋" w:eastAsia="仿宋" w:hAnsi="仿宋" w:hint="eastAsia"/>
          <w:sz w:val="28"/>
          <w:szCs w:val="28"/>
        </w:rPr>
        <w:t>25.02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2.58</w:t>
      </w:r>
      <w:r>
        <w:rPr>
          <w:rFonts w:ascii="仿宋" w:eastAsia="仿宋" w:hAnsi="仿宋" w:hint="eastAsia"/>
          <w:sz w:val="28"/>
          <w:szCs w:val="28"/>
        </w:rPr>
        <w:t>个百分点</w:t>
      </w:r>
      <w:r>
        <w:rPr>
          <w:rFonts w:ascii="仿宋" w:eastAsia="仿宋" w:hAnsi="仿宋" w:hint="eastAsia"/>
          <w:sz w:val="28"/>
          <w:szCs w:val="28"/>
        </w:rPr>
        <w:t>，比全市平均水平高</w:t>
      </w:r>
      <w:r>
        <w:rPr>
          <w:rFonts w:ascii="仿宋" w:eastAsia="仿宋" w:hAnsi="仿宋" w:hint="eastAsia"/>
          <w:sz w:val="28"/>
          <w:szCs w:val="28"/>
        </w:rPr>
        <w:t>24.7</w:t>
      </w:r>
      <w:r>
        <w:rPr>
          <w:rFonts w:ascii="仿宋" w:eastAsia="仿宋" w:hAnsi="仿宋" w:hint="eastAsia"/>
          <w:sz w:val="28"/>
          <w:szCs w:val="28"/>
        </w:rPr>
        <w:t>个百分点，</w:t>
      </w:r>
      <w:r>
        <w:rPr>
          <w:rFonts w:ascii="仿宋" w:eastAsia="仿宋" w:hAnsi="仿宋" w:hint="eastAsia"/>
          <w:sz w:val="28"/>
          <w:szCs w:val="28"/>
        </w:rPr>
        <w:t>两年平均下降</w:t>
      </w:r>
      <w:r>
        <w:rPr>
          <w:rFonts w:ascii="仿宋" w:eastAsia="仿宋" w:hAnsi="仿宋" w:hint="eastAsia"/>
          <w:sz w:val="28"/>
          <w:szCs w:val="28"/>
        </w:rPr>
        <w:t>4.99%</w:t>
      </w:r>
      <w:r>
        <w:rPr>
          <w:rFonts w:ascii="仿宋" w:eastAsia="仿宋" w:hAnsi="仿宋" w:hint="eastAsia"/>
          <w:sz w:val="28"/>
          <w:szCs w:val="28"/>
        </w:rPr>
        <w:t>，增速排名全市第一</w:t>
      </w:r>
      <w:r>
        <w:rPr>
          <w:rFonts w:ascii="仿宋" w:eastAsia="仿宋" w:hAnsi="仿宋" w:hint="eastAsia"/>
          <w:sz w:val="28"/>
          <w:szCs w:val="28"/>
        </w:rPr>
        <w:t>。分类型看：房地产开发投资增长</w:t>
      </w:r>
      <w:r>
        <w:rPr>
          <w:rFonts w:ascii="仿宋" w:eastAsia="仿宋" w:hAnsi="仿宋" w:hint="eastAsia"/>
          <w:sz w:val="28"/>
          <w:szCs w:val="28"/>
        </w:rPr>
        <w:t>110.28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占投资总额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2.82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；工业投资增长</w:t>
      </w:r>
      <w:r>
        <w:rPr>
          <w:rFonts w:ascii="仿宋" w:eastAsia="仿宋" w:hAnsi="仿宋" w:hint="eastAsia"/>
          <w:sz w:val="28"/>
          <w:szCs w:val="28"/>
        </w:rPr>
        <w:t>7.21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；交通业投增长</w:t>
      </w:r>
      <w:r>
        <w:rPr>
          <w:rFonts w:ascii="仿宋" w:eastAsia="仿宋" w:hAnsi="仿宋" w:hint="eastAsia"/>
          <w:sz w:val="28"/>
          <w:szCs w:val="28"/>
        </w:rPr>
        <w:t>14.70</w:t>
      </w:r>
      <w:r>
        <w:rPr>
          <w:rFonts w:ascii="仿宋" w:eastAsia="仿宋" w:hAnsi="仿宋" w:hint="eastAsia"/>
          <w:sz w:val="28"/>
          <w:szCs w:val="28"/>
        </w:rPr>
        <w:t>%(</w:t>
      </w:r>
      <w:r>
        <w:rPr>
          <w:rFonts w:ascii="仿宋" w:eastAsia="仿宋" w:hAnsi="仿宋" w:hint="eastAsia"/>
          <w:sz w:val="28"/>
          <w:szCs w:val="28"/>
        </w:rPr>
        <w:t>其中“高速公路</w:t>
      </w:r>
      <w:r>
        <w:rPr>
          <w:rFonts w:ascii="仿宋" w:eastAsia="仿宋" w:hAnsi="仿宋" w:hint="eastAsia"/>
          <w:sz w:val="28"/>
          <w:szCs w:val="28"/>
        </w:rPr>
        <w:t>+</w:t>
      </w:r>
      <w:r>
        <w:rPr>
          <w:rFonts w:ascii="仿宋" w:eastAsia="仿宋" w:hAnsi="仿宋" w:hint="eastAsia"/>
          <w:sz w:val="28"/>
          <w:szCs w:val="28"/>
        </w:rPr>
        <w:t>高铁”投资增长</w:t>
      </w:r>
      <w:r>
        <w:rPr>
          <w:rFonts w:ascii="仿宋" w:eastAsia="仿宋" w:hAnsi="仿宋" w:hint="eastAsia"/>
          <w:sz w:val="28"/>
          <w:szCs w:val="28"/>
        </w:rPr>
        <w:t>38.58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），市政等其他项目投资下降</w:t>
      </w:r>
      <w:r>
        <w:rPr>
          <w:rFonts w:ascii="仿宋" w:eastAsia="仿宋" w:hAnsi="仿宋" w:hint="eastAsia"/>
          <w:sz w:val="28"/>
          <w:szCs w:val="28"/>
        </w:rPr>
        <w:t>35.91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社会消费品零售总额</w:t>
      </w:r>
      <w:r>
        <w:rPr>
          <w:rFonts w:ascii="黑体" w:eastAsia="黑体" w:hAnsi="黑体" w:cs="黑体" w:hint="eastAsia"/>
          <w:sz w:val="28"/>
          <w:szCs w:val="28"/>
        </w:rPr>
        <w:t>稳定</w:t>
      </w:r>
      <w:r>
        <w:rPr>
          <w:rFonts w:ascii="黑体" w:eastAsia="黑体" w:hAnsi="黑体" w:cs="黑体" w:hint="eastAsia"/>
          <w:sz w:val="28"/>
          <w:szCs w:val="28"/>
        </w:rPr>
        <w:t>增长</w:t>
      </w:r>
      <w:r>
        <w:rPr>
          <w:rFonts w:ascii="黑体" w:eastAsia="黑体" w:hAnsi="黑体" w:cs="黑体" w:hint="eastAsia"/>
          <w:sz w:val="28"/>
          <w:szCs w:val="28"/>
        </w:rPr>
        <w:t>，尤其是限额以上零售增幅较大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，全县社会消费品零售总额</w:t>
      </w:r>
      <w:r>
        <w:rPr>
          <w:rFonts w:ascii="仿宋" w:eastAsia="仿宋" w:hAnsi="仿宋" w:hint="eastAsia"/>
          <w:sz w:val="28"/>
          <w:szCs w:val="28"/>
        </w:rPr>
        <w:t>55.85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9.5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2.3</w:t>
      </w:r>
      <w:r>
        <w:rPr>
          <w:rFonts w:ascii="仿宋" w:eastAsia="仿宋" w:hAnsi="仿宋" w:hint="eastAsia"/>
          <w:sz w:val="28"/>
          <w:szCs w:val="28"/>
        </w:rPr>
        <w:t>个百分点</w:t>
      </w:r>
      <w:r>
        <w:rPr>
          <w:rFonts w:ascii="仿宋" w:eastAsia="仿宋" w:hAnsi="仿宋" w:hint="eastAsia"/>
          <w:sz w:val="28"/>
          <w:szCs w:val="28"/>
        </w:rPr>
        <w:t>，比全市平均水平高</w:t>
      </w:r>
      <w:r>
        <w:rPr>
          <w:rFonts w:ascii="仿宋" w:eastAsia="仿宋" w:hAnsi="仿宋" w:hint="eastAsia"/>
          <w:sz w:val="28"/>
          <w:szCs w:val="28"/>
        </w:rPr>
        <w:t>1.4</w:t>
      </w:r>
      <w:r>
        <w:rPr>
          <w:rFonts w:ascii="仿宋" w:eastAsia="仿宋" w:hAnsi="仿宋" w:hint="eastAsia"/>
          <w:sz w:val="28"/>
          <w:szCs w:val="28"/>
        </w:rPr>
        <w:t>个百分点，</w:t>
      </w:r>
      <w:r>
        <w:rPr>
          <w:rFonts w:ascii="仿宋" w:eastAsia="仿宋" w:hAnsi="仿宋" w:hint="eastAsia"/>
          <w:sz w:val="28"/>
          <w:szCs w:val="28"/>
        </w:rPr>
        <w:t>两年平均下降</w:t>
      </w:r>
      <w:r>
        <w:rPr>
          <w:rFonts w:ascii="仿宋" w:eastAsia="仿宋" w:hAnsi="仿宋" w:hint="eastAsia"/>
          <w:sz w:val="28"/>
          <w:szCs w:val="28"/>
        </w:rPr>
        <w:t>1.5%</w:t>
      </w:r>
      <w:r>
        <w:rPr>
          <w:rFonts w:ascii="仿宋" w:eastAsia="仿宋" w:hAnsi="仿宋" w:hint="eastAsia"/>
          <w:sz w:val="28"/>
          <w:szCs w:val="28"/>
        </w:rPr>
        <w:t>，增速排名全市第二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>类型看：</w:t>
      </w:r>
      <w:r>
        <w:rPr>
          <w:rFonts w:ascii="仿宋" w:eastAsia="仿宋" w:hAnsi="仿宋" w:hint="eastAsia"/>
          <w:sz w:val="28"/>
          <w:szCs w:val="28"/>
        </w:rPr>
        <w:t>限额以上零售总额</w:t>
      </w:r>
      <w:r>
        <w:rPr>
          <w:rFonts w:ascii="仿宋" w:eastAsia="仿宋" w:hAnsi="仿宋" w:hint="eastAsia"/>
          <w:sz w:val="28"/>
          <w:szCs w:val="28"/>
        </w:rPr>
        <w:t>1.28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41.4%</w:t>
      </w:r>
      <w:r>
        <w:rPr>
          <w:rFonts w:ascii="仿宋" w:eastAsia="仿宋" w:hAnsi="仿宋" w:hint="eastAsia"/>
          <w:sz w:val="28"/>
          <w:szCs w:val="28"/>
        </w:rPr>
        <w:t>，限额以下零售总额</w:t>
      </w:r>
      <w:r>
        <w:rPr>
          <w:rFonts w:ascii="仿宋" w:eastAsia="仿宋" w:hAnsi="仿宋" w:hint="eastAsia"/>
          <w:sz w:val="28"/>
          <w:szCs w:val="28"/>
        </w:rPr>
        <w:t>54.57</w:t>
      </w:r>
      <w:r>
        <w:rPr>
          <w:rFonts w:ascii="仿宋" w:eastAsia="仿宋" w:hAnsi="仿宋" w:hint="eastAsia"/>
          <w:sz w:val="28"/>
          <w:szCs w:val="28"/>
        </w:rPr>
        <w:t>亿元，同比增长</w:t>
      </w:r>
      <w:r>
        <w:rPr>
          <w:rFonts w:ascii="仿宋" w:eastAsia="仿宋" w:hAnsi="仿宋" w:hint="eastAsia"/>
          <w:sz w:val="28"/>
          <w:szCs w:val="28"/>
        </w:rPr>
        <w:t>8.9%</w:t>
      </w:r>
      <w:r>
        <w:rPr>
          <w:rFonts w:ascii="仿宋" w:eastAsia="仿宋" w:hAnsi="仿宋" w:hint="eastAsia"/>
          <w:sz w:val="28"/>
          <w:szCs w:val="28"/>
        </w:rPr>
        <w:t>，限上、限下消费比例为</w:t>
      </w:r>
      <w:r>
        <w:rPr>
          <w:rFonts w:ascii="仿宋" w:eastAsia="仿宋" w:hAnsi="仿宋" w:hint="eastAsia"/>
          <w:sz w:val="28"/>
          <w:szCs w:val="28"/>
        </w:rPr>
        <w:t>2.3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lastRenderedPageBreak/>
        <w:t>97.7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商品零售总额</w:t>
      </w:r>
      <w:r>
        <w:rPr>
          <w:rFonts w:ascii="仿宋" w:eastAsia="仿宋" w:hAnsi="仿宋" w:hint="eastAsia"/>
          <w:sz w:val="28"/>
          <w:szCs w:val="28"/>
        </w:rPr>
        <w:t>49.88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9.3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，餐饮收入总额</w:t>
      </w:r>
      <w:r>
        <w:rPr>
          <w:rFonts w:ascii="仿宋" w:eastAsia="仿宋" w:hAnsi="仿宋" w:hint="eastAsia"/>
          <w:sz w:val="28"/>
          <w:szCs w:val="28"/>
        </w:rPr>
        <w:t>5.97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11.7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商品、餐饮消费</w:t>
      </w:r>
      <w:r>
        <w:rPr>
          <w:rFonts w:ascii="仿宋" w:eastAsia="仿宋" w:hAnsi="仿宋" w:hint="eastAsia"/>
          <w:sz w:val="28"/>
          <w:szCs w:val="28"/>
        </w:rPr>
        <w:t>比例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89.3:10.7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城镇消费总额</w:t>
      </w:r>
      <w:r>
        <w:rPr>
          <w:rFonts w:ascii="仿宋" w:eastAsia="仿宋" w:hAnsi="仿宋" w:hint="eastAsia"/>
          <w:sz w:val="28"/>
          <w:szCs w:val="28"/>
        </w:rPr>
        <w:t>42.43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9.9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，乡村消费总额</w:t>
      </w:r>
      <w:r>
        <w:rPr>
          <w:rFonts w:ascii="仿宋" w:eastAsia="仿宋" w:hAnsi="仿宋" w:hint="eastAsia"/>
          <w:sz w:val="28"/>
          <w:szCs w:val="28"/>
        </w:rPr>
        <w:t>13.42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8.3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城、乡消费</w:t>
      </w:r>
      <w:r>
        <w:rPr>
          <w:rFonts w:ascii="仿宋" w:eastAsia="仿宋" w:hAnsi="仿宋" w:hint="eastAsia"/>
          <w:sz w:val="28"/>
          <w:szCs w:val="28"/>
        </w:rPr>
        <w:t>比例</w:t>
      </w:r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</w:rPr>
        <w:t>68.4:31.6</w:t>
      </w:r>
      <w:r>
        <w:rPr>
          <w:rFonts w:ascii="仿宋" w:eastAsia="仿宋" w:hAnsi="仿宋" w:hint="eastAsia"/>
          <w:sz w:val="28"/>
          <w:szCs w:val="28"/>
        </w:rPr>
        <w:t>，城镇消费增速比农村高</w:t>
      </w:r>
      <w:r>
        <w:rPr>
          <w:rFonts w:ascii="仿宋" w:eastAsia="仿宋" w:hAnsi="仿宋" w:hint="eastAsia"/>
          <w:sz w:val="28"/>
          <w:szCs w:val="28"/>
        </w:rPr>
        <w:t>1.6</w:t>
      </w:r>
      <w:r>
        <w:rPr>
          <w:rFonts w:ascii="仿宋" w:eastAsia="仿宋" w:hAnsi="仿宋" w:hint="eastAsia"/>
          <w:sz w:val="28"/>
          <w:szCs w:val="28"/>
        </w:rPr>
        <w:t>个百分点。</w:t>
      </w:r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财</w:t>
      </w:r>
      <w:r>
        <w:rPr>
          <w:rFonts w:ascii="黑体" w:eastAsia="黑体" w:hAnsi="黑体" w:cs="黑体" w:hint="eastAsia"/>
          <w:sz w:val="28"/>
          <w:szCs w:val="28"/>
        </w:rPr>
        <w:t>税</w:t>
      </w:r>
      <w:r>
        <w:rPr>
          <w:rFonts w:ascii="黑体" w:eastAsia="黑体" w:hAnsi="黑体" w:cs="黑体" w:hint="eastAsia"/>
          <w:sz w:val="28"/>
          <w:szCs w:val="28"/>
        </w:rPr>
        <w:t>收入</w:t>
      </w:r>
      <w:r>
        <w:rPr>
          <w:rFonts w:ascii="黑体" w:eastAsia="黑体" w:hAnsi="黑体" w:cs="黑体" w:hint="eastAsia"/>
          <w:sz w:val="28"/>
          <w:szCs w:val="28"/>
        </w:rPr>
        <w:t>稳定</w:t>
      </w:r>
      <w:r>
        <w:rPr>
          <w:rFonts w:ascii="黑体" w:eastAsia="黑体" w:hAnsi="黑体" w:cs="黑体" w:hint="eastAsia"/>
          <w:sz w:val="28"/>
          <w:szCs w:val="28"/>
        </w:rPr>
        <w:t>增长</w:t>
      </w:r>
      <w:r>
        <w:rPr>
          <w:rFonts w:ascii="黑体" w:eastAsia="黑体" w:hAnsi="黑体" w:cs="黑体" w:hint="eastAsia"/>
          <w:sz w:val="28"/>
          <w:szCs w:val="28"/>
        </w:rPr>
        <w:t>，尤其是财政收入增长略快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，全县实现地方一般公共预算收入</w:t>
      </w:r>
      <w:r>
        <w:rPr>
          <w:rFonts w:ascii="仿宋" w:eastAsia="仿宋" w:hAnsi="仿宋" w:hint="eastAsia"/>
          <w:sz w:val="28"/>
          <w:szCs w:val="28"/>
        </w:rPr>
        <w:t>7.5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10.3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0.6</w:t>
      </w:r>
      <w:r>
        <w:rPr>
          <w:rFonts w:ascii="仿宋" w:eastAsia="仿宋" w:hAnsi="仿宋" w:hint="eastAsia"/>
          <w:sz w:val="28"/>
          <w:szCs w:val="28"/>
        </w:rPr>
        <w:t>个百分点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比全市平均水平高</w:t>
      </w:r>
      <w:r>
        <w:rPr>
          <w:rFonts w:ascii="仿宋" w:eastAsia="仿宋" w:hAnsi="仿宋" w:hint="eastAsia"/>
          <w:sz w:val="28"/>
          <w:szCs w:val="28"/>
        </w:rPr>
        <w:t>1.3</w:t>
      </w:r>
      <w:r>
        <w:rPr>
          <w:rFonts w:ascii="仿宋" w:eastAsia="仿宋" w:hAnsi="仿宋" w:hint="eastAsia"/>
          <w:sz w:val="28"/>
          <w:szCs w:val="28"/>
        </w:rPr>
        <w:t>个百分点，两年平均增长</w:t>
      </w:r>
      <w:r>
        <w:rPr>
          <w:rFonts w:ascii="仿宋" w:eastAsia="仿宋" w:hAnsi="仿宋" w:hint="eastAsia"/>
          <w:sz w:val="28"/>
          <w:szCs w:val="28"/>
        </w:rPr>
        <w:t>8.7%</w:t>
      </w:r>
      <w:r>
        <w:rPr>
          <w:rFonts w:ascii="仿宋" w:eastAsia="仿宋" w:hAnsi="仿宋" w:hint="eastAsia"/>
          <w:sz w:val="28"/>
          <w:szCs w:val="28"/>
        </w:rPr>
        <w:t>，增速排名全市第三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全县</w:t>
      </w:r>
      <w:r>
        <w:rPr>
          <w:rFonts w:ascii="仿宋" w:eastAsia="仿宋" w:hAnsi="仿宋" w:hint="eastAsia"/>
          <w:sz w:val="28"/>
          <w:szCs w:val="28"/>
        </w:rPr>
        <w:t>税收收入</w:t>
      </w:r>
      <w:r>
        <w:rPr>
          <w:rFonts w:ascii="仿宋" w:eastAsia="仿宋" w:hAnsi="仿宋" w:hint="eastAsia"/>
          <w:sz w:val="28"/>
          <w:szCs w:val="28"/>
        </w:rPr>
        <w:t>13.37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9.6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月提高</w:t>
      </w:r>
      <w:r>
        <w:rPr>
          <w:rFonts w:ascii="仿宋" w:eastAsia="仿宋" w:hAnsi="仿宋" w:hint="eastAsia"/>
          <w:sz w:val="28"/>
          <w:szCs w:val="28"/>
        </w:rPr>
        <w:t>0.5</w:t>
      </w:r>
      <w:r>
        <w:rPr>
          <w:rFonts w:ascii="仿宋" w:eastAsia="仿宋" w:hAnsi="仿宋" w:hint="eastAsia"/>
          <w:sz w:val="28"/>
          <w:szCs w:val="28"/>
        </w:rPr>
        <w:t>个百分点；其中县级收入</w:t>
      </w:r>
      <w:r>
        <w:rPr>
          <w:rFonts w:ascii="仿宋" w:eastAsia="仿宋" w:hAnsi="仿宋" w:hint="eastAsia"/>
          <w:sz w:val="28"/>
          <w:szCs w:val="28"/>
        </w:rPr>
        <w:t>4.96</w:t>
      </w:r>
      <w:r>
        <w:rPr>
          <w:rFonts w:ascii="仿宋" w:eastAsia="仿宋" w:hAnsi="仿宋" w:hint="eastAsia"/>
          <w:sz w:val="28"/>
          <w:szCs w:val="28"/>
        </w:rPr>
        <w:t>亿元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5.4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月提高</w:t>
      </w:r>
      <w:r>
        <w:rPr>
          <w:rFonts w:ascii="仿宋" w:eastAsia="仿宋" w:hAnsi="仿宋" w:hint="eastAsia"/>
          <w:sz w:val="28"/>
          <w:szCs w:val="28"/>
        </w:rPr>
        <w:t>1.7</w:t>
      </w:r>
      <w:r>
        <w:rPr>
          <w:rFonts w:ascii="仿宋" w:eastAsia="仿宋" w:hAnsi="仿宋" w:hint="eastAsia"/>
          <w:sz w:val="28"/>
          <w:szCs w:val="28"/>
        </w:rPr>
        <w:t>个百分点。</w:t>
      </w:r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外贸进出口总额</w:t>
      </w:r>
      <w:r>
        <w:rPr>
          <w:rFonts w:ascii="黑体" w:eastAsia="黑体" w:hAnsi="黑体" w:cs="黑体" w:hint="eastAsia"/>
          <w:sz w:val="28"/>
          <w:szCs w:val="28"/>
        </w:rPr>
        <w:t>负增长</w:t>
      </w:r>
      <w:r>
        <w:rPr>
          <w:rFonts w:ascii="黑体" w:eastAsia="黑体" w:hAnsi="黑体" w:cs="黑体" w:hint="eastAsia"/>
          <w:sz w:val="28"/>
          <w:szCs w:val="28"/>
        </w:rPr>
        <w:t>，</w:t>
      </w:r>
      <w:r>
        <w:rPr>
          <w:rFonts w:ascii="黑体" w:eastAsia="黑体" w:hAnsi="黑体" w:cs="黑体" w:hint="eastAsia"/>
          <w:sz w:val="28"/>
          <w:szCs w:val="28"/>
        </w:rPr>
        <w:t>尤其是</w:t>
      </w:r>
      <w:r>
        <w:rPr>
          <w:rFonts w:ascii="黑体" w:eastAsia="黑体" w:hAnsi="黑体" w:cs="黑体" w:hint="eastAsia"/>
          <w:sz w:val="28"/>
          <w:szCs w:val="28"/>
        </w:rPr>
        <w:t>实际利用外资</w:t>
      </w:r>
      <w:r>
        <w:rPr>
          <w:rFonts w:ascii="黑体" w:eastAsia="黑体" w:hAnsi="黑体" w:cs="黑体" w:hint="eastAsia"/>
          <w:sz w:val="28"/>
          <w:szCs w:val="28"/>
        </w:rPr>
        <w:t>降幅较大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，全县外贸进出口总额</w:t>
      </w:r>
      <w:r>
        <w:rPr>
          <w:rFonts w:ascii="仿宋" w:eastAsia="仿宋" w:hAnsi="仿宋" w:hint="eastAsia"/>
          <w:sz w:val="28"/>
          <w:szCs w:val="28"/>
        </w:rPr>
        <w:t>10641</w:t>
      </w:r>
      <w:r>
        <w:rPr>
          <w:rFonts w:ascii="仿宋" w:eastAsia="仿宋" w:hAnsi="仿宋" w:hint="eastAsia"/>
          <w:sz w:val="28"/>
          <w:szCs w:val="28"/>
        </w:rPr>
        <w:t>万美元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同比</w:t>
      </w:r>
      <w:r>
        <w:rPr>
          <w:rFonts w:ascii="仿宋" w:eastAsia="仿宋" w:hAnsi="仿宋" w:hint="eastAsia"/>
          <w:sz w:val="28"/>
          <w:szCs w:val="28"/>
        </w:rPr>
        <w:t>下降</w:t>
      </w:r>
      <w:r>
        <w:rPr>
          <w:rFonts w:ascii="仿宋" w:eastAsia="仿宋" w:hAnsi="仿宋" w:hint="eastAsia"/>
          <w:sz w:val="28"/>
          <w:szCs w:val="28"/>
        </w:rPr>
        <w:t>5.3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，是今年来首次负增长，两年平均下降</w:t>
      </w:r>
      <w:r>
        <w:rPr>
          <w:rFonts w:ascii="仿宋" w:eastAsia="仿宋" w:hAnsi="仿宋" w:hint="eastAsia"/>
          <w:sz w:val="28"/>
          <w:szCs w:val="28"/>
        </w:rPr>
        <w:t>2.0%</w:t>
      </w:r>
      <w:r>
        <w:rPr>
          <w:rFonts w:ascii="仿宋" w:eastAsia="仿宋" w:hAnsi="仿宋" w:hint="eastAsia"/>
          <w:sz w:val="28"/>
          <w:szCs w:val="28"/>
        </w:rPr>
        <w:t>，已完成年计划任务</w:t>
      </w:r>
      <w:r>
        <w:rPr>
          <w:rFonts w:ascii="仿宋" w:eastAsia="仿宋" w:hAnsi="仿宋" w:hint="eastAsia"/>
          <w:sz w:val="28"/>
          <w:szCs w:val="28"/>
        </w:rPr>
        <w:t>65.2%</w:t>
      </w:r>
      <w:r>
        <w:rPr>
          <w:rFonts w:ascii="仿宋" w:eastAsia="仿宋" w:hAnsi="仿宋" w:hint="eastAsia"/>
          <w:sz w:val="28"/>
          <w:szCs w:val="28"/>
        </w:rPr>
        <w:t>。实际利用外资</w:t>
      </w:r>
      <w:r>
        <w:rPr>
          <w:rFonts w:ascii="仿宋" w:eastAsia="仿宋" w:hAnsi="仿宋" w:hint="eastAsia"/>
          <w:sz w:val="28"/>
          <w:szCs w:val="28"/>
        </w:rPr>
        <w:t>544</w:t>
      </w:r>
      <w:r>
        <w:rPr>
          <w:rFonts w:ascii="仿宋" w:eastAsia="仿宋" w:hAnsi="仿宋" w:hint="eastAsia"/>
          <w:sz w:val="28"/>
          <w:szCs w:val="28"/>
        </w:rPr>
        <w:t>万美元</w:t>
      </w:r>
      <w:r>
        <w:rPr>
          <w:rFonts w:ascii="仿宋" w:eastAsia="仿宋" w:hAnsi="仿宋" w:hint="eastAsia"/>
          <w:sz w:val="28"/>
          <w:szCs w:val="28"/>
        </w:rPr>
        <w:t>，同比下降</w:t>
      </w:r>
      <w:r>
        <w:rPr>
          <w:rFonts w:ascii="仿宋" w:eastAsia="仿宋" w:hAnsi="仿宋" w:hint="eastAsia"/>
          <w:sz w:val="28"/>
          <w:szCs w:val="28"/>
        </w:rPr>
        <w:t>62.4%</w:t>
      </w:r>
      <w:r>
        <w:rPr>
          <w:rFonts w:ascii="仿宋" w:eastAsia="仿宋" w:hAnsi="仿宋" w:hint="eastAsia"/>
          <w:sz w:val="28"/>
          <w:szCs w:val="28"/>
        </w:rPr>
        <w:t>，已完成年计划任务</w:t>
      </w:r>
      <w:r>
        <w:rPr>
          <w:rFonts w:ascii="仿宋" w:eastAsia="仿宋" w:hAnsi="仿宋" w:hint="eastAsia"/>
          <w:sz w:val="28"/>
          <w:szCs w:val="28"/>
        </w:rPr>
        <w:t>157.7%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全社会用电量保持较快增长</w:t>
      </w:r>
      <w:r>
        <w:rPr>
          <w:rFonts w:ascii="黑体" w:eastAsia="黑体" w:hAnsi="黑体" w:cs="黑体" w:hint="eastAsia"/>
          <w:sz w:val="28"/>
          <w:szCs w:val="28"/>
        </w:rPr>
        <w:t>，其中城乡居民生活用电首次正增长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1-8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，全社会用电量</w:t>
      </w:r>
      <w:r>
        <w:rPr>
          <w:rFonts w:ascii="仿宋" w:eastAsia="仿宋" w:hAnsi="仿宋" w:hint="eastAsia"/>
          <w:sz w:val="28"/>
          <w:szCs w:val="28"/>
        </w:rPr>
        <w:t>9.34</w:t>
      </w:r>
      <w:r>
        <w:rPr>
          <w:rFonts w:ascii="仿宋" w:eastAsia="仿宋" w:hAnsi="仿宋" w:hint="eastAsia"/>
          <w:sz w:val="28"/>
          <w:szCs w:val="28"/>
        </w:rPr>
        <w:t>亿千瓦时</w:t>
      </w:r>
      <w:r>
        <w:rPr>
          <w:rFonts w:ascii="仿宋" w:eastAsia="仿宋" w:hAnsi="仿宋" w:hint="eastAsia"/>
          <w:sz w:val="28"/>
          <w:szCs w:val="28"/>
        </w:rPr>
        <w:t>，同比增长</w:t>
      </w:r>
      <w:r>
        <w:rPr>
          <w:rFonts w:ascii="仿宋" w:eastAsia="仿宋" w:hAnsi="仿宋" w:hint="eastAsia"/>
          <w:sz w:val="28"/>
          <w:szCs w:val="28"/>
        </w:rPr>
        <w:t>11.60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</w:t>
      </w:r>
      <w:r>
        <w:rPr>
          <w:rFonts w:ascii="仿宋" w:eastAsia="仿宋" w:hAnsi="仿宋" w:hint="eastAsia"/>
          <w:sz w:val="28"/>
          <w:szCs w:val="28"/>
        </w:rPr>
        <w:t>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月提高</w:t>
      </w:r>
      <w:r>
        <w:rPr>
          <w:rFonts w:ascii="仿宋" w:eastAsia="仿宋" w:hAnsi="仿宋" w:hint="eastAsia"/>
          <w:sz w:val="28"/>
          <w:szCs w:val="28"/>
        </w:rPr>
        <w:t>0.6</w:t>
      </w:r>
      <w:r>
        <w:rPr>
          <w:rFonts w:ascii="仿宋" w:eastAsia="仿宋" w:hAnsi="仿宋" w:hint="eastAsia"/>
          <w:sz w:val="28"/>
          <w:szCs w:val="28"/>
        </w:rPr>
        <w:t>个百分点，两年平均增长</w:t>
      </w:r>
      <w:r>
        <w:rPr>
          <w:rFonts w:ascii="仿宋" w:eastAsia="仿宋" w:hAnsi="仿宋" w:hint="eastAsia"/>
          <w:sz w:val="28"/>
          <w:szCs w:val="28"/>
        </w:rPr>
        <w:t>13.88%</w:t>
      </w:r>
      <w:r>
        <w:rPr>
          <w:rFonts w:ascii="仿宋" w:eastAsia="仿宋" w:hAnsi="仿宋" w:hint="eastAsia"/>
          <w:sz w:val="28"/>
          <w:szCs w:val="28"/>
        </w:rPr>
        <w:t>。分类型看：城乡居民生活用电</w:t>
      </w:r>
      <w:r>
        <w:rPr>
          <w:rFonts w:ascii="仿宋" w:eastAsia="仿宋" w:hAnsi="仿宋" w:hint="eastAsia"/>
          <w:sz w:val="28"/>
          <w:szCs w:val="28"/>
        </w:rPr>
        <w:t>4.25</w:t>
      </w:r>
      <w:r>
        <w:rPr>
          <w:rFonts w:ascii="仿宋" w:eastAsia="仿宋" w:hAnsi="仿宋" w:hint="eastAsia"/>
          <w:sz w:val="28"/>
          <w:szCs w:val="28"/>
        </w:rPr>
        <w:t>亿千瓦时，同比增长</w:t>
      </w:r>
      <w:r>
        <w:rPr>
          <w:rFonts w:ascii="仿宋" w:eastAsia="仿宋" w:hAnsi="仿宋" w:hint="eastAsia"/>
          <w:sz w:val="28"/>
          <w:szCs w:val="28"/>
        </w:rPr>
        <w:t>0.41%</w:t>
      </w:r>
      <w:r>
        <w:rPr>
          <w:rFonts w:ascii="仿宋" w:eastAsia="仿宋" w:hAnsi="仿宋" w:hint="eastAsia"/>
          <w:sz w:val="28"/>
          <w:szCs w:val="28"/>
        </w:rPr>
        <w:t>，是今年来首次同比正增长；全行业用电合计</w:t>
      </w:r>
      <w:r>
        <w:rPr>
          <w:rFonts w:ascii="仿宋" w:eastAsia="仿宋" w:hAnsi="仿宋" w:hint="eastAsia"/>
          <w:sz w:val="28"/>
          <w:szCs w:val="28"/>
        </w:rPr>
        <w:t>5.09</w:t>
      </w:r>
      <w:r>
        <w:rPr>
          <w:rFonts w:ascii="仿宋" w:eastAsia="仿宋" w:hAnsi="仿宋" w:hint="eastAsia"/>
          <w:sz w:val="28"/>
          <w:szCs w:val="28"/>
        </w:rPr>
        <w:t>亿千瓦时，同比增长</w:t>
      </w:r>
      <w:r>
        <w:rPr>
          <w:rFonts w:ascii="仿宋" w:eastAsia="仿宋" w:hAnsi="仿宋" w:hint="eastAsia"/>
          <w:sz w:val="28"/>
          <w:szCs w:val="28"/>
        </w:rPr>
        <w:t>23.07%</w:t>
      </w:r>
      <w:r>
        <w:rPr>
          <w:rFonts w:ascii="仿宋" w:eastAsia="仿宋" w:hAnsi="仿宋" w:hint="eastAsia"/>
          <w:sz w:val="28"/>
          <w:szCs w:val="28"/>
        </w:rPr>
        <w:t>，其中工业用电量</w:t>
      </w:r>
      <w:r>
        <w:rPr>
          <w:rFonts w:ascii="仿宋" w:eastAsia="仿宋" w:hAnsi="仿宋" w:hint="eastAsia"/>
          <w:sz w:val="28"/>
          <w:szCs w:val="28"/>
        </w:rPr>
        <w:t>2.53</w:t>
      </w:r>
      <w:r>
        <w:rPr>
          <w:rFonts w:ascii="仿宋" w:eastAsia="仿宋" w:hAnsi="仿宋" w:hint="eastAsia"/>
          <w:sz w:val="28"/>
          <w:szCs w:val="28"/>
        </w:rPr>
        <w:t>亿千瓦时，同比增长</w:t>
      </w:r>
      <w:r>
        <w:rPr>
          <w:rFonts w:ascii="仿宋" w:eastAsia="仿宋" w:hAnsi="仿宋" w:hint="eastAsia"/>
          <w:sz w:val="28"/>
          <w:szCs w:val="28"/>
        </w:rPr>
        <w:t>19.07%</w:t>
      </w:r>
      <w:r>
        <w:rPr>
          <w:rFonts w:ascii="仿宋" w:eastAsia="仿宋" w:hAnsi="仿宋" w:hint="eastAsia"/>
          <w:sz w:val="28"/>
          <w:szCs w:val="28"/>
        </w:rPr>
        <w:t>，增速比</w:t>
      </w:r>
      <w:r>
        <w:rPr>
          <w:rFonts w:ascii="仿宋" w:eastAsia="仿宋" w:hAnsi="仿宋" w:hint="eastAsia"/>
          <w:sz w:val="28"/>
          <w:szCs w:val="28"/>
        </w:rPr>
        <w:t>1-7</w:t>
      </w:r>
      <w:r>
        <w:rPr>
          <w:rFonts w:ascii="仿宋" w:eastAsia="仿宋" w:hAnsi="仿宋" w:hint="eastAsia"/>
          <w:sz w:val="28"/>
          <w:szCs w:val="28"/>
        </w:rPr>
        <w:t>月回落</w:t>
      </w:r>
      <w:r>
        <w:rPr>
          <w:rFonts w:ascii="仿宋" w:eastAsia="仿宋" w:hAnsi="仿宋" w:hint="eastAsia"/>
          <w:sz w:val="28"/>
          <w:szCs w:val="28"/>
        </w:rPr>
        <w:t>2.13</w:t>
      </w:r>
      <w:r>
        <w:rPr>
          <w:rFonts w:ascii="仿宋" w:eastAsia="仿宋" w:hAnsi="仿宋" w:hint="eastAsia"/>
          <w:sz w:val="28"/>
          <w:szCs w:val="28"/>
        </w:rPr>
        <w:t>个百分点。</w:t>
      </w:r>
    </w:p>
    <w:p w:rsidR="002A4E70" w:rsidRDefault="00264C8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</w:t>
      </w:r>
      <w:r>
        <w:rPr>
          <w:rFonts w:ascii="黑体" w:eastAsia="黑体" w:hAnsi="黑体" w:cs="黑体" w:hint="eastAsia"/>
          <w:sz w:val="28"/>
          <w:szCs w:val="28"/>
        </w:rPr>
        <w:t>、</w:t>
      </w:r>
      <w:r>
        <w:rPr>
          <w:rFonts w:ascii="黑体" w:eastAsia="黑体" w:hAnsi="黑体" w:cs="黑体" w:hint="eastAsia"/>
          <w:sz w:val="28"/>
          <w:szCs w:val="28"/>
        </w:rPr>
        <w:t>金融业平稳运行</w:t>
      </w:r>
      <w:r>
        <w:rPr>
          <w:rFonts w:ascii="黑体" w:eastAsia="黑体" w:hAnsi="黑体" w:cs="黑体" w:hint="eastAsia"/>
          <w:sz w:val="28"/>
          <w:szCs w:val="28"/>
        </w:rPr>
        <w:t>，其中贷款增长较快</w:t>
      </w:r>
      <w:r>
        <w:rPr>
          <w:rFonts w:ascii="黑体" w:eastAsia="黑体" w:hAnsi="黑体" w:cs="黑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月底，全县金融机构本外币各项存款余额</w:t>
      </w:r>
      <w:r>
        <w:rPr>
          <w:rFonts w:ascii="仿宋" w:eastAsia="仿宋" w:hAnsi="仿宋" w:hint="eastAsia"/>
          <w:sz w:val="28"/>
          <w:szCs w:val="28"/>
        </w:rPr>
        <w:t>327.34</w:t>
      </w:r>
      <w:r>
        <w:rPr>
          <w:rFonts w:ascii="仿宋" w:eastAsia="仿宋" w:hAnsi="仿宋" w:hint="eastAsia"/>
          <w:sz w:val="28"/>
          <w:szCs w:val="28"/>
        </w:rPr>
        <w:t>亿元，比年初增长</w:t>
      </w:r>
      <w:r>
        <w:rPr>
          <w:rFonts w:ascii="仿宋" w:eastAsia="仿宋" w:hAnsi="仿宋" w:hint="eastAsia"/>
          <w:sz w:val="28"/>
          <w:szCs w:val="28"/>
        </w:rPr>
        <w:t>3.59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月底提高</w:t>
      </w:r>
      <w:r>
        <w:rPr>
          <w:rFonts w:ascii="仿宋" w:eastAsia="仿宋" w:hAnsi="仿宋" w:hint="eastAsia"/>
          <w:sz w:val="28"/>
          <w:szCs w:val="28"/>
        </w:rPr>
        <w:lastRenderedPageBreak/>
        <w:t>1.16</w:t>
      </w:r>
      <w:r>
        <w:rPr>
          <w:rFonts w:ascii="仿宋" w:eastAsia="仿宋" w:hAnsi="仿宋" w:hint="eastAsia"/>
          <w:sz w:val="28"/>
          <w:szCs w:val="28"/>
        </w:rPr>
        <w:t>个百分点；其中，住户存款余额</w:t>
      </w:r>
      <w:r>
        <w:rPr>
          <w:rFonts w:ascii="仿宋" w:eastAsia="仿宋" w:hAnsi="仿宋" w:hint="eastAsia"/>
          <w:sz w:val="28"/>
          <w:szCs w:val="28"/>
        </w:rPr>
        <w:t>282.37</w:t>
      </w:r>
      <w:r>
        <w:rPr>
          <w:rFonts w:ascii="仿宋" w:eastAsia="仿宋" w:hAnsi="仿宋" w:hint="eastAsia"/>
          <w:sz w:val="28"/>
          <w:szCs w:val="28"/>
        </w:rPr>
        <w:t>亿元，比年初增长</w:t>
      </w:r>
      <w:r>
        <w:rPr>
          <w:rFonts w:ascii="仿宋" w:eastAsia="仿宋" w:hAnsi="仿宋" w:hint="eastAsia"/>
          <w:sz w:val="28"/>
          <w:szCs w:val="28"/>
        </w:rPr>
        <w:t>9.72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月底提高</w:t>
      </w:r>
      <w:r>
        <w:rPr>
          <w:rFonts w:ascii="仿宋" w:eastAsia="仿宋" w:hAnsi="仿宋" w:hint="eastAsia"/>
          <w:sz w:val="28"/>
          <w:szCs w:val="28"/>
        </w:rPr>
        <w:t>0.79</w:t>
      </w:r>
      <w:r>
        <w:rPr>
          <w:rFonts w:ascii="仿宋" w:eastAsia="仿宋" w:hAnsi="仿宋" w:hint="eastAsia"/>
          <w:sz w:val="28"/>
          <w:szCs w:val="28"/>
        </w:rPr>
        <w:t>个百分点。金融机构本外币各项贷款余额</w:t>
      </w:r>
      <w:r>
        <w:rPr>
          <w:rFonts w:ascii="仿宋" w:eastAsia="仿宋" w:hAnsi="仿宋" w:hint="eastAsia"/>
          <w:sz w:val="28"/>
          <w:szCs w:val="28"/>
        </w:rPr>
        <w:t>209.88</w:t>
      </w:r>
      <w:r>
        <w:rPr>
          <w:rFonts w:ascii="仿宋" w:eastAsia="仿宋" w:hAnsi="仿宋" w:hint="eastAsia"/>
          <w:sz w:val="28"/>
          <w:szCs w:val="28"/>
        </w:rPr>
        <w:t>亿元，比年初增长</w:t>
      </w:r>
      <w:r>
        <w:rPr>
          <w:rFonts w:ascii="仿宋" w:eastAsia="仿宋" w:hAnsi="仿宋" w:hint="eastAsia"/>
          <w:sz w:val="28"/>
          <w:szCs w:val="28"/>
        </w:rPr>
        <w:t>10.44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月底回落</w:t>
      </w:r>
      <w:r>
        <w:rPr>
          <w:rFonts w:ascii="仿宋" w:eastAsia="仿宋" w:hAnsi="仿宋" w:hint="eastAsia"/>
          <w:sz w:val="28"/>
          <w:szCs w:val="28"/>
        </w:rPr>
        <w:t>0.14</w:t>
      </w:r>
      <w:r>
        <w:rPr>
          <w:rFonts w:ascii="仿宋" w:eastAsia="仿宋" w:hAnsi="仿宋" w:hint="eastAsia"/>
          <w:sz w:val="28"/>
          <w:szCs w:val="28"/>
        </w:rPr>
        <w:t>个百分点。存贷比为</w:t>
      </w:r>
      <w:r>
        <w:rPr>
          <w:rFonts w:ascii="仿宋" w:eastAsia="仿宋" w:hAnsi="仿宋" w:hint="eastAsia"/>
          <w:sz w:val="28"/>
          <w:szCs w:val="28"/>
        </w:rPr>
        <w:t>64.12</w:t>
      </w:r>
      <w:r>
        <w:rPr>
          <w:rFonts w:ascii="仿宋" w:eastAsia="仿宋" w:hAnsi="仿宋" w:hint="eastAsia"/>
          <w:sz w:val="28"/>
          <w:szCs w:val="28"/>
        </w:rPr>
        <w:t>%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增速比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月底回落</w:t>
      </w:r>
      <w:r>
        <w:rPr>
          <w:rFonts w:ascii="仿宋" w:eastAsia="仿宋" w:hAnsi="仿宋" w:hint="eastAsia"/>
          <w:sz w:val="28"/>
          <w:szCs w:val="28"/>
        </w:rPr>
        <w:t>0.78</w:t>
      </w:r>
      <w:r>
        <w:rPr>
          <w:rFonts w:ascii="仿宋" w:eastAsia="仿宋" w:hAnsi="仿宋" w:hint="eastAsia"/>
          <w:sz w:val="28"/>
          <w:szCs w:val="28"/>
        </w:rPr>
        <w:t>个百分点。</w:t>
      </w:r>
    </w:p>
    <w:p w:rsidR="002A4E70" w:rsidRDefault="002A4E70">
      <w:pPr>
        <w:spacing w:line="48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</w:p>
    <w:sectPr w:rsidR="002A4E70" w:rsidSect="00FE3A0A">
      <w:footerReference w:type="default" r:id="rId7"/>
      <w:pgSz w:w="11906" w:h="16838" w:code="9"/>
      <w:pgMar w:top="1247" w:right="1418" w:bottom="1418" w:left="1418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C8B" w:rsidRDefault="00264C8B" w:rsidP="002A4E70">
      <w:r>
        <w:separator/>
      </w:r>
    </w:p>
  </w:endnote>
  <w:endnote w:type="continuationSeparator" w:id="1">
    <w:p w:rsidR="00264C8B" w:rsidRDefault="00264C8B" w:rsidP="002A4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0AA24F32-4886-4C8B-BC6C-32FC41E3D92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B63736E-FBF6-4689-A3DD-3821E5AD7A1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C4F14C7-3DBF-4795-A170-8DB1D5A35B6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E95C0FB3-CDD2-47CB-9E57-3D8284A55570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E70" w:rsidRDefault="002A4E7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2A4E70" w:rsidRDefault="002A4E70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264C8B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FE3A0A">
                  <w:rPr>
                    <w:rFonts w:asciiTheme="majorEastAsia" w:eastAsiaTheme="majorEastAsia" w:hAnsiTheme="majorEastAsia"/>
                    <w:noProof/>
                  </w:rPr>
                  <w:t>- 1 -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C8B" w:rsidRDefault="00264C8B" w:rsidP="002A4E70">
      <w:r>
        <w:separator/>
      </w:r>
    </w:p>
  </w:footnote>
  <w:footnote w:type="continuationSeparator" w:id="1">
    <w:p w:rsidR="00264C8B" w:rsidRDefault="00264C8B" w:rsidP="002A4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TrueType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4D9"/>
    <w:rsid w:val="0009390A"/>
    <w:rsid w:val="00111A34"/>
    <w:rsid w:val="00264C8B"/>
    <w:rsid w:val="002A4E70"/>
    <w:rsid w:val="002B53CB"/>
    <w:rsid w:val="003A6341"/>
    <w:rsid w:val="005F09A2"/>
    <w:rsid w:val="005F37C3"/>
    <w:rsid w:val="00882B14"/>
    <w:rsid w:val="009C74FF"/>
    <w:rsid w:val="00AF5D32"/>
    <w:rsid w:val="00E77886"/>
    <w:rsid w:val="00EC14D9"/>
    <w:rsid w:val="00FE3A0A"/>
    <w:rsid w:val="012349B7"/>
    <w:rsid w:val="01BB12A3"/>
    <w:rsid w:val="01C0241A"/>
    <w:rsid w:val="021E222F"/>
    <w:rsid w:val="027C5D94"/>
    <w:rsid w:val="02AE184B"/>
    <w:rsid w:val="0348102D"/>
    <w:rsid w:val="04930909"/>
    <w:rsid w:val="05286451"/>
    <w:rsid w:val="06581112"/>
    <w:rsid w:val="066B74C8"/>
    <w:rsid w:val="066F0643"/>
    <w:rsid w:val="07B04F1A"/>
    <w:rsid w:val="07D854DC"/>
    <w:rsid w:val="0860347E"/>
    <w:rsid w:val="0891016B"/>
    <w:rsid w:val="090D6BBB"/>
    <w:rsid w:val="09306E39"/>
    <w:rsid w:val="09650FD4"/>
    <w:rsid w:val="0A105458"/>
    <w:rsid w:val="0A7F5EC6"/>
    <w:rsid w:val="0ADD1F1A"/>
    <w:rsid w:val="0D0A5794"/>
    <w:rsid w:val="0D3A4634"/>
    <w:rsid w:val="0D8F2394"/>
    <w:rsid w:val="10A3463E"/>
    <w:rsid w:val="10B81304"/>
    <w:rsid w:val="10F17E29"/>
    <w:rsid w:val="10F316F0"/>
    <w:rsid w:val="11635695"/>
    <w:rsid w:val="120A7998"/>
    <w:rsid w:val="12667650"/>
    <w:rsid w:val="128D596A"/>
    <w:rsid w:val="134B2D9C"/>
    <w:rsid w:val="139A519B"/>
    <w:rsid w:val="13B14E1B"/>
    <w:rsid w:val="1401070F"/>
    <w:rsid w:val="14767F67"/>
    <w:rsid w:val="157E3309"/>
    <w:rsid w:val="15BB5C1A"/>
    <w:rsid w:val="15D257D3"/>
    <w:rsid w:val="166231D1"/>
    <w:rsid w:val="167913E8"/>
    <w:rsid w:val="17DF1576"/>
    <w:rsid w:val="18AE443B"/>
    <w:rsid w:val="18D15785"/>
    <w:rsid w:val="196413A4"/>
    <w:rsid w:val="19A71B74"/>
    <w:rsid w:val="1A1409B3"/>
    <w:rsid w:val="1A7638DE"/>
    <w:rsid w:val="1A9451F0"/>
    <w:rsid w:val="1AB664D9"/>
    <w:rsid w:val="1AEC18B3"/>
    <w:rsid w:val="1BB27C94"/>
    <w:rsid w:val="1C326700"/>
    <w:rsid w:val="1E461DAF"/>
    <w:rsid w:val="1F1B4DD0"/>
    <w:rsid w:val="209B1067"/>
    <w:rsid w:val="20A56CA5"/>
    <w:rsid w:val="20AE6B74"/>
    <w:rsid w:val="21187FB5"/>
    <w:rsid w:val="211B39BB"/>
    <w:rsid w:val="21310D11"/>
    <w:rsid w:val="23846C96"/>
    <w:rsid w:val="239534C1"/>
    <w:rsid w:val="23C66B8C"/>
    <w:rsid w:val="241D16E8"/>
    <w:rsid w:val="24901A1A"/>
    <w:rsid w:val="24967636"/>
    <w:rsid w:val="24A91651"/>
    <w:rsid w:val="24D67B73"/>
    <w:rsid w:val="24DA3047"/>
    <w:rsid w:val="24DF6717"/>
    <w:rsid w:val="2500608E"/>
    <w:rsid w:val="25050B8E"/>
    <w:rsid w:val="251C60D5"/>
    <w:rsid w:val="257C72E1"/>
    <w:rsid w:val="267C27A2"/>
    <w:rsid w:val="268B7806"/>
    <w:rsid w:val="26B23E11"/>
    <w:rsid w:val="26C01913"/>
    <w:rsid w:val="27135B47"/>
    <w:rsid w:val="283A4BE9"/>
    <w:rsid w:val="28AA3191"/>
    <w:rsid w:val="28B37FAE"/>
    <w:rsid w:val="29164416"/>
    <w:rsid w:val="295E609E"/>
    <w:rsid w:val="298D53DE"/>
    <w:rsid w:val="2A712D0A"/>
    <w:rsid w:val="2A8F679D"/>
    <w:rsid w:val="2B295867"/>
    <w:rsid w:val="2B33283C"/>
    <w:rsid w:val="2B630693"/>
    <w:rsid w:val="2C696078"/>
    <w:rsid w:val="2C793F96"/>
    <w:rsid w:val="2CE54A9E"/>
    <w:rsid w:val="2CFA58D8"/>
    <w:rsid w:val="2D261583"/>
    <w:rsid w:val="2EC818B1"/>
    <w:rsid w:val="2F077D98"/>
    <w:rsid w:val="2FA74803"/>
    <w:rsid w:val="2FB64C6B"/>
    <w:rsid w:val="304B0EF9"/>
    <w:rsid w:val="306A297F"/>
    <w:rsid w:val="306D51FF"/>
    <w:rsid w:val="314E701A"/>
    <w:rsid w:val="31D51107"/>
    <w:rsid w:val="31E36B85"/>
    <w:rsid w:val="32035A1C"/>
    <w:rsid w:val="32161023"/>
    <w:rsid w:val="324648CB"/>
    <w:rsid w:val="332C3320"/>
    <w:rsid w:val="34096584"/>
    <w:rsid w:val="34292384"/>
    <w:rsid w:val="344A48C2"/>
    <w:rsid w:val="34975F33"/>
    <w:rsid w:val="34BD4C31"/>
    <w:rsid w:val="350A3813"/>
    <w:rsid w:val="35247D48"/>
    <w:rsid w:val="358B19C0"/>
    <w:rsid w:val="35DA11E8"/>
    <w:rsid w:val="3628789A"/>
    <w:rsid w:val="372B36C4"/>
    <w:rsid w:val="37943733"/>
    <w:rsid w:val="37CE5661"/>
    <w:rsid w:val="38950BBD"/>
    <w:rsid w:val="38C65550"/>
    <w:rsid w:val="39371624"/>
    <w:rsid w:val="3970606F"/>
    <w:rsid w:val="3A57612B"/>
    <w:rsid w:val="3A5E6050"/>
    <w:rsid w:val="3A96656F"/>
    <w:rsid w:val="3A983C52"/>
    <w:rsid w:val="3B1510E6"/>
    <w:rsid w:val="3C2300AE"/>
    <w:rsid w:val="3C5B3212"/>
    <w:rsid w:val="3CB21666"/>
    <w:rsid w:val="3CFE42B1"/>
    <w:rsid w:val="3D351175"/>
    <w:rsid w:val="3D99009B"/>
    <w:rsid w:val="3DC70233"/>
    <w:rsid w:val="3DE16978"/>
    <w:rsid w:val="3E282903"/>
    <w:rsid w:val="3EEF31BA"/>
    <w:rsid w:val="3F0B4CBF"/>
    <w:rsid w:val="3F8E2CBE"/>
    <w:rsid w:val="3FFC48B3"/>
    <w:rsid w:val="404D613F"/>
    <w:rsid w:val="411A5F27"/>
    <w:rsid w:val="414474DF"/>
    <w:rsid w:val="41847D84"/>
    <w:rsid w:val="41C47AA8"/>
    <w:rsid w:val="42054FF6"/>
    <w:rsid w:val="42230F4E"/>
    <w:rsid w:val="429441C8"/>
    <w:rsid w:val="42FE5825"/>
    <w:rsid w:val="43514FC4"/>
    <w:rsid w:val="43CB3177"/>
    <w:rsid w:val="44562392"/>
    <w:rsid w:val="44973136"/>
    <w:rsid w:val="449C2DAD"/>
    <w:rsid w:val="44B740DF"/>
    <w:rsid w:val="44C67FDC"/>
    <w:rsid w:val="450352A7"/>
    <w:rsid w:val="458D4D84"/>
    <w:rsid w:val="459C3E7A"/>
    <w:rsid w:val="45BD690E"/>
    <w:rsid w:val="461B0592"/>
    <w:rsid w:val="467C4CA8"/>
    <w:rsid w:val="46DC5745"/>
    <w:rsid w:val="4759697B"/>
    <w:rsid w:val="4A120B94"/>
    <w:rsid w:val="4A6E6F3D"/>
    <w:rsid w:val="4CBB2899"/>
    <w:rsid w:val="4CEF5FF9"/>
    <w:rsid w:val="4D065E43"/>
    <w:rsid w:val="4D1F385B"/>
    <w:rsid w:val="4D303CA9"/>
    <w:rsid w:val="4D76663E"/>
    <w:rsid w:val="4DD43B25"/>
    <w:rsid w:val="4E2A45BA"/>
    <w:rsid w:val="4FC51BF5"/>
    <w:rsid w:val="50057278"/>
    <w:rsid w:val="50DD4004"/>
    <w:rsid w:val="510C61B8"/>
    <w:rsid w:val="513E1221"/>
    <w:rsid w:val="525164A4"/>
    <w:rsid w:val="52C9789F"/>
    <w:rsid w:val="52F67AA9"/>
    <w:rsid w:val="537768B3"/>
    <w:rsid w:val="538C5998"/>
    <w:rsid w:val="53E51E3A"/>
    <w:rsid w:val="54EB1881"/>
    <w:rsid w:val="54F7037E"/>
    <w:rsid w:val="5572264A"/>
    <w:rsid w:val="55997BEB"/>
    <w:rsid w:val="569F5CD1"/>
    <w:rsid w:val="56AF177F"/>
    <w:rsid w:val="57916F0E"/>
    <w:rsid w:val="57DC4CDB"/>
    <w:rsid w:val="582E3E80"/>
    <w:rsid w:val="58C428A6"/>
    <w:rsid w:val="59120979"/>
    <w:rsid w:val="59486F6A"/>
    <w:rsid w:val="594F7A18"/>
    <w:rsid w:val="596D4E8F"/>
    <w:rsid w:val="59734479"/>
    <w:rsid w:val="59763B90"/>
    <w:rsid w:val="5BA761CE"/>
    <w:rsid w:val="5BED1B8E"/>
    <w:rsid w:val="5BFE0AE9"/>
    <w:rsid w:val="5C895452"/>
    <w:rsid w:val="5C895478"/>
    <w:rsid w:val="5CAF1637"/>
    <w:rsid w:val="5D953EAF"/>
    <w:rsid w:val="5DC50EFA"/>
    <w:rsid w:val="5E007170"/>
    <w:rsid w:val="5E3B05AD"/>
    <w:rsid w:val="5EDA482F"/>
    <w:rsid w:val="5EE533EF"/>
    <w:rsid w:val="5FB2602C"/>
    <w:rsid w:val="5FBF49C5"/>
    <w:rsid w:val="5FD941DE"/>
    <w:rsid w:val="608F2D95"/>
    <w:rsid w:val="609A4E1A"/>
    <w:rsid w:val="60B355D4"/>
    <w:rsid w:val="60CA67BB"/>
    <w:rsid w:val="60E728B6"/>
    <w:rsid w:val="618A37D6"/>
    <w:rsid w:val="619D5765"/>
    <w:rsid w:val="61CB0445"/>
    <w:rsid w:val="61E4787B"/>
    <w:rsid w:val="61ED48D1"/>
    <w:rsid w:val="6206748F"/>
    <w:rsid w:val="6209472A"/>
    <w:rsid w:val="628720A0"/>
    <w:rsid w:val="62A83061"/>
    <w:rsid w:val="63136EFC"/>
    <w:rsid w:val="636E5D16"/>
    <w:rsid w:val="638C25F8"/>
    <w:rsid w:val="6391146C"/>
    <w:rsid w:val="64F27E2D"/>
    <w:rsid w:val="65806A0D"/>
    <w:rsid w:val="65DA6297"/>
    <w:rsid w:val="662F536F"/>
    <w:rsid w:val="66646464"/>
    <w:rsid w:val="66704BC0"/>
    <w:rsid w:val="66B54861"/>
    <w:rsid w:val="67186444"/>
    <w:rsid w:val="679E5412"/>
    <w:rsid w:val="688511ED"/>
    <w:rsid w:val="690763C0"/>
    <w:rsid w:val="69972381"/>
    <w:rsid w:val="69D852D4"/>
    <w:rsid w:val="6A1037EB"/>
    <w:rsid w:val="6A1B790E"/>
    <w:rsid w:val="6A734CA6"/>
    <w:rsid w:val="6A9F2838"/>
    <w:rsid w:val="6AA02534"/>
    <w:rsid w:val="6B17268F"/>
    <w:rsid w:val="6B95731D"/>
    <w:rsid w:val="6C1C06E1"/>
    <w:rsid w:val="6CA1645A"/>
    <w:rsid w:val="6D0848E0"/>
    <w:rsid w:val="6D5F7C72"/>
    <w:rsid w:val="6DF31E7E"/>
    <w:rsid w:val="6E1B38DD"/>
    <w:rsid w:val="6EFC0B5E"/>
    <w:rsid w:val="6F753042"/>
    <w:rsid w:val="6FB71CAF"/>
    <w:rsid w:val="70B364F1"/>
    <w:rsid w:val="70CD468A"/>
    <w:rsid w:val="70FD3A4D"/>
    <w:rsid w:val="711A7CA9"/>
    <w:rsid w:val="718025B7"/>
    <w:rsid w:val="71847EB1"/>
    <w:rsid w:val="72225C24"/>
    <w:rsid w:val="72990F2B"/>
    <w:rsid w:val="72E40823"/>
    <w:rsid w:val="73C70FD6"/>
    <w:rsid w:val="7480186F"/>
    <w:rsid w:val="74DC2333"/>
    <w:rsid w:val="75A11B69"/>
    <w:rsid w:val="75D549F3"/>
    <w:rsid w:val="76993E1F"/>
    <w:rsid w:val="769B01A9"/>
    <w:rsid w:val="76A83C36"/>
    <w:rsid w:val="772E6241"/>
    <w:rsid w:val="77684DD9"/>
    <w:rsid w:val="77921E33"/>
    <w:rsid w:val="77E149E3"/>
    <w:rsid w:val="77E2768C"/>
    <w:rsid w:val="780806F5"/>
    <w:rsid w:val="784B1E09"/>
    <w:rsid w:val="786E58B9"/>
    <w:rsid w:val="78C16966"/>
    <w:rsid w:val="7A307323"/>
    <w:rsid w:val="7B1060B3"/>
    <w:rsid w:val="7B814771"/>
    <w:rsid w:val="7BDD1AB6"/>
    <w:rsid w:val="7C8715F5"/>
    <w:rsid w:val="7CD114F2"/>
    <w:rsid w:val="7CE76B79"/>
    <w:rsid w:val="7D177C50"/>
    <w:rsid w:val="7D795883"/>
    <w:rsid w:val="7DB6187A"/>
    <w:rsid w:val="7DE56210"/>
    <w:rsid w:val="7E215C5A"/>
    <w:rsid w:val="7E6C1FCC"/>
    <w:rsid w:val="7F023F74"/>
    <w:rsid w:val="7F2A5CD3"/>
    <w:rsid w:val="7F82509D"/>
    <w:rsid w:val="7F895CC5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E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2A4E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A4E7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A4E70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2A4E70"/>
    <w:rPr>
      <w:b/>
    </w:rPr>
  </w:style>
  <w:style w:type="character" w:customStyle="1" w:styleId="NormalCharacter">
    <w:name w:val="NormalCharacter"/>
    <w:qFormat/>
    <w:rsid w:val="002A4E70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1350</Characters>
  <Application>Microsoft Office Word</Application>
  <DocSecurity>0</DocSecurity>
  <Lines>11</Lines>
  <Paragraphs>3</Paragraphs>
  <ScaleCrop>false</ScaleCrop>
  <Company>微软中国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2021-05-29T09:06:00Z</cp:lastPrinted>
  <dcterms:created xsi:type="dcterms:W3CDTF">2014-10-29T12:08:00Z</dcterms:created>
  <dcterms:modified xsi:type="dcterms:W3CDTF">2021-09-27T01:29:00Z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77035B95B2F7434588EC245530D13B4D</vt:lpwstr>
  </property>
  <property fmtid="{D5CDD505-2E9C-101B-9397-08002B2CF9AE}" pid="4" name="KSOSaveFontToCloudKey">
    <vt:lpwstr>305600870_embed</vt:lpwstr>
  </property>
</Properties>
</file>