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09" w:rsidRDefault="00E47B09"/>
    <w:p w:rsidR="00E47B09" w:rsidRDefault="009D08B8" w:rsidP="009D08B8">
      <w:pPr>
        <w:jc w:val="center"/>
      </w:pP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五华县2021年1-1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1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月份经济运行情况简析</w:t>
      </w:r>
    </w:p>
    <w:p w:rsidR="009D08B8" w:rsidRDefault="009D08B8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月，我县国民经济保持恢复态势，八大主要经济指标均实现正增长，其中，一般公共预算收入和全社会用电量保持</w:t>
      </w:r>
      <w:r>
        <w:rPr>
          <w:rFonts w:ascii="仿宋" w:eastAsia="仿宋" w:hAnsi="仿宋" w:hint="eastAsia"/>
          <w:sz w:val="28"/>
          <w:szCs w:val="28"/>
        </w:rPr>
        <w:t>10.8%</w:t>
      </w:r>
      <w:r>
        <w:rPr>
          <w:rFonts w:ascii="仿宋" w:eastAsia="仿宋" w:hAnsi="仿宋" w:hint="eastAsia"/>
          <w:sz w:val="28"/>
          <w:szCs w:val="28"/>
        </w:rPr>
        <w:t>以上的较快增长，外贸进出口总额增速由负转正增长</w:t>
      </w:r>
      <w:r>
        <w:rPr>
          <w:rFonts w:ascii="仿宋" w:eastAsia="仿宋" w:hAnsi="仿宋" w:hint="eastAsia"/>
          <w:sz w:val="28"/>
          <w:szCs w:val="28"/>
        </w:rPr>
        <w:t>0.36%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一、工业生产平稳增长，增加值增速略快。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月，全县规模以上工业总产值</w:t>
      </w:r>
      <w:r>
        <w:rPr>
          <w:rFonts w:ascii="仿宋" w:eastAsia="仿宋" w:hAnsi="仿宋" w:hint="eastAsia"/>
          <w:sz w:val="28"/>
          <w:szCs w:val="28"/>
        </w:rPr>
        <w:t>30.97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1.9%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2.1</w:t>
      </w:r>
      <w:r>
        <w:rPr>
          <w:rFonts w:ascii="仿宋" w:eastAsia="仿宋" w:hAnsi="仿宋" w:hint="eastAsia"/>
          <w:sz w:val="28"/>
          <w:szCs w:val="28"/>
        </w:rPr>
        <w:t>个百分点，增幅逐月下降，两年平均增长</w:t>
      </w:r>
      <w:r>
        <w:rPr>
          <w:rFonts w:ascii="仿宋" w:eastAsia="仿宋" w:hAnsi="仿宋" w:hint="eastAsia"/>
          <w:sz w:val="28"/>
          <w:szCs w:val="28"/>
        </w:rPr>
        <w:t>7.9%</w:t>
      </w:r>
      <w:r>
        <w:rPr>
          <w:rFonts w:ascii="仿宋" w:eastAsia="仿宋" w:hAnsi="仿宋" w:hint="eastAsia"/>
          <w:sz w:val="28"/>
          <w:szCs w:val="28"/>
        </w:rPr>
        <w:t>。全县规模以上工业增加值</w:t>
      </w:r>
      <w:r>
        <w:rPr>
          <w:rFonts w:ascii="仿宋" w:eastAsia="仿宋" w:hAnsi="仿宋" w:hint="eastAsia"/>
          <w:sz w:val="28"/>
          <w:szCs w:val="28"/>
        </w:rPr>
        <w:t>5.86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8.0%</w:t>
      </w:r>
      <w:r>
        <w:rPr>
          <w:rFonts w:ascii="仿宋" w:eastAsia="仿宋" w:hAnsi="仿宋" w:hint="eastAsia"/>
          <w:sz w:val="28"/>
          <w:szCs w:val="28"/>
        </w:rPr>
        <w:t>；增速比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个百分点、比全市平均水平低</w:t>
      </w:r>
      <w:r>
        <w:rPr>
          <w:rFonts w:ascii="仿宋" w:eastAsia="仿宋" w:hAnsi="仿宋" w:hint="eastAsia"/>
          <w:sz w:val="28"/>
          <w:szCs w:val="28"/>
        </w:rPr>
        <w:t>3.4</w:t>
      </w:r>
      <w:r>
        <w:rPr>
          <w:rFonts w:ascii="仿宋" w:eastAsia="仿宋" w:hAnsi="仿宋" w:hint="eastAsia"/>
          <w:sz w:val="28"/>
          <w:szCs w:val="28"/>
        </w:rPr>
        <w:t>个百分点，两年平均增长</w:t>
      </w:r>
      <w:r>
        <w:rPr>
          <w:rFonts w:ascii="仿宋" w:eastAsia="仿宋" w:hAnsi="仿宋" w:hint="eastAsia"/>
          <w:sz w:val="28"/>
          <w:szCs w:val="28"/>
        </w:rPr>
        <w:t>4.7%</w:t>
      </w:r>
      <w:r>
        <w:rPr>
          <w:rFonts w:ascii="仿宋" w:eastAsia="仿宋" w:hAnsi="仿宋" w:hint="eastAsia"/>
          <w:sz w:val="28"/>
          <w:szCs w:val="28"/>
        </w:rPr>
        <w:t>，增速排名全市第七。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二、固定资产投资平稳增长，</w:t>
      </w:r>
      <w:r>
        <w:rPr>
          <w:rFonts w:ascii="黑体" w:eastAsia="黑体" w:hAnsi="黑体" w:cs="黑体" w:hint="eastAsia"/>
          <w:sz w:val="28"/>
          <w:szCs w:val="28"/>
        </w:rPr>
        <w:t>房地产投资增幅</w:t>
      </w:r>
      <w:r>
        <w:rPr>
          <w:rFonts w:ascii="黑体" w:eastAsia="黑体" w:hAnsi="黑体" w:cs="黑体" w:hint="eastAsia"/>
          <w:sz w:val="28"/>
          <w:szCs w:val="28"/>
        </w:rPr>
        <w:t>较大。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月，全县完成固定资产投资</w:t>
      </w:r>
      <w:r>
        <w:rPr>
          <w:rFonts w:ascii="仿宋" w:eastAsia="仿宋" w:hAnsi="仿宋" w:hint="eastAsia"/>
          <w:sz w:val="28"/>
          <w:szCs w:val="28"/>
        </w:rPr>
        <w:t>87.48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3.32%</w:t>
      </w:r>
      <w:r>
        <w:rPr>
          <w:rFonts w:ascii="仿宋" w:eastAsia="仿宋" w:hAnsi="仿宋" w:hint="eastAsia"/>
          <w:sz w:val="28"/>
          <w:szCs w:val="28"/>
        </w:rPr>
        <w:t>；增速比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11.95</w:t>
      </w:r>
      <w:r>
        <w:rPr>
          <w:rFonts w:ascii="仿宋" w:eastAsia="仿宋" w:hAnsi="仿宋" w:hint="eastAsia"/>
          <w:sz w:val="28"/>
          <w:szCs w:val="28"/>
        </w:rPr>
        <w:t>个百分点，比全市平均水平高</w:t>
      </w:r>
      <w:r>
        <w:rPr>
          <w:rFonts w:ascii="仿宋" w:eastAsia="仿宋" w:hAnsi="仿宋" w:hint="eastAsia"/>
          <w:sz w:val="28"/>
          <w:szCs w:val="28"/>
        </w:rPr>
        <w:t>13.5</w:t>
      </w:r>
      <w:r>
        <w:rPr>
          <w:rFonts w:ascii="仿宋" w:eastAsia="仿宋" w:hAnsi="仿宋" w:hint="eastAsia"/>
          <w:sz w:val="28"/>
          <w:szCs w:val="28"/>
        </w:rPr>
        <w:t>个百分点，两年平均下降</w:t>
      </w:r>
      <w:r>
        <w:rPr>
          <w:rFonts w:ascii="仿宋" w:eastAsia="仿宋" w:hAnsi="仿宋" w:hint="eastAsia"/>
          <w:sz w:val="28"/>
          <w:szCs w:val="28"/>
        </w:rPr>
        <w:t>4.6%</w:t>
      </w:r>
      <w:r>
        <w:rPr>
          <w:rFonts w:ascii="仿宋" w:eastAsia="仿宋" w:hAnsi="仿宋" w:hint="eastAsia"/>
          <w:sz w:val="28"/>
          <w:szCs w:val="28"/>
        </w:rPr>
        <w:t>，增速排名全市第三。分类型看：房地产开发投资</w:t>
      </w:r>
      <w:r>
        <w:rPr>
          <w:rFonts w:ascii="仿宋" w:eastAsia="仿宋" w:hAnsi="仿宋" w:hint="eastAsia"/>
          <w:sz w:val="28"/>
          <w:szCs w:val="28"/>
        </w:rPr>
        <w:t>36.65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95.0%</w:t>
      </w:r>
      <w:r>
        <w:rPr>
          <w:rFonts w:ascii="仿宋" w:eastAsia="仿宋" w:hAnsi="仿宋" w:hint="eastAsia"/>
          <w:sz w:val="28"/>
          <w:szCs w:val="28"/>
        </w:rPr>
        <w:t>，占投资总额</w:t>
      </w:r>
      <w:r>
        <w:rPr>
          <w:rFonts w:ascii="仿宋" w:eastAsia="仿宋" w:hAnsi="仿宋" w:hint="eastAsia"/>
          <w:sz w:val="28"/>
          <w:szCs w:val="28"/>
        </w:rPr>
        <w:t>41.90%</w:t>
      </w:r>
      <w:r>
        <w:rPr>
          <w:rFonts w:ascii="仿宋" w:eastAsia="仿宋" w:hAnsi="仿宋" w:hint="eastAsia"/>
          <w:sz w:val="28"/>
          <w:szCs w:val="28"/>
        </w:rPr>
        <w:t>；工业投资</w:t>
      </w:r>
      <w:r>
        <w:rPr>
          <w:rFonts w:ascii="仿宋" w:eastAsia="仿宋" w:hAnsi="仿宋" w:hint="eastAsia"/>
          <w:sz w:val="28"/>
          <w:szCs w:val="28"/>
        </w:rPr>
        <w:t>22.78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18.78%</w:t>
      </w:r>
      <w:r>
        <w:rPr>
          <w:rFonts w:ascii="仿宋" w:eastAsia="仿宋" w:hAnsi="仿宋" w:hint="eastAsia"/>
          <w:sz w:val="28"/>
          <w:szCs w:val="28"/>
        </w:rPr>
        <w:t>；交通业投资</w:t>
      </w:r>
      <w:r>
        <w:rPr>
          <w:rFonts w:ascii="仿宋" w:eastAsia="仿宋" w:hAnsi="仿宋" w:hint="eastAsia"/>
          <w:sz w:val="28"/>
          <w:szCs w:val="28"/>
        </w:rPr>
        <w:t>17.10</w:t>
      </w:r>
      <w:r>
        <w:rPr>
          <w:rFonts w:ascii="仿宋" w:eastAsia="仿宋" w:hAnsi="仿宋" w:hint="eastAsia"/>
          <w:sz w:val="28"/>
          <w:szCs w:val="28"/>
        </w:rPr>
        <w:t>亿元，同比下降</w:t>
      </w:r>
      <w:r>
        <w:rPr>
          <w:rFonts w:ascii="仿宋" w:eastAsia="仿宋" w:hAnsi="仿宋" w:hint="eastAsia"/>
          <w:sz w:val="28"/>
          <w:szCs w:val="28"/>
        </w:rPr>
        <w:t>29.53%(</w:t>
      </w:r>
      <w:r>
        <w:rPr>
          <w:rFonts w:ascii="仿宋" w:eastAsia="仿宋" w:hAnsi="仿宋" w:hint="eastAsia"/>
          <w:sz w:val="28"/>
          <w:szCs w:val="28"/>
        </w:rPr>
        <w:t>其中“高速公路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高铁”投资</w:t>
      </w:r>
      <w:r>
        <w:rPr>
          <w:rFonts w:ascii="仿宋" w:eastAsia="仿宋" w:hAnsi="仿宋" w:hint="eastAsia"/>
          <w:sz w:val="28"/>
          <w:szCs w:val="28"/>
        </w:rPr>
        <w:t>15.29</w:t>
      </w:r>
      <w:r>
        <w:rPr>
          <w:rFonts w:ascii="仿宋" w:eastAsia="仿宋" w:hAnsi="仿宋" w:hint="eastAsia"/>
          <w:sz w:val="28"/>
          <w:szCs w:val="28"/>
        </w:rPr>
        <w:t>亿元，同比下降</w:t>
      </w:r>
      <w:r>
        <w:rPr>
          <w:rFonts w:ascii="仿宋" w:eastAsia="仿宋" w:hAnsi="仿宋" w:hint="eastAsia"/>
          <w:sz w:val="28"/>
          <w:szCs w:val="28"/>
        </w:rPr>
        <w:t>9.74%</w:t>
      </w:r>
      <w:r>
        <w:rPr>
          <w:rFonts w:ascii="仿宋" w:eastAsia="仿宋" w:hAnsi="仿宋" w:hint="eastAsia"/>
          <w:sz w:val="28"/>
          <w:szCs w:val="28"/>
        </w:rPr>
        <w:t>），市政等其他项目投资</w:t>
      </w:r>
      <w:r>
        <w:rPr>
          <w:rFonts w:ascii="仿宋" w:eastAsia="仿宋" w:hAnsi="仿宋" w:hint="eastAsia"/>
          <w:sz w:val="28"/>
          <w:szCs w:val="28"/>
        </w:rPr>
        <w:t>10.95</w:t>
      </w:r>
      <w:r>
        <w:rPr>
          <w:rFonts w:ascii="仿宋" w:eastAsia="仿宋" w:hAnsi="仿宋" w:hint="eastAsia"/>
          <w:sz w:val="28"/>
          <w:szCs w:val="28"/>
        </w:rPr>
        <w:t>亿元，同比下降</w:t>
      </w:r>
      <w:r>
        <w:rPr>
          <w:rFonts w:ascii="仿宋" w:eastAsia="仿宋" w:hAnsi="仿宋" w:hint="eastAsia"/>
          <w:sz w:val="28"/>
          <w:szCs w:val="28"/>
        </w:rPr>
        <w:t>51.19%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三、社会消费品零售总额稳定增长</w:t>
      </w:r>
      <w:r>
        <w:rPr>
          <w:rFonts w:ascii="黑体" w:eastAsia="黑体" w:hAnsi="黑体" w:cs="黑体" w:hint="eastAsia"/>
          <w:sz w:val="28"/>
          <w:szCs w:val="28"/>
        </w:rPr>
        <w:t>，限额以上零售增幅较大。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月，全县社会消费品零售总额</w:t>
      </w:r>
      <w:r>
        <w:rPr>
          <w:rFonts w:ascii="仿宋" w:eastAsia="仿宋" w:hAnsi="仿宋" w:hint="eastAsia"/>
          <w:sz w:val="28"/>
          <w:szCs w:val="28"/>
        </w:rPr>
        <w:t>76.52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4.5%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个百分点，比全市平均水平高</w:t>
      </w:r>
      <w:r>
        <w:rPr>
          <w:rFonts w:ascii="仿宋" w:eastAsia="仿宋" w:hAnsi="仿宋" w:hint="eastAsia"/>
          <w:sz w:val="28"/>
          <w:szCs w:val="28"/>
        </w:rPr>
        <w:t>1.3</w:t>
      </w:r>
      <w:r>
        <w:rPr>
          <w:rFonts w:ascii="仿宋" w:eastAsia="仿宋" w:hAnsi="仿宋" w:hint="eastAsia"/>
          <w:sz w:val="28"/>
          <w:szCs w:val="28"/>
        </w:rPr>
        <w:t>个百分点，两年平均下降</w:t>
      </w:r>
      <w:r>
        <w:rPr>
          <w:rFonts w:ascii="仿宋" w:eastAsia="仿宋" w:hAnsi="仿宋" w:hint="eastAsia"/>
          <w:sz w:val="28"/>
          <w:szCs w:val="28"/>
        </w:rPr>
        <w:t>2.0%</w:t>
      </w:r>
      <w:r>
        <w:rPr>
          <w:rFonts w:ascii="仿宋" w:eastAsia="仿宋" w:hAnsi="仿宋" w:hint="eastAsia"/>
          <w:sz w:val="28"/>
          <w:szCs w:val="28"/>
        </w:rPr>
        <w:t>，增速排名全市第一。分类型看：限额以上零售总额</w:t>
      </w:r>
      <w:r>
        <w:rPr>
          <w:rFonts w:ascii="仿宋" w:eastAsia="仿宋" w:hAnsi="仿宋" w:hint="eastAsia"/>
          <w:sz w:val="28"/>
          <w:szCs w:val="28"/>
        </w:rPr>
        <w:t>1.98</w:t>
      </w:r>
      <w:r>
        <w:rPr>
          <w:rFonts w:ascii="仿宋" w:eastAsia="仿宋" w:hAnsi="仿宋" w:hint="eastAsia"/>
          <w:sz w:val="28"/>
          <w:szCs w:val="28"/>
        </w:rPr>
        <w:t>亿元，</w:t>
      </w:r>
      <w:r>
        <w:rPr>
          <w:rFonts w:ascii="仿宋" w:eastAsia="仿宋" w:hAnsi="仿宋" w:hint="eastAsia"/>
          <w:sz w:val="28"/>
          <w:szCs w:val="28"/>
        </w:rPr>
        <w:lastRenderedPageBreak/>
        <w:t>同比增长</w:t>
      </w:r>
      <w:r>
        <w:rPr>
          <w:rFonts w:ascii="仿宋" w:eastAsia="仿宋" w:hAnsi="仿宋" w:hint="eastAsia"/>
          <w:sz w:val="28"/>
          <w:szCs w:val="28"/>
        </w:rPr>
        <w:t>33.9%</w:t>
      </w:r>
      <w:r>
        <w:rPr>
          <w:rFonts w:ascii="仿宋" w:eastAsia="仿宋" w:hAnsi="仿宋" w:hint="eastAsia"/>
          <w:sz w:val="28"/>
          <w:szCs w:val="28"/>
        </w:rPr>
        <w:t>，限额以下零售总额</w:t>
      </w:r>
      <w:r>
        <w:rPr>
          <w:rFonts w:ascii="仿宋" w:eastAsia="仿宋" w:hAnsi="仿宋" w:hint="eastAsia"/>
          <w:sz w:val="28"/>
          <w:szCs w:val="28"/>
        </w:rPr>
        <w:t>74.54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3.9%</w:t>
      </w:r>
      <w:r>
        <w:rPr>
          <w:rFonts w:ascii="仿宋" w:eastAsia="仿宋" w:hAnsi="仿宋" w:hint="eastAsia"/>
          <w:sz w:val="28"/>
          <w:szCs w:val="28"/>
        </w:rPr>
        <w:t>，限上、限下消费比例为</w:t>
      </w:r>
      <w:r>
        <w:rPr>
          <w:rFonts w:ascii="仿宋" w:eastAsia="仿宋" w:hAnsi="仿宋" w:hint="eastAsia"/>
          <w:sz w:val="28"/>
          <w:szCs w:val="28"/>
        </w:rPr>
        <w:t>2.6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97.4</w:t>
      </w:r>
      <w:r>
        <w:rPr>
          <w:rFonts w:ascii="仿宋" w:eastAsia="仿宋" w:hAnsi="仿宋" w:hint="eastAsia"/>
          <w:sz w:val="28"/>
          <w:szCs w:val="28"/>
        </w:rPr>
        <w:t>。商品零售总额</w:t>
      </w:r>
      <w:r>
        <w:rPr>
          <w:rFonts w:ascii="仿宋" w:eastAsia="仿宋" w:hAnsi="仿宋" w:hint="eastAsia"/>
          <w:sz w:val="28"/>
          <w:szCs w:val="28"/>
        </w:rPr>
        <w:t>68.33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4.2%</w:t>
      </w:r>
      <w:r>
        <w:rPr>
          <w:rFonts w:ascii="仿宋" w:eastAsia="仿宋" w:hAnsi="仿宋" w:hint="eastAsia"/>
          <w:sz w:val="28"/>
          <w:szCs w:val="28"/>
        </w:rPr>
        <w:t>，餐饮收入总额</w:t>
      </w:r>
      <w:r>
        <w:rPr>
          <w:rFonts w:ascii="仿宋" w:eastAsia="仿宋" w:hAnsi="仿宋" w:hint="eastAsia"/>
          <w:sz w:val="28"/>
          <w:szCs w:val="28"/>
        </w:rPr>
        <w:t>8.19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6.6%</w:t>
      </w:r>
      <w:r>
        <w:rPr>
          <w:rFonts w:ascii="仿宋" w:eastAsia="仿宋" w:hAnsi="仿宋" w:hint="eastAsia"/>
          <w:sz w:val="28"/>
          <w:szCs w:val="28"/>
        </w:rPr>
        <w:t>，商品、餐饮消费比例为</w:t>
      </w:r>
      <w:r>
        <w:rPr>
          <w:rFonts w:ascii="仿宋" w:eastAsia="仿宋" w:hAnsi="仿宋" w:hint="eastAsia"/>
          <w:sz w:val="28"/>
          <w:szCs w:val="28"/>
        </w:rPr>
        <w:t>89.3:10.7</w:t>
      </w:r>
      <w:r>
        <w:rPr>
          <w:rFonts w:ascii="仿宋" w:eastAsia="仿宋" w:hAnsi="仿宋" w:hint="eastAsia"/>
          <w:sz w:val="28"/>
          <w:szCs w:val="28"/>
        </w:rPr>
        <w:t>。城镇消费总额</w:t>
      </w:r>
      <w:r>
        <w:rPr>
          <w:rFonts w:ascii="仿宋" w:eastAsia="仿宋" w:hAnsi="仿宋" w:hint="eastAsia"/>
          <w:sz w:val="28"/>
          <w:szCs w:val="28"/>
        </w:rPr>
        <w:t>58.18</w:t>
      </w:r>
      <w:r>
        <w:rPr>
          <w:rFonts w:ascii="仿宋" w:eastAsia="仿宋" w:hAnsi="仿宋" w:hint="eastAsia"/>
          <w:sz w:val="28"/>
          <w:szCs w:val="28"/>
        </w:rPr>
        <w:t>亿元，同比增</w:t>
      </w:r>
      <w:r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4.9%</w:t>
      </w:r>
      <w:r>
        <w:rPr>
          <w:rFonts w:ascii="仿宋" w:eastAsia="仿宋" w:hAnsi="仿宋" w:hint="eastAsia"/>
          <w:sz w:val="28"/>
          <w:szCs w:val="28"/>
        </w:rPr>
        <w:t>，乡村消费总额</w:t>
      </w:r>
      <w:r>
        <w:rPr>
          <w:rFonts w:ascii="仿宋" w:eastAsia="仿宋" w:hAnsi="仿宋" w:hint="eastAsia"/>
          <w:sz w:val="28"/>
          <w:szCs w:val="28"/>
        </w:rPr>
        <w:t>18.34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3.0%</w:t>
      </w:r>
      <w:r>
        <w:rPr>
          <w:rFonts w:ascii="仿宋" w:eastAsia="仿宋" w:hAnsi="仿宋" w:hint="eastAsia"/>
          <w:sz w:val="28"/>
          <w:szCs w:val="28"/>
        </w:rPr>
        <w:t>，城、乡消费比例为</w:t>
      </w:r>
      <w:r>
        <w:rPr>
          <w:rFonts w:ascii="仿宋" w:eastAsia="仿宋" w:hAnsi="仿宋" w:hint="eastAsia"/>
          <w:sz w:val="28"/>
          <w:szCs w:val="28"/>
        </w:rPr>
        <w:t>76.0:24.0</w:t>
      </w:r>
      <w:r>
        <w:rPr>
          <w:rFonts w:ascii="仿宋" w:eastAsia="仿宋" w:hAnsi="仿宋" w:hint="eastAsia"/>
          <w:sz w:val="28"/>
          <w:szCs w:val="28"/>
        </w:rPr>
        <w:t>，城镇消费增速比农村高</w:t>
      </w:r>
      <w:r>
        <w:rPr>
          <w:rFonts w:ascii="仿宋" w:eastAsia="仿宋" w:hAnsi="仿宋" w:hint="eastAsia"/>
          <w:sz w:val="28"/>
          <w:szCs w:val="28"/>
        </w:rPr>
        <w:t>1.9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四、财税收入稳定增长，一般公共预算收入保持较快增长。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月，全县实现地方一般公共预算收入</w:t>
      </w:r>
      <w:r>
        <w:rPr>
          <w:rFonts w:ascii="仿宋" w:eastAsia="仿宋" w:hAnsi="仿宋" w:hint="eastAsia"/>
          <w:sz w:val="28"/>
          <w:szCs w:val="28"/>
        </w:rPr>
        <w:t>10.35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12.44%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0.44</w:t>
      </w:r>
      <w:r>
        <w:rPr>
          <w:rFonts w:ascii="仿宋" w:eastAsia="仿宋" w:hAnsi="仿宋" w:hint="eastAsia"/>
          <w:sz w:val="28"/>
          <w:szCs w:val="28"/>
        </w:rPr>
        <w:t>个百分点，两年平均增长</w:t>
      </w:r>
      <w:r>
        <w:rPr>
          <w:rFonts w:ascii="仿宋" w:eastAsia="仿宋" w:hAnsi="仿宋" w:hint="eastAsia"/>
          <w:sz w:val="28"/>
          <w:szCs w:val="28"/>
        </w:rPr>
        <w:t>9.2%</w:t>
      </w:r>
      <w:r>
        <w:rPr>
          <w:rFonts w:ascii="仿宋" w:eastAsia="仿宋" w:hAnsi="仿宋" w:hint="eastAsia"/>
          <w:sz w:val="28"/>
          <w:szCs w:val="28"/>
        </w:rPr>
        <w:t>，增速排名全市第二。全县税收收入</w:t>
      </w:r>
      <w:r>
        <w:rPr>
          <w:rFonts w:ascii="仿宋" w:eastAsia="仿宋" w:hAnsi="仿宋" w:hint="eastAsia"/>
          <w:sz w:val="28"/>
          <w:szCs w:val="28"/>
        </w:rPr>
        <w:t>17.99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7.69%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1.27</w:t>
      </w:r>
      <w:r>
        <w:rPr>
          <w:rFonts w:ascii="仿宋" w:eastAsia="仿宋" w:hAnsi="仿宋" w:hint="eastAsia"/>
          <w:sz w:val="28"/>
          <w:szCs w:val="28"/>
        </w:rPr>
        <w:t>个百分点；其中县级收入</w:t>
      </w:r>
      <w:r>
        <w:rPr>
          <w:rFonts w:ascii="仿宋" w:eastAsia="仿宋" w:hAnsi="仿宋" w:hint="eastAsia"/>
          <w:sz w:val="28"/>
          <w:szCs w:val="28"/>
        </w:rPr>
        <w:t>6.69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3.87%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4.43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五、外贸进出口总额增速由负转正，实际利用外资负增长。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月，全县外贸进出口总额</w:t>
      </w:r>
      <w:r>
        <w:rPr>
          <w:rFonts w:ascii="仿宋" w:eastAsia="仿宋" w:hAnsi="仿宋" w:hint="eastAsia"/>
          <w:sz w:val="28"/>
          <w:szCs w:val="28"/>
        </w:rPr>
        <w:t>15518</w:t>
      </w:r>
      <w:r>
        <w:rPr>
          <w:rFonts w:ascii="仿宋" w:eastAsia="仿宋" w:hAnsi="仿宋" w:hint="eastAsia"/>
          <w:sz w:val="28"/>
          <w:szCs w:val="28"/>
        </w:rPr>
        <w:t>万美元，同比增长</w:t>
      </w:r>
      <w:r>
        <w:rPr>
          <w:rFonts w:ascii="仿宋" w:eastAsia="仿宋" w:hAnsi="仿宋" w:hint="eastAsia"/>
          <w:sz w:val="28"/>
          <w:szCs w:val="28"/>
        </w:rPr>
        <w:t>0.36%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月提高</w:t>
      </w:r>
      <w:r>
        <w:rPr>
          <w:rFonts w:ascii="仿宋" w:eastAsia="仿宋" w:hAnsi="仿宋" w:hint="eastAsia"/>
          <w:sz w:val="28"/>
          <w:szCs w:val="28"/>
        </w:rPr>
        <w:t>2.85</w:t>
      </w:r>
      <w:r>
        <w:rPr>
          <w:rFonts w:ascii="仿宋" w:eastAsia="仿宋" w:hAnsi="仿宋" w:hint="eastAsia"/>
          <w:sz w:val="28"/>
          <w:szCs w:val="28"/>
        </w:rPr>
        <w:t>个百分点，两年平均增长</w:t>
      </w:r>
      <w:r>
        <w:rPr>
          <w:rFonts w:ascii="仿宋" w:eastAsia="仿宋" w:hAnsi="仿宋" w:hint="eastAsia"/>
          <w:sz w:val="28"/>
          <w:szCs w:val="28"/>
        </w:rPr>
        <w:t>27.1%</w:t>
      </w:r>
      <w:r>
        <w:rPr>
          <w:rFonts w:ascii="仿宋" w:eastAsia="仿宋" w:hAnsi="仿宋" w:hint="eastAsia"/>
          <w:sz w:val="28"/>
          <w:szCs w:val="28"/>
        </w:rPr>
        <w:t>；完成外贸进出口总额占年计划任务</w:t>
      </w:r>
      <w:r>
        <w:rPr>
          <w:rFonts w:ascii="仿宋" w:eastAsia="仿宋" w:hAnsi="仿宋" w:hint="eastAsia"/>
          <w:sz w:val="28"/>
          <w:szCs w:val="28"/>
        </w:rPr>
        <w:t>95.12%</w:t>
      </w:r>
      <w:r>
        <w:rPr>
          <w:rFonts w:ascii="仿宋" w:eastAsia="仿宋" w:hAnsi="仿宋" w:hint="eastAsia"/>
          <w:sz w:val="28"/>
          <w:szCs w:val="28"/>
        </w:rPr>
        <w:t>，其中出口</w:t>
      </w:r>
      <w:r>
        <w:rPr>
          <w:rFonts w:ascii="仿宋" w:eastAsia="仿宋" w:hAnsi="仿宋" w:hint="eastAsia"/>
          <w:sz w:val="28"/>
          <w:szCs w:val="28"/>
        </w:rPr>
        <w:t>14737</w:t>
      </w:r>
      <w:r>
        <w:rPr>
          <w:rFonts w:ascii="仿宋" w:eastAsia="仿宋" w:hAnsi="仿宋" w:hint="eastAsia"/>
          <w:sz w:val="28"/>
          <w:szCs w:val="28"/>
        </w:rPr>
        <w:t>万美元，进口</w:t>
      </w:r>
      <w:r>
        <w:rPr>
          <w:rFonts w:ascii="仿宋" w:eastAsia="仿宋" w:hAnsi="仿宋" w:hint="eastAsia"/>
          <w:sz w:val="28"/>
          <w:szCs w:val="28"/>
        </w:rPr>
        <w:t>781</w:t>
      </w:r>
      <w:r>
        <w:rPr>
          <w:rFonts w:ascii="仿宋" w:eastAsia="仿宋" w:hAnsi="仿宋" w:hint="eastAsia"/>
          <w:sz w:val="28"/>
          <w:szCs w:val="28"/>
        </w:rPr>
        <w:t>万美元。实际利用外资连续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个月无新增，已完成</w:t>
      </w:r>
      <w:r>
        <w:rPr>
          <w:rFonts w:ascii="仿宋" w:eastAsia="仿宋" w:hAnsi="仿宋" w:hint="eastAsia"/>
          <w:sz w:val="28"/>
          <w:szCs w:val="28"/>
        </w:rPr>
        <w:t>544</w:t>
      </w:r>
      <w:r>
        <w:rPr>
          <w:rFonts w:ascii="仿宋" w:eastAsia="仿宋" w:hAnsi="仿宋" w:hint="eastAsia"/>
          <w:sz w:val="28"/>
          <w:szCs w:val="28"/>
        </w:rPr>
        <w:t>万美元，同比下降</w:t>
      </w:r>
      <w:r>
        <w:rPr>
          <w:rFonts w:ascii="仿宋" w:eastAsia="仿宋" w:hAnsi="仿宋" w:hint="eastAsia"/>
          <w:sz w:val="28"/>
          <w:szCs w:val="28"/>
        </w:rPr>
        <w:t>60.58%</w:t>
      </w:r>
      <w:r>
        <w:rPr>
          <w:rFonts w:ascii="仿宋" w:eastAsia="仿宋" w:hAnsi="仿宋" w:hint="eastAsia"/>
          <w:sz w:val="28"/>
          <w:szCs w:val="28"/>
        </w:rPr>
        <w:t>；实际利用外资占年计划任务</w:t>
      </w:r>
      <w:r>
        <w:rPr>
          <w:rFonts w:ascii="仿宋" w:eastAsia="仿宋" w:hAnsi="仿宋" w:hint="eastAsia"/>
          <w:sz w:val="28"/>
          <w:szCs w:val="28"/>
        </w:rPr>
        <w:t>157.68%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47B09" w:rsidRDefault="00D9238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六、全社会用电量保持较快增长，工业用电</w:t>
      </w:r>
      <w:r>
        <w:rPr>
          <w:rFonts w:ascii="黑体" w:eastAsia="黑体" w:hAnsi="黑体" w:cs="黑体" w:hint="eastAsia"/>
          <w:sz w:val="28"/>
          <w:szCs w:val="28"/>
        </w:rPr>
        <w:t>量</w:t>
      </w:r>
      <w:r>
        <w:rPr>
          <w:rFonts w:ascii="黑体" w:eastAsia="黑体" w:hAnsi="黑体" w:cs="黑体" w:hint="eastAsia"/>
          <w:sz w:val="28"/>
          <w:szCs w:val="28"/>
        </w:rPr>
        <w:t>增速放缓。</w:t>
      </w:r>
      <w:r>
        <w:rPr>
          <w:rFonts w:ascii="仿宋" w:eastAsia="仿宋" w:hAnsi="仿宋" w:hint="eastAsia"/>
          <w:sz w:val="28"/>
          <w:szCs w:val="28"/>
        </w:rPr>
        <w:t>1-11</w:t>
      </w:r>
      <w:r>
        <w:rPr>
          <w:rFonts w:ascii="仿宋" w:eastAsia="仿宋" w:hAnsi="仿宋" w:hint="eastAsia"/>
          <w:sz w:val="28"/>
          <w:szCs w:val="28"/>
        </w:rPr>
        <w:t>月，全社会用电量</w:t>
      </w:r>
      <w:r>
        <w:rPr>
          <w:rFonts w:ascii="仿宋" w:eastAsia="仿宋" w:hAnsi="仿宋" w:hint="eastAsia"/>
          <w:sz w:val="28"/>
          <w:szCs w:val="28"/>
        </w:rPr>
        <w:t>12.58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10.89%</w:t>
      </w:r>
      <w:r>
        <w:rPr>
          <w:rFonts w:ascii="仿宋" w:eastAsia="仿宋" w:hAnsi="仿宋" w:hint="eastAsia"/>
          <w:sz w:val="28"/>
          <w:szCs w:val="28"/>
        </w:rPr>
        <w:t>，两年平均增长</w:t>
      </w:r>
      <w:r>
        <w:rPr>
          <w:rFonts w:ascii="仿宋" w:eastAsia="仿宋" w:hAnsi="仿宋" w:hint="eastAsia"/>
          <w:sz w:val="28"/>
          <w:szCs w:val="28"/>
        </w:rPr>
        <w:t>12.61%</w:t>
      </w:r>
      <w:r>
        <w:rPr>
          <w:rFonts w:ascii="仿宋" w:eastAsia="仿宋" w:hAnsi="仿宋" w:hint="eastAsia"/>
          <w:sz w:val="28"/>
          <w:szCs w:val="28"/>
        </w:rPr>
        <w:t>。分类型看：城乡居民生活用电</w:t>
      </w:r>
      <w:r>
        <w:rPr>
          <w:rFonts w:ascii="仿宋" w:eastAsia="仿宋" w:hAnsi="仿宋" w:hint="eastAsia"/>
          <w:sz w:val="28"/>
          <w:szCs w:val="28"/>
        </w:rPr>
        <w:t>5.78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5.93%</w:t>
      </w:r>
      <w:r>
        <w:rPr>
          <w:rFonts w:ascii="仿宋" w:eastAsia="仿宋" w:hAnsi="仿宋" w:hint="eastAsia"/>
          <w:sz w:val="28"/>
          <w:szCs w:val="28"/>
        </w:rPr>
        <w:t>；全行业用电合计</w:t>
      </w:r>
      <w:r>
        <w:rPr>
          <w:rFonts w:ascii="仿宋" w:eastAsia="仿宋" w:hAnsi="仿宋" w:hint="eastAsia"/>
          <w:sz w:val="28"/>
          <w:szCs w:val="28"/>
        </w:rPr>
        <w:t>6.79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15.50%</w:t>
      </w:r>
      <w:r>
        <w:rPr>
          <w:rFonts w:ascii="仿宋" w:eastAsia="仿宋" w:hAnsi="仿宋" w:hint="eastAsia"/>
          <w:sz w:val="28"/>
          <w:szCs w:val="28"/>
        </w:rPr>
        <w:t>，其中：工业用电量</w:t>
      </w:r>
      <w:r>
        <w:rPr>
          <w:rFonts w:ascii="仿宋" w:eastAsia="仿宋" w:hAnsi="仿宋" w:hint="eastAsia"/>
          <w:sz w:val="28"/>
          <w:szCs w:val="28"/>
        </w:rPr>
        <w:t>3.20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5.54%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1-10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10.62</w:t>
      </w:r>
      <w:r>
        <w:rPr>
          <w:rFonts w:ascii="仿宋" w:eastAsia="仿宋" w:hAnsi="仿宋" w:hint="eastAsia"/>
          <w:sz w:val="28"/>
          <w:szCs w:val="28"/>
        </w:rPr>
        <w:t>个百分点，受有序用电、“双控”政策影响，工业用电量增长减缓。</w:t>
      </w:r>
    </w:p>
    <w:p w:rsidR="00E47B09" w:rsidRDefault="00D92387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七、金融业平稳运行，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存贷比小幅增长。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月底，全县金融机构本外币各项存款余额</w:t>
      </w:r>
      <w:r>
        <w:rPr>
          <w:rFonts w:ascii="仿宋" w:eastAsia="仿宋" w:hAnsi="仿宋" w:hint="eastAsia"/>
          <w:sz w:val="28"/>
          <w:szCs w:val="28"/>
        </w:rPr>
        <w:t>328.68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4.01%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月底回落</w:t>
      </w:r>
      <w:r>
        <w:rPr>
          <w:rFonts w:ascii="仿宋" w:eastAsia="仿宋" w:hAnsi="仿宋" w:hint="eastAsia"/>
          <w:sz w:val="28"/>
          <w:szCs w:val="28"/>
        </w:rPr>
        <w:t>0.83</w:t>
      </w:r>
      <w:r>
        <w:rPr>
          <w:rFonts w:ascii="仿宋" w:eastAsia="仿宋" w:hAnsi="仿宋" w:hint="eastAsia"/>
          <w:sz w:val="28"/>
          <w:szCs w:val="28"/>
        </w:rPr>
        <w:t>个百分点；其中，住户存款余额</w:t>
      </w:r>
      <w:r>
        <w:rPr>
          <w:rFonts w:ascii="仿宋" w:eastAsia="仿宋" w:hAnsi="仿宋" w:hint="eastAsia"/>
          <w:sz w:val="28"/>
          <w:szCs w:val="28"/>
        </w:rPr>
        <w:t>283.97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10.34%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月底提高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.93</w:t>
      </w:r>
      <w:r>
        <w:rPr>
          <w:rFonts w:ascii="仿宋" w:eastAsia="仿宋" w:hAnsi="仿宋" w:hint="eastAsia"/>
          <w:sz w:val="28"/>
          <w:szCs w:val="28"/>
        </w:rPr>
        <w:t>个百分点。金融机构本外币各项贷款余额</w:t>
      </w:r>
      <w:r>
        <w:rPr>
          <w:rFonts w:ascii="仿宋" w:eastAsia="仿宋" w:hAnsi="仿宋" w:hint="eastAsia"/>
          <w:sz w:val="28"/>
          <w:szCs w:val="28"/>
        </w:rPr>
        <w:t>205.23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8.0%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月底提高</w:t>
      </w:r>
      <w:r>
        <w:rPr>
          <w:rFonts w:ascii="仿宋" w:eastAsia="仿宋" w:hAnsi="仿宋" w:hint="eastAsia"/>
          <w:sz w:val="28"/>
          <w:szCs w:val="28"/>
        </w:rPr>
        <w:t>0.48</w:t>
      </w:r>
      <w:r>
        <w:rPr>
          <w:rFonts w:ascii="仿宋" w:eastAsia="仿宋" w:hAnsi="仿宋" w:hint="eastAsia"/>
          <w:sz w:val="28"/>
          <w:szCs w:val="28"/>
        </w:rPr>
        <w:t>个百分点。存贷比为</w:t>
      </w:r>
      <w:r>
        <w:rPr>
          <w:rFonts w:ascii="仿宋" w:eastAsia="仿宋" w:hAnsi="仿宋" w:hint="eastAsia"/>
          <w:sz w:val="28"/>
          <w:szCs w:val="28"/>
        </w:rPr>
        <w:t>62.4%</w:t>
      </w:r>
      <w:r>
        <w:rPr>
          <w:rFonts w:ascii="仿宋" w:eastAsia="仿宋" w:hAnsi="仿宋" w:hint="eastAsia"/>
          <w:sz w:val="28"/>
          <w:szCs w:val="28"/>
        </w:rPr>
        <w:t>，比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月底提高</w:t>
      </w:r>
      <w:r>
        <w:rPr>
          <w:rFonts w:ascii="仿宋" w:eastAsia="仿宋" w:hAnsi="仿宋" w:hint="eastAsia"/>
          <w:sz w:val="28"/>
          <w:szCs w:val="28"/>
        </w:rPr>
        <w:t>0.7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sectPr w:rsidR="00E47B09" w:rsidSect="009D08B8">
      <w:footerReference w:type="default" r:id="rId7"/>
      <w:pgSz w:w="11906" w:h="16838" w:code="9"/>
      <w:pgMar w:top="1418" w:right="1701" w:bottom="1418" w:left="1701" w:header="851" w:footer="1418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87" w:rsidRDefault="00D92387" w:rsidP="00E47B09">
      <w:r>
        <w:separator/>
      </w:r>
    </w:p>
  </w:endnote>
  <w:endnote w:type="continuationSeparator" w:id="1">
    <w:p w:rsidR="00D92387" w:rsidRDefault="00D92387" w:rsidP="00E4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4344D08A-FB9D-4F73-83AF-14C4CDB7B90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4551E6C-67B2-429D-84A3-8F7D7EFE4B0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733E998-D4AB-4FE5-9511-A59AA347F7B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1E6DF9E-7655-42A4-9CDE-1E501019F81C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09" w:rsidRDefault="00E47B0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E47B09" w:rsidRDefault="00E47B09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D92387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9D08B8">
                  <w:rPr>
                    <w:rFonts w:asciiTheme="majorEastAsia" w:eastAsiaTheme="majorEastAsia" w:hAnsiTheme="majorEastAsia"/>
                    <w:noProof/>
                  </w:rPr>
                  <w:t>- 3 -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87" w:rsidRDefault="00D92387" w:rsidP="00E47B09">
      <w:r>
        <w:separator/>
      </w:r>
    </w:p>
  </w:footnote>
  <w:footnote w:type="continuationSeparator" w:id="1">
    <w:p w:rsidR="00D92387" w:rsidRDefault="00D92387" w:rsidP="00E47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2B53CB"/>
    <w:rsid w:val="003A6341"/>
    <w:rsid w:val="005F09A2"/>
    <w:rsid w:val="005F37C3"/>
    <w:rsid w:val="00882B14"/>
    <w:rsid w:val="009C74FF"/>
    <w:rsid w:val="009D08B8"/>
    <w:rsid w:val="00AF5D32"/>
    <w:rsid w:val="00D92387"/>
    <w:rsid w:val="00E47B09"/>
    <w:rsid w:val="00E77886"/>
    <w:rsid w:val="00EC14D9"/>
    <w:rsid w:val="012349B7"/>
    <w:rsid w:val="014D048F"/>
    <w:rsid w:val="01BB12A3"/>
    <w:rsid w:val="01C0241A"/>
    <w:rsid w:val="01D870CF"/>
    <w:rsid w:val="021E222F"/>
    <w:rsid w:val="02212599"/>
    <w:rsid w:val="027C5D94"/>
    <w:rsid w:val="02AE184B"/>
    <w:rsid w:val="0348102D"/>
    <w:rsid w:val="04930909"/>
    <w:rsid w:val="05286451"/>
    <w:rsid w:val="06581112"/>
    <w:rsid w:val="066B74C8"/>
    <w:rsid w:val="066F0643"/>
    <w:rsid w:val="06DF034A"/>
    <w:rsid w:val="07B04F1A"/>
    <w:rsid w:val="07D854DC"/>
    <w:rsid w:val="07EB16A0"/>
    <w:rsid w:val="0860347E"/>
    <w:rsid w:val="087B2781"/>
    <w:rsid w:val="0891016B"/>
    <w:rsid w:val="090D6BBB"/>
    <w:rsid w:val="09306E39"/>
    <w:rsid w:val="09650FD4"/>
    <w:rsid w:val="0A105458"/>
    <w:rsid w:val="0A7F5EC6"/>
    <w:rsid w:val="0ADD1F1A"/>
    <w:rsid w:val="0B1306DF"/>
    <w:rsid w:val="0B502085"/>
    <w:rsid w:val="0B9F1CFE"/>
    <w:rsid w:val="0C837F8F"/>
    <w:rsid w:val="0CA30E58"/>
    <w:rsid w:val="0D03679A"/>
    <w:rsid w:val="0D0A5794"/>
    <w:rsid w:val="0D3A4634"/>
    <w:rsid w:val="0D404BBC"/>
    <w:rsid w:val="0D8F2394"/>
    <w:rsid w:val="0F7A4062"/>
    <w:rsid w:val="10150F70"/>
    <w:rsid w:val="10A3463E"/>
    <w:rsid w:val="10B81304"/>
    <w:rsid w:val="10F17E29"/>
    <w:rsid w:val="10F316F0"/>
    <w:rsid w:val="11635695"/>
    <w:rsid w:val="120A7998"/>
    <w:rsid w:val="12667650"/>
    <w:rsid w:val="128D596A"/>
    <w:rsid w:val="134B2D9C"/>
    <w:rsid w:val="139A519B"/>
    <w:rsid w:val="13B14E1B"/>
    <w:rsid w:val="1401070F"/>
    <w:rsid w:val="14767F67"/>
    <w:rsid w:val="157E3309"/>
    <w:rsid w:val="15BB3207"/>
    <w:rsid w:val="15BB5C1A"/>
    <w:rsid w:val="15D257D3"/>
    <w:rsid w:val="162D0B4C"/>
    <w:rsid w:val="166231D1"/>
    <w:rsid w:val="167913E8"/>
    <w:rsid w:val="17150479"/>
    <w:rsid w:val="17DF1576"/>
    <w:rsid w:val="18AE443B"/>
    <w:rsid w:val="18D15785"/>
    <w:rsid w:val="196413A4"/>
    <w:rsid w:val="19A71B74"/>
    <w:rsid w:val="19C61B56"/>
    <w:rsid w:val="1A1409B3"/>
    <w:rsid w:val="1A7638DE"/>
    <w:rsid w:val="1A9451F0"/>
    <w:rsid w:val="1AB664D9"/>
    <w:rsid w:val="1AEC18B3"/>
    <w:rsid w:val="1BB27C94"/>
    <w:rsid w:val="1C326700"/>
    <w:rsid w:val="1CB30054"/>
    <w:rsid w:val="1E461DAF"/>
    <w:rsid w:val="1EC02BFE"/>
    <w:rsid w:val="1F1B4DD0"/>
    <w:rsid w:val="1F391B38"/>
    <w:rsid w:val="1F6067DA"/>
    <w:rsid w:val="209B1067"/>
    <w:rsid w:val="20A56CA5"/>
    <w:rsid w:val="20AE6B74"/>
    <w:rsid w:val="21187FB5"/>
    <w:rsid w:val="211B39BB"/>
    <w:rsid w:val="21310D11"/>
    <w:rsid w:val="22BB4072"/>
    <w:rsid w:val="23846C96"/>
    <w:rsid w:val="239534C1"/>
    <w:rsid w:val="23C66B8C"/>
    <w:rsid w:val="23D5257E"/>
    <w:rsid w:val="241D16E8"/>
    <w:rsid w:val="24901A1A"/>
    <w:rsid w:val="24967636"/>
    <w:rsid w:val="24A91651"/>
    <w:rsid w:val="24DA3047"/>
    <w:rsid w:val="24DF6717"/>
    <w:rsid w:val="2500608E"/>
    <w:rsid w:val="25050B8E"/>
    <w:rsid w:val="251C60D5"/>
    <w:rsid w:val="257C72E1"/>
    <w:rsid w:val="25D92B03"/>
    <w:rsid w:val="267C27A2"/>
    <w:rsid w:val="268B7806"/>
    <w:rsid w:val="26B23E11"/>
    <w:rsid w:val="26C01913"/>
    <w:rsid w:val="27135B47"/>
    <w:rsid w:val="27A231D3"/>
    <w:rsid w:val="28AA3191"/>
    <w:rsid w:val="28B37FAE"/>
    <w:rsid w:val="28C80903"/>
    <w:rsid w:val="29164416"/>
    <w:rsid w:val="295E609E"/>
    <w:rsid w:val="298D53DE"/>
    <w:rsid w:val="2A712D0A"/>
    <w:rsid w:val="2A753C19"/>
    <w:rsid w:val="2A8F679D"/>
    <w:rsid w:val="2A97092B"/>
    <w:rsid w:val="2B295867"/>
    <w:rsid w:val="2B33283C"/>
    <w:rsid w:val="2B630693"/>
    <w:rsid w:val="2BE04597"/>
    <w:rsid w:val="2C4247A1"/>
    <w:rsid w:val="2C696078"/>
    <w:rsid w:val="2C793F96"/>
    <w:rsid w:val="2CE54A9E"/>
    <w:rsid w:val="2CFA58D8"/>
    <w:rsid w:val="2D261583"/>
    <w:rsid w:val="2EC818B1"/>
    <w:rsid w:val="2F077D98"/>
    <w:rsid w:val="2FA74803"/>
    <w:rsid w:val="2FB64C6B"/>
    <w:rsid w:val="304B0EF9"/>
    <w:rsid w:val="306A297F"/>
    <w:rsid w:val="306D51FF"/>
    <w:rsid w:val="314562E7"/>
    <w:rsid w:val="314B16CB"/>
    <w:rsid w:val="314E701A"/>
    <w:rsid w:val="31D51107"/>
    <w:rsid w:val="31E36B85"/>
    <w:rsid w:val="32035A1C"/>
    <w:rsid w:val="32161023"/>
    <w:rsid w:val="324648CB"/>
    <w:rsid w:val="32B13608"/>
    <w:rsid w:val="332C3320"/>
    <w:rsid w:val="34096584"/>
    <w:rsid w:val="34292384"/>
    <w:rsid w:val="344A48C2"/>
    <w:rsid w:val="34975F33"/>
    <w:rsid w:val="34A35C59"/>
    <w:rsid w:val="34BD4C31"/>
    <w:rsid w:val="34E1656D"/>
    <w:rsid w:val="350A3813"/>
    <w:rsid w:val="35247D48"/>
    <w:rsid w:val="358B19C0"/>
    <w:rsid w:val="35DA11E8"/>
    <w:rsid w:val="3628789A"/>
    <w:rsid w:val="372B36C4"/>
    <w:rsid w:val="37943733"/>
    <w:rsid w:val="37CE5661"/>
    <w:rsid w:val="381E7F36"/>
    <w:rsid w:val="38502440"/>
    <w:rsid w:val="38950BBD"/>
    <w:rsid w:val="38C65550"/>
    <w:rsid w:val="38FF0005"/>
    <w:rsid w:val="39371624"/>
    <w:rsid w:val="3970606F"/>
    <w:rsid w:val="3A57612B"/>
    <w:rsid w:val="3A5E6050"/>
    <w:rsid w:val="3A96656F"/>
    <w:rsid w:val="3A983C52"/>
    <w:rsid w:val="3B1510E6"/>
    <w:rsid w:val="3C2300AE"/>
    <w:rsid w:val="3C5B3212"/>
    <w:rsid w:val="3CB21666"/>
    <w:rsid w:val="3CFE42B1"/>
    <w:rsid w:val="3D351175"/>
    <w:rsid w:val="3D99009B"/>
    <w:rsid w:val="3D9B7F3D"/>
    <w:rsid w:val="3DC70233"/>
    <w:rsid w:val="3DD03F7B"/>
    <w:rsid w:val="3DE16978"/>
    <w:rsid w:val="3E282903"/>
    <w:rsid w:val="3EEF31BA"/>
    <w:rsid w:val="3F0B4CBF"/>
    <w:rsid w:val="3F8E2CBE"/>
    <w:rsid w:val="3FFC48B3"/>
    <w:rsid w:val="404D613F"/>
    <w:rsid w:val="411A5F27"/>
    <w:rsid w:val="4124336F"/>
    <w:rsid w:val="414474DF"/>
    <w:rsid w:val="41847D84"/>
    <w:rsid w:val="41C47AA8"/>
    <w:rsid w:val="41D25BC6"/>
    <w:rsid w:val="42054FF6"/>
    <w:rsid w:val="42230F4E"/>
    <w:rsid w:val="429441C8"/>
    <w:rsid w:val="42D46745"/>
    <w:rsid w:val="42FE5825"/>
    <w:rsid w:val="43514FC4"/>
    <w:rsid w:val="43CB3177"/>
    <w:rsid w:val="44364214"/>
    <w:rsid w:val="44562392"/>
    <w:rsid w:val="44973136"/>
    <w:rsid w:val="449C2DAD"/>
    <w:rsid w:val="44B740DF"/>
    <w:rsid w:val="44BB7E49"/>
    <w:rsid w:val="44C67FDC"/>
    <w:rsid w:val="450352A7"/>
    <w:rsid w:val="458D4D84"/>
    <w:rsid w:val="459C3E7A"/>
    <w:rsid w:val="45BD690E"/>
    <w:rsid w:val="46096031"/>
    <w:rsid w:val="461B0592"/>
    <w:rsid w:val="467C4CA8"/>
    <w:rsid w:val="46DC5745"/>
    <w:rsid w:val="4759697B"/>
    <w:rsid w:val="484C54A4"/>
    <w:rsid w:val="48EF602A"/>
    <w:rsid w:val="4A120B94"/>
    <w:rsid w:val="4A6E6F3D"/>
    <w:rsid w:val="4C7A4FC9"/>
    <w:rsid w:val="4CBB2899"/>
    <w:rsid w:val="4CCF16EB"/>
    <w:rsid w:val="4CEF5FF9"/>
    <w:rsid w:val="4D065E43"/>
    <w:rsid w:val="4D1F385B"/>
    <w:rsid w:val="4D303CA9"/>
    <w:rsid w:val="4D76663E"/>
    <w:rsid w:val="4DD43B25"/>
    <w:rsid w:val="4E2A45BA"/>
    <w:rsid w:val="4EAD7503"/>
    <w:rsid w:val="4F0B6A7A"/>
    <w:rsid w:val="4FC51BF5"/>
    <w:rsid w:val="50057278"/>
    <w:rsid w:val="50326CC0"/>
    <w:rsid w:val="50DD4004"/>
    <w:rsid w:val="510C61B8"/>
    <w:rsid w:val="513E1221"/>
    <w:rsid w:val="525164A4"/>
    <w:rsid w:val="52C9789F"/>
    <w:rsid w:val="52F67AA9"/>
    <w:rsid w:val="537768B3"/>
    <w:rsid w:val="538C5998"/>
    <w:rsid w:val="53E51E3A"/>
    <w:rsid w:val="54EB1881"/>
    <w:rsid w:val="54F7037E"/>
    <w:rsid w:val="5572264A"/>
    <w:rsid w:val="55997BEB"/>
    <w:rsid w:val="569F5CD1"/>
    <w:rsid w:val="56AF177F"/>
    <w:rsid w:val="56C9121F"/>
    <w:rsid w:val="57916F0E"/>
    <w:rsid w:val="57DC4CDB"/>
    <w:rsid w:val="582E3E80"/>
    <w:rsid w:val="58606094"/>
    <w:rsid w:val="58C428A6"/>
    <w:rsid w:val="59120979"/>
    <w:rsid w:val="592E019C"/>
    <w:rsid w:val="593B5D5C"/>
    <w:rsid w:val="59486F6A"/>
    <w:rsid w:val="594F7A18"/>
    <w:rsid w:val="596D4E8F"/>
    <w:rsid w:val="59734479"/>
    <w:rsid w:val="59763B90"/>
    <w:rsid w:val="5BA761CE"/>
    <w:rsid w:val="5BED1B8E"/>
    <w:rsid w:val="5BFE0AE9"/>
    <w:rsid w:val="5C895452"/>
    <w:rsid w:val="5C895478"/>
    <w:rsid w:val="5CAF1637"/>
    <w:rsid w:val="5D432332"/>
    <w:rsid w:val="5D953EAF"/>
    <w:rsid w:val="5DC50EFA"/>
    <w:rsid w:val="5E007170"/>
    <w:rsid w:val="5E3B05AD"/>
    <w:rsid w:val="5EDA482F"/>
    <w:rsid w:val="5EE533EF"/>
    <w:rsid w:val="5FB2602C"/>
    <w:rsid w:val="5FBF49C5"/>
    <w:rsid w:val="5FD941DE"/>
    <w:rsid w:val="601E106B"/>
    <w:rsid w:val="608B2F15"/>
    <w:rsid w:val="608F2D95"/>
    <w:rsid w:val="609A4E1A"/>
    <w:rsid w:val="60B355D4"/>
    <w:rsid w:val="60CA67BB"/>
    <w:rsid w:val="60E728B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4F27E2D"/>
    <w:rsid w:val="65806A0D"/>
    <w:rsid w:val="65DA6297"/>
    <w:rsid w:val="662F536F"/>
    <w:rsid w:val="66646464"/>
    <w:rsid w:val="66704BC0"/>
    <w:rsid w:val="669F2E0E"/>
    <w:rsid w:val="66B54861"/>
    <w:rsid w:val="67186444"/>
    <w:rsid w:val="679E5412"/>
    <w:rsid w:val="688511ED"/>
    <w:rsid w:val="690763C0"/>
    <w:rsid w:val="69972381"/>
    <w:rsid w:val="69D852D4"/>
    <w:rsid w:val="6A1037EB"/>
    <w:rsid w:val="6A1B790E"/>
    <w:rsid w:val="6A371B07"/>
    <w:rsid w:val="6A734CA6"/>
    <w:rsid w:val="6A9F2838"/>
    <w:rsid w:val="6AA02534"/>
    <w:rsid w:val="6B17268F"/>
    <w:rsid w:val="6B95731D"/>
    <w:rsid w:val="6C1C06E1"/>
    <w:rsid w:val="6CA1645A"/>
    <w:rsid w:val="6D0848E0"/>
    <w:rsid w:val="6D5F7C72"/>
    <w:rsid w:val="6DF31E7E"/>
    <w:rsid w:val="6E1B38DD"/>
    <w:rsid w:val="6E6C3BBD"/>
    <w:rsid w:val="6EE3529C"/>
    <w:rsid w:val="6EFC0B5E"/>
    <w:rsid w:val="6F753042"/>
    <w:rsid w:val="6F9078BD"/>
    <w:rsid w:val="6FA87D37"/>
    <w:rsid w:val="6FB71CAF"/>
    <w:rsid w:val="705C2137"/>
    <w:rsid w:val="70B364F1"/>
    <w:rsid w:val="70CD468A"/>
    <w:rsid w:val="70FD3A4D"/>
    <w:rsid w:val="711A7CA9"/>
    <w:rsid w:val="718025B7"/>
    <w:rsid w:val="71847EB1"/>
    <w:rsid w:val="72225C24"/>
    <w:rsid w:val="72990F2B"/>
    <w:rsid w:val="72E40823"/>
    <w:rsid w:val="73C70FD6"/>
    <w:rsid w:val="7480186F"/>
    <w:rsid w:val="74DC2333"/>
    <w:rsid w:val="75A11B69"/>
    <w:rsid w:val="75D549F3"/>
    <w:rsid w:val="76993E1F"/>
    <w:rsid w:val="769B01A9"/>
    <w:rsid w:val="76A83C36"/>
    <w:rsid w:val="76B472BA"/>
    <w:rsid w:val="772E6241"/>
    <w:rsid w:val="77684DD9"/>
    <w:rsid w:val="77921E33"/>
    <w:rsid w:val="77E149E3"/>
    <w:rsid w:val="77E2768C"/>
    <w:rsid w:val="780806F5"/>
    <w:rsid w:val="784B1E09"/>
    <w:rsid w:val="786E58B9"/>
    <w:rsid w:val="78C16966"/>
    <w:rsid w:val="79DC3E07"/>
    <w:rsid w:val="7A307323"/>
    <w:rsid w:val="7B1060B3"/>
    <w:rsid w:val="7B814771"/>
    <w:rsid w:val="7BDA388B"/>
    <w:rsid w:val="7BDD1AB6"/>
    <w:rsid w:val="7C8715F5"/>
    <w:rsid w:val="7CD114F2"/>
    <w:rsid w:val="7CE76B79"/>
    <w:rsid w:val="7D177C50"/>
    <w:rsid w:val="7D795883"/>
    <w:rsid w:val="7DB6187A"/>
    <w:rsid w:val="7DBE5D90"/>
    <w:rsid w:val="7DE56210"/>
    <w:rsid w:val="7E215C5A"/>
    <w:rsid w:val="7E6C1FCC"/>
    <w:rsid w:val="7EFC3295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47B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7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47B09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E47B09"/>
    <w:rPr>
      <w:b/>
    </w:rPr>
  </w:style>
  <w:style w:type="character" w:customStyle="1" w:styleId="NormalCharacter">
    <w:name w:val="NormalCharacter"/>
    <w:qFormat/>
    <w:rsid w:val="00E47B0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2021-12-20T01:29:00Z</cp:lastPrinted>
  <dcterms:created xsi:type="dcterms:W3CDTF">2014-10-29T12:08:00Z</dcterms:created>
  <dcterms:modified xsi:type="dcterms:W3CDTF">2021-12-31T03:02:00Z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E0FA319B1CBD41C48ABE4947067CA95B</vt:lpwstr>
  </property>
  <property fmtid="{D5CDD505-2E9C-101B-9397-08002B2CF9AE}" pid="4" name="KSOSaveFontToCloudKey">
    <vt:lpwstr>305600870_embed</vt:lpwstr>
  </property>
</Properties>
</file>