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u w:val="none"/>
          <w:lang w:eastAsia="zh-CN"/>
        </w:rPr>
        <w:t>华城镇人民政府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5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一、总体情况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2021年度，我镇根据《中华人民共和国政府信息公开条例》和上级有关文件精神，以建立责任型、法治型、阳光型政府为目标，认真贯彻早落实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五华县委县政府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信息公开工作部署，加大政府信息公开的宣传力度，完善政府信息公开的各项制度。严格按照上级有关文件要求，完善政府门户网站栏目建设，深化重点领域信息公开，加强政策解读，积极主动回应群众关切。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（一）主动公开情况。按照法律法规要求依时发布政务公开信息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及时主动完善信息公开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制度，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做到公开及时、填报规范、内容全面。202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度，我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镇政府信息公开网站共发布工作动态类信息3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篇、部门文件2份、信息公开工作年度报告1篇、预决算3份。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二）依申请公开情况。2021年，我镇及时更新并发布了依申请公开条件、流程说明以及通信地址和联系电话，确保政务公开网上申请平台畅通。全年未收到任何书面或其它形式要求公开政府信息的申请，没有不予公开的政府信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（三）政府信息管理。按照上级有关文件要求，认真落实政府信息公开统计和年度工作报告制度，全面梳理我镇政府信息公开目录。同时规范信息发布标准和要求，推动信息公开规范化，严格按照栏目要求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依时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发布公开内容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及时更新公开指南，认真完成政务信息发布统计工作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（四）平台建设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。为保障人民群众对华城镇工作的知情权和监督权，华城镇在政府信息公开平台门户网站和微信公众平台等平台上，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大力实施“互联网+政务”，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将组织机构、计划总结、工作动态、通知公告等情况及时分类上传，广泛接受社会监督。严格落实内容把关制度，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确保政府信息公开工作依法有序开展。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（五）监督保障。进一步强化信息公开领导小组办公室职能，严格落实政务信息公开发布、审批制度，确保政府信息公开各项工作有序开展。同时，保障政府信息公开工作机构和队伍健全，加强信息公开工作检查，保证及时更新、上传全面、准确、优质的政府信息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制发件数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2.申请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 w:val="0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2021年，我镇政府信息公开工作虽取得了一定进步，但与社会公众的需求，与上级部门的要求，还有一定差距，主要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部分栏目信息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认知尚浅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部分信息公布不够及时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，公开政务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信息数量、质量亟待提升。针对政府信息公开工作中存在问题，我镇将认真查找并纠正问题，努力克服和解决困难，有序有效推进政府信息公开工作开展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做好以下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三点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2" w:firstLineChars="175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加强政府信息公开信息员队伍建设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开展公务员政府信息公开基本规范培训，全面提高相关工作人员信息公开工作水平</w:t>
      </w:r>
      <w:r>
        <w:rPr>
          <w:rFonts w:hint="eastAsia" w:asci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提高工作效率。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2" w:firstLineChars="175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进一步加强对政务信息公开工作的领导和监督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层层落实责任，定期督查通报，确保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按时按质按量做好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政府信息公开、办事公开工作。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2" w:firstLineChars="175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）加大政府信息采集和发布力度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提高信息质量，丰富公开内容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广泛听取群众的意见和建议，重点公开人民群众普遍关心的热点、焦点问题。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依据《政府信息公开信息处理费管理办法》收取信息处理费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，本年度没有产生信息公开处理费。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0FEE34C9"/>
    <w:rsid w:val="14420B6D"/>
    <w:rsid w:val="191E24F5"/>
    <w:rsid w:val="1C506A0E"/>
    <w:rsid w:val="1FF65CA9"/>
    <w:rsid w:val="21024048"/>
    <w:rsid w:val="3B7517F5"/>
    <w:rsid w:val="3BB06D49"/>
    <w:rsid w:val="3ED0555A"/>
    <w:rsid w:val="40451600"/>
    <w:rsid w:val="43B2195F"/>
    <w:rsid w:val="4BB40B47"/>
    <w:rsid w:val="54C54B29"/>
    <w:rsid w:val="55F6534A"/>
    <w:rsid w:val="5F310400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7</TotalTime>
  <ScaleCrop>false</ScaleCrop>
  <LinksUpToDate>false</LinksUpToDate>
  <CharactersWithSpaces>4789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华城扛把子plus陈立雯</cp:lastModifiedBy>
  <cp:lastPrinted>2021-11-09T09:02:00Z</cp:lastPrinted>
  <dcterms:modified xsi:type="dcterms:W3CDTF">2022-01-18T02:24:44Z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3FFEC397160E4B4D81E1ED2B143A76DA</vt:lpwstr>
  </property>
  <property fmtid="{D5CDD505-2E9C-101B-9397-08002B2CF9AE}" pid="4" name="KSOSaveFontToCloudKey">
    <vt:lpwstr>234411310_btnclosed</vt:lpwstr>
  </property>
</Properties>
</file>