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60" w:lineRule="atLeast"/>
        <w:jc w:val="center"/>
        <w:rPr>
          <w:rFonts w:eastAsia="方正小标宋简体"/>
          <w:color w:val="000000" w:themeColor="text1"/>
          <w:sz w:val="44"/>
          <w:szCs w:val="44"/>
          <w14:textFill>
            <w14:solidFill>
              <w14:schemeClr w14:val="tx1"/>
            </w14:solidFill>
          </w14:textFill>
        </w:rPr>
      </w:pPr>
    </w:p>
    <w:p>
      <w:pPr>
        <w:adjustRightInd w:val="0"/>
        <w:snapToGrid w:val="0"/>
        <w:spacing w:line="360" w:lineRule="auto"/>
        <w:rPr>
          <w:rFonts w:eastAsia="方正小标宋简体"/>
          <w:color w:val="000000" w:themeColor="text1"/>
          <w:sz w:val="44"/>
          <w:szCs w:val="44"/>
          <w14:textFill>
            <w14:solidFill>
              <w14:schemeClr w14:val="tx1"/>
            </w14:solidFill>
          </w14:textFill>
        </w:rPr>
      </w:pPr>
    </w:p>
    <w:p>
      <w:pPr>
        <w:pStyle w:val="52"/>
        <w:spacing w:line="0" w:lineRule="atLeast"/>
        <w:rPr>
          <w:rFonts w:ascii="方正小标宋简体" w:hAnsi="方正小标宋简体" w:eastAsia="方正小标宋简体" w:cs="方正小标宋简体"/>
          <w:b w:val="0"/>
          <w:bCs/>
          <w:color w:val="000000" w:themeColor="text1"/>
          <w14:textFill>
            <w14:solidFill>
              <w14:schemeClr w14:val="tx1"/>
            </w14:solidFill>
          </w14:textFill>
        </w:rPr>
      </w:pPr>
      <w:r>
        <w:rPr>
          <w:rFonts w:hint="eastAsia" w:ascii="方正小标宋简体" w:hAnsi="方正小标宋简体" w:eastAsia="方正小标宋简体" w:cs="方正小标宋简体"/>
          <w:b w:val="0"/>
          <w:bCs/>
          <w:color w:val="000000" w:themeColor="text1"/>
          <w14:textFill>
            <w14:solidFill>
              <w14:schemeClr w14:val="tx1"/>
            </w14:solidFill>
          </w14:textFill>
        </w:rPr>
        <w:t>五华县人力资源和社会保障事业</w:t>
      </w:r>
    </w:p>
    <w:p>
      <w:pPr>
        <w:pStyle w:val="52"/>
        <w:spacing w:line="0" w:lineRule="atLeast"/>
        <w:rPr>
          <w:rFonts w:ascii="方正小标宋简体" w:hAnsi="方正小标宋简体" w:eastAsia="方正小标宋简体" w:cs="方正小标宋简体"/>
          <w:b w:val="0"/>
          <w:bCs/>
          <w:color w:val="000000" w:themeColor="text1"/>
          <w14:textFill>
            <w14:solidFill>
              <w14:schemeClr w14:val="tx1"/>
            </w14:solidFill>
          </w14:textFill>
        </w:rPr>
      </w:pPr>
      <w:r>
        <w:rPr>
          <w:rFonts w:hint="eastAsia" w:ascii="方正小标宋简体" w:hAnsi="方正小标宋简体" w:eastAsia="方正小标宋简体" w:cs="方正小标宋简体"/>
          <w:b w:val="0"/>
          <w:bCs/>
          <w:color w:val="000000" w:themeColor="text1"/>
          <w14:textFill>
            <w14:solidFill>
              <w14:schemeClr w14:val="tx1"/>
            </w14:solidFill>
          </w14:textFill>
        </w:rPr>
        <w:t>发展“十四五”规划</w:t>
      </w:r>
    </w:p>
    <w:p>
      <w:pPr>
        <w:pStyle w:val="53"/>
        <w:spacing w:line="0" w:lineRule="atLeast"/>
        <w:rPr>
          <w:rFonts w:ascii="方正小标宋简体" w:hAnsi="方正小标宋简体" w:eastAsia="方正小标宋简体" w:cs="方正小标宋简体"/>
          <w:bCs/>
          <w:color w:val="000000" w:themeColor="text1"/>
          <w:sz w:val="48"/>
          <w:szCs w:val="22"/>
          <w14:textFill>
            <w14:solidFill>
              <w14:schemeClr w14:val="tx1"/>
            </w14:solidFill>
          </w14:textFill>
        </w:rPr>
      </w:pPr>
      <w:r>
        <w:rPr>
          <w:rFonts w:hint="eastAsia" w:ascii="方正小标宋简体" w:hAnsi="方正小标宋简体" w:eastAsia="方正小标宋简体" w:cs="方正小标宋简体"/>
          <w:bCs/>
          <w:color w:val="000000" w:themeColor="text1"/>
          <w:sz w:val="48"/>
          <w:szCs w:val="22"/>
          <w14:textFill>
            <w14:solidFill>
              <w14:schemeClr w14:val="tx1"/>
            </w14:solidFill>
          </w14:textFill>
        </w:rPr>
        <w:t>（征求意见稿）</w:t>
      </w:r>
    </w:p>
    <w:p>
      <w:pPr>
        <w:pStyle w:val="58"/>
        <w:jc w:val="center"/>
        <w:rPr>
          <w:rFonts w:ascii="Times New Roman" w:hAnsi="Times New Roman" w:eastAsia="黑体" w:cs="Times New Roman"/>
          <w:b/>
          <w:bCs/>
          <w:color w:val="000000" w:themeColor="text1"/>
          <w:kern w:val="2"/>
          <w:sz w:val="44"/>
          <w:szCs w:val="44"/>
          <w:lang w:val="zh-CN"/>
          <w14:textFill>
            <w14:solidFill>
              <w14:schemeClr w14:val="tx1"/>
            </w14:solidFill>
          </w14:textFill>
        </w:rPr>
      </w:pPr>
    </w:p>
    <w:p>
      <w:pPr>
        <w:pStyle w:val="58"/>
        <w:jc w:val="center"/>
        <w:rPr>
          <w:rFonts w:ascii="Times New Roman" w:hAnsi="Times New Roman" w:eastAsia="黑体" w:cs="Times New Roman"/>
          <w:b/>
          <w:bCs/>
          <w:color w:val="000000" w:themeColor="text1"/>
          <w:kern w:val="2"/>
          <w:sz w:val="44"/>
          <w:szCs w:val="44"/>
          <w:lang w:val="zh-CN"/>
          <w14:textFill>
            <w14:solidFill>
              <w14:schemeClr w14:val="tx1"/>
            </w14:solidFill>
          </w14:textFill>
        </w:rPr>
      </w:pPr>
    </w:p>
    <w:p>
      <w:pPr>
        <w:pStyle w:val="58"/>
        <w:jc w:val="center"/>
        <w:rPr>
          <w:rFonts w:ascii="Times New Roman" w:hAnsi="Times New Roman" w:eastAsia="黑体" w:cs="Times New Roman"/>
          <w:b/>
          <w:bCs/>
          <w:color w:val="000000" w:themeColor="text1"/>
          <w:kern w:val="2"/>
          <w:sz w:val="44"/>
          <w:szCs w:val="44"/>
          <w:lang w:val="zh-CN"/>
          <w14:textFill>
            <w14:solidFill>
              <w14:schemeClr w14:val="tx1"/>
            </w14:solidFill>
          </w14:textFill>
        </w:rPr>
      </w:pPr>
    </w:p>
    <w:p>
      <w:pPr>
        <w:pStyle w:val="58"/>
        <w:jc w:val="center"/>
        <w:rPr>
          <w:rFonts w:ascii="Times New Roman" w:hAnsi="Times New Roman" w:eastAsia="黑体" w:cs="Times New Roman"/>
          <w:b/>
          <w:bCs/>
          <w:color w:val="000000" w:themeColor="text1"/>
          <w:kern w:val="2"/>
          <w:sz w:val="44"/>
          <w:szCs w:val="44"/>
          <w:lang w:val="zh-CN"/>
          <w14:textFill>
            <w14:solidFill>
              <w14:schemeClr w14:val="tx1"/>
            </w14:solidFill>
          </w14:textFill>
        </w:rPr>
      </w:pPr>
    </w:p>
    <w:p>
      <w:pPr>
        <w:pStyle w:val="58"/>
        <w:jc w:val="center"/>
        <w:rPr>
          <w:rFonts w:ascii="Times New Roman" w:hAnsi="Times New Roman" w:eastAsia="黑体" w:cs="Times New Roman"/>
          <w:b/>
          <w:bCs/>
          <w:color w:val="000000" w:themeColor="text1"/>
          <w:kern w:val="2"/>
          <w:sz w:val="44"/>
          <w:szCs w:val="44"/>
          <w:lang w:val="zh-CN"/>
          <w14:textFill>
            <w14:solidFill>
              <w14:schemeClr w14:val="tx1"/>
            </w14:solidFill>
          </w14:textFill>
        </w:rPr>
      </w:pPr>
    </w:p>
    <w:p>
      <w:pPr>
        <w:pStyle w:val="2"/>
        <w:jc w:val="both"/>
        <w:rPr>
          <w:rFonts w:ascii="Times New Roman" w:hAnsi="Times New Roman"/>
          <w:color w:val="000000" w:themeColor="text1"/>
          <w:lang w:val="zh-CN"/>
          <w14:textFill>
            <w14:solidFill>
              <w14:schemeClr w14:val="tx1"/>
            </w14:solidFill>
          </w14:textFill>
        </w:rPr>
      </w:pPr>
    </w:p>
    <w:p>
      <w:pPr>
        <w:rPr>
          <w:lang w:val="zh-CN"/>
        </w:rPr>
      </w:pPr>
    </w:p>
    <w:p>
      <w:pPr>
        <w:rPr>
          <w:lang w:val="zh-CN"/>
        </w:rPr>
      </w:pPr>
    </w:p>
    <w:p>
      <w:pPr>
        <w:jc w:val="center"/>
        <w:rPr>
          <w:rFonts w:ascii="方正楷体简体" w:hAnsi="方正楷体简体" w:eastAsia="方正楷体简体" w:cs="方正楷体简体"/>
          <w:color w:val="000000" w:themeColor="text1"/>
          <w:sz w:val="36"/>
          <w:szCs w:val="36"/>
          <w14:textFill>
            <w14:solidFill>
              <w14:schemeClr w14:val="tx1"/>
            </w14:solidFill>
          </w14:textFill>
        </w:rPr>
      </w:pPr>
      <w:r>
        <w:rPr>
          <w:rFonts w:hint="eastAsia" w:ascii="方正楷体简体" w:hAnsi="方正楷体简体" w:eastAsia="方正楷体简体" w:cs="方正楷体简体"/>
          <w:color w:val="000000" w:themeColor="text1"/>
          <w:sz w:val="36"/>
          <w:szCs w:val="36"/>
          <w14:textFill>
            <w14:solidFill>
              <w14:schemeClr w14:val="tx1"/>
            </w14:solidFill>
          </w14:textFill>
        </w:rPr>
        <w:t>五华县人力资源和社会保障局</w:t>
      </w:r>
    </w:p>
    <w:p>
      <w:pPr>
        <w:pStyle w:val="2"/>
        <w:spacing w:before="0" w:after="0" w:line="240" w:lineRule="auto"/>
        <w:rPr>
          <w:rFonts w:ascii="方正楷体简体" w:hAnsi="方正楷体简体" w:eastAsia="方正楷体简体" w:cs="方正楷体简体"/>
          <w:b w:val="0"/>
          <w:sz w:val="36"/>
          <w:szCs w:val="36"/>
        </w:rPr>
      </w:pPr>
      <w:bookmarkStart w:id="0" w:name="_Toc93738244"/>
      <w:r>
        <w:rPr>
          <w:rFonts w:hint="eastAsia" w:ascii="方正楷体简体" w:hAnsi="方正楷体简体" w:eastAsia="方正楷体简体" w:cs="方正楷体简体"/>
          <w:b w:val="0"/>
          <w:sz w:val="36"/>
          <w:szCs w:val="36"/>
        </w:rPr>
        <w:t>五华县医疗保障局</w:t>
      </w:r>
      <w:bookmarkEnd w:id="0"/>
    </w:p>
    <w:p>
      <w:pPr>
        <w:rPr>
          <w:rFonts w:ascii="方正小标宋简体" w:hAnsi="方正小标宋简体" w:eastAsia="方正小标宋简体" w:cs="方正小标宋简体"/>
        </w:rPr>
      </w:pPr>
    </w:p>
    <w:p>
      <w:pPr>
        <w:jc w:val="center"/>
        <w:rPr>
          <w:rFonts w:ascii="方正楷体简体" w:hAnsi="方正楷体简体" w:eastAsia="方正楷体简体" w:cs="方正楷体简体"/>
          <w:color w:val="000000" w:themeColor="text1"/>
          <w:sz w:val="36"/>
          <w:szCs w:val="36"/>
          <w14:textFill>
            <w14:solidFill>
              <w14:schemeClr w14:val="tx1"/>
            </w14:solidFill>
          </w14:textFill>
        </w:rPr>
      </w:pPr>
      <w:r>
        <w:rPr>
          <w:rFonts w:hint="eastAsia" w:ascii="方正楷体简体" w:hAnsi="方正楷体简体" w:eastAsia="方正楷体简体" w:cs="方正楷体简体"/>
          <w:color w:val="000000" w:themeColor="text1"/>
          <w:sz w:val="36"/>
          <w:szCs w:val="36"/>
          <w14:textFill>
            <w14:solidFill>
              <w14:schemeClr w14:val="tx1"/>
            </w14:solidFill>
          </w14:textFill>
        </w:rPr>
        <w:t>2022年2月</w:t>
      </w:r>
    </w:p>
    <w:p/>
    <w:sdt>
      <w:sdtPr>
        <w:rPr>
          <w:rFonts w:hint="eastAsia" w:ascii="文星标宋" w:hAnsi="文星标宋" w:eastAsia="文星标宋" w:cs="文星标宋"/>
          <w:b w:val="0"/>
          <w:bCs w:val="0"/>
          <w:color w:val="000000" w:themeColor="text1"/>
          <w:kern w:val="2"/>
          <w:sz w:val="32"/>
          <w:szCs w:val="32"/>
          <w:lang w:val="zh-CN"/>
          <w14:textFill>
            <w14:solidFill>
              <w14:schemeClr w14:val="tx1"/>
            </w14:solidFill>
          </w14:textFill>
        </w:rPr>
        <w:id w:val="1380910534"/>
        <w:docPartObj>
          <w:docPartGallery w:val="Table of Contents"/>
          <w:docPartUnique/>
        </w:docPartObj>
      </w:sdtPr>
      <w:sdtEndPr>
        <w:rPr>
          <w:rFonts w:hint="default" w:ascii="Times New Roman" w:hAnsi="Times New Roman" w:eastAsia="仿宋_GB2312" w:cs="Times New Roman"/>
          <w:b w:val="0"/>
          <w:bCs w:val="0"/>
          <w:color w:val="000000" w:themeColor="text1"/>
          <w:kern w:val="2"/>
          <w:sz w:val="32"/>
          <w:szCs w:val="32"/>
          <w:lang w:val="zh-CN"/>
          <w14:textFill>
            <w14:solidFill>
              <w14:schemeClr w14:val="tx1"/>
            </w14:solidFill>
          </w14:textFill>
        </w:rPr>
      </w:sdtEndPr>
      <w:sdtContent>
        <w:p>
          <w:pPr>
            <w:pStyle w:val="67"/>
            <w:jc w:val="center"/>
            <w:rPr>
              <w:rFonts w:ascii="Times New Roman" w:hAnsi="Times New Roman" w:cs="Times New Roman"/>
              <w:color w:val="000000" w:themeColor="text1"/>
              <w:sz w:val="44"/>
              <w:szCs w:val="44"/>
              <w:lang w:val="zh-CN"/>
              <w14:textFill>
                <w14:solidFill>
                  <w14:schemeClr w14:val="tx1"/>
                </w14:solidFill>
              </w14:textFill>
            </w:rPr>
          </w:pPr>
          <w:bookmarkStart w:id="1" w:name="_Toc25236"/>
          <w:r>
            <w:rPr>
              <w:rFonts w:hint="eastAsia" w:ascii="方正小标宋简体" w:hAnsi="方正小标宋简体" w:eastAsia="方正小标宋简体" w:cs="方正小标宋简体"/>
              <w:b w:val="0"/>
              <w:bCs w:val="0"/>
              <w:color w:val="000000" w:themeColor="text1"/>
              <w:sz w:val="44"/>
              <w:szCs w:val="44"/>
              <w:lang w:val="zh-CN"/>
              <w14:textFill>
                <w14:solidFill>
                  <w14:schemeClr w14:val="tx1"/>
                </w14:solidFill>
              </w14:textFill>
            </w:rPr>
            <w:t>目</w:t>
          </w: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 xml:space="preserve"> </w:t>
          </w:r>
          <w:r>
            <w:rPr>
              <w:rFonts w:hint="eastAsia" w:ascii="方正小标宋简体" w:hAnsi="方正小标宋简体" w:eastAsia="方正小标宋简体" w:cs="方正小标宋简体"/>
              <w:b w:val="0"/>
              <w:bCs w:val="0"/>
              <w:color w:val="000000" w:themeColor="text1"/>
              <w:sz w:val="44"/>
              <w:szCs w:val="44"/>
              <w:lang w:val="zh-CN"/>
              <w14:textFill>
                <w14:solidFill>
                  <w14:schemeClr w14:val="tx1"/>
                </w14:solidFill>
              </w14:textFill>
            </w:rPr>
            <w:t>录</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TOC \o "1-3" \h \z \u </w:instrText>
          </w:r>
          <w:r>
            <w:rPr>
              <w:rFonts w:ascii="Times New Roman" w:hAnsi="Times New Roman" w:cs="Times New Roman"/>
              <w:color w:val="000000" w:themeColor="text1"/>
              <w14:textFill>
                <w14:solidFill>
                  <w14:schemeClr w14:val="tx1"/>
                </w14:solidFill>
              </w14:textFill>
            </w:rPr>
            <w:fldChar w:fldCharType="separate"/>
          </w:r>
          <w:r>
            <w:fldChar w:fldCharType="begin"/>
          </w:r>
          <w:r>
            <w:instrText xml:space="preserve"> HYPERLINK \l "_Toc93738244" </w:instrText>
          </w:r>
          <w:r>
            <w:fldChar w:fldCharType="separate"/>
          </w:r>
          <w:r>
            <w:fldChar w:fldCharType="end"/>
          </w:r>
        </w:p>
        <w:p>
          <w:pPr>
            <w:pStyle w:val="17"/>
            <w:tabs>
              <w:tab w:val="right" w:leader="dot" w:pos="8296"/>
            </w:tabs>
            <w:rPr>
              <w:rFonts w:eastAsiaTheme="minorEastAsia"/>
              <w:sz w:val="21"/>
              <w:szCs w:val="22"/>
            </w:rPr>
          </w:pPr>
          <w:r>
            <w:fldChar w:fldCharType="begin"/>
          </w:r>
          <w:r>
            <w:instrText xml:space="preserve"> HYPERLINK \l "_Toc93738245" </w:instrText>
          </w:r>
          <w:r>
            <w:fldChar w:fldCharType="separate"/>
          </w:r>
          <w:r>
            <w:rPr>
              <w:rStyle w:val="31"/>
              <w:rFonts w:hint="eastAsia" w:ascii="方正小标宋简体" w:hAnsi="方正小标宋简体" w:eastAsia="方正小标宋简体" w:cs="方正小标宋简体"/>
              <w:bCs/>
            </w:rPr>
            <w:t>第一章 发展基础和机遇挑战</w:t>
          </w:r>
          <w:r>
            <w:tab/>
          </w:r>
          <w:r>
            <w:fldChar w:fldCharType="begin"/>
          </w:r>
          <w:r>
            <w:instrText xml:space="preserve"> PAGEREF _Toc93738245 \h </w:instrText>
          </w:r>
          <w:r>
            <w:fldChar w:fldCharType="separate"/>
          </w:r>
          <w:r>
            <w:t>1</w:t>
          </w:r>
          <w:r>
            <w:fldChar w:fldCharType="end"/>
          </w:r>
          <w:r>
            <w:fldChar w:fldCharType="end"/>
          </w:r>
        </w:p>
        <w:p>
          <w:pPr>
            <w:pStyle w:val="21"/>
            <w:tabs>
              <w:tab w:val="right" w:leader="dot" w:pos="8296"/>
            </w:tabs>
            <w:ind w:left="640"/>
            <w:rPr>
              <w:rFonts w:eastAsiaTheme="majorEastAsia"/>
              <w:sz w:val="21"/>
              <w:szCs w:val="22"/>
            </w:rPr>
          </w:pPr>
          <w:r>
            <w:fldChar w:fldCharType="begin"/>
          </w:r>
          <w:r>
            <w:instrText xml:space="preserve"> HYPERLINK \l "_Toc93738246" </w:instrText>
          </w:r>
          <w:r>
            <w:fldChar w:fldCharType="separate"/>
          </w:r>
          <w:r>
            <w:rPr>
              <w:rStyle w:val="31"/>
              <w:rFonts w:hint="eastAsia" w:ascii="方正楷体简体" w:hAnsi="方正楷体简体" w:eastAsia="方正楷体简体" w:cs="方正楷体简体"/>
            </w:rPr>
            <w:t>第一节 发展基础</w:t>
          </w:r>
          <w:r>
            <w:rPr>
              <w:rFonts w:eastAsiaTheme="majorEastAsia"/>
            </w:rPr>
            <w:tab/>
          </w:r>
          <w:r>
            <w:rPr>
              <w:rFonts w:eastAsiaTheme="majorEastAsia"/>
            </w:rPr>
            <w:fldChar w:fldCharType="begin"/>
          </w:r>
          <w:r>
            <w:rPr>
              <w:rFonts w:eastAsiaTheme="majorEastAsia"/>
            </w:rPr>
            <w:instrText xml:space="preserve"> PAGEREF _Toc93738246 \h </w:instrText>
          </w:r>
          <w:r>
            <w:rPr>
              <w:rFonts w:eastAsiaTheme="majorEastAsia"/>
            </w:rPr>
            <w:fldChar w:fldCharType="separate"/>
          </w:r>
          <w:r>
            <w:rPr>
              <w:rFonts w:eastAsiaTheme="majorEastAsia"/>
            </w:rPr>
            <w:t>1</w:t>
          </w:r>
          <w:r>
            <w:rPr>
              <w:rFonts w:eastAsiaTheme="majorEastAsia"/>
            </w:rPr>
            <w:fldChar w:fldCharType="end"/>
          </w:r>
          <w:r>
            <w:rPr>
              <w:rFonts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"_Toc93738248" </w:instrText>
          </w:r>
          <w:r>
            <w:fldChar w:fldCharType="separate"/>
          </w:r>
          <w:r>
            <w:rPr>
              <w:rStyle w:val="31"/>
              <w:rFonts w:ascii="方正楷体简体" w:hAnsi="方正楷体简体" w:eastAsia="方正楷体简体" w:cs="方正楷体简体"/>
            </w:rPr>
            <w:t>第二节 机遇挑战</w:t>
          </w:r>
          <w:r>
            <w:rPr>
              <w:rFonts w:eastAsiaTheme="majorEastAsia"/>
            </w:rPr>
            <w:tab/>
          </w:r>
          <w:r>
            <w:rPr>
              <w:rFonts w:eastAsiaTheme="majorEastAsia"/>
            </w:rPr>
            <w:fldChar w:fldCharType="begin"/>
          </w:r>
          <w:r>
            <w:rPr>
              <w:rFonts w:eastAsiaTheme="majorEastAsia"/>
            </w:rPr>
            <w:instrText xml:space="preserve"> PAGEREF _Toc93738248 \h </w:instrText>
          </w:r>
          <w:r>
            <w:rPr>
              <w:rFonts w:eastAsiaTheme="majorEastAsia"/>
            </w:rPr>
            <w:fldChar w:fldCharType="separate"/>
          </w:r>
          <w:r>
            <w:rPr>
              <w:rFonts w:eastAsiaTheme="majorEastAsia"/>
            </w:rPr>
            <w:t>6</w:t>
          </w:r>
          <w:r>
            <w:rPr>
              <w:rFonts w:eastAsiaTheme="majorEastAsia"/>
            </w:rPr>
            <w:fldChar w:fldCharType="end"/>
          </w:r>
          <w:r>
            <w:rPr>
              <w:rFonts w:eastAsiaTheme="majorEastAsia"/>
            </w:rPr>
            <w:fldChar w:fldCharType="end"/>
          </w:r>
        </w:p>
        <w:p>
          <w:pPr>
            <w:pStyle w:val="17"/>
            <w:tabs>
              <w:tab w:val="right" w:leader="dot" w:pos="8296"/>
            </w:tabs>
            <w:rPr>
              <w:rFonts w:eastAsiaTheme="minorEastAsia"/>
              <w:sz w:val="21"/>
              <w:szCs w:val="22"/>
            </w:rPr>
          </w:pPr>
          <w:r>
            <w:fldChar w:fldCharType="begin"/>
          </w:r>
          <w:r>
            <w:instrText xml:space="preserve"> HYPERLINK \l "_Toc93738249" </w:instrText>
          </w:r>
          <w:r>
            <w:fldChar w:fldCharType="separate"/>
          </w:r>
          <w:r>
            <w:rPr>
              <w:rStyle w:val="31"/>
              <w:rFonts w:ascii="方正小标宋简体" w:hAnsi="方正小标宋简体" w:eastAsia="方正小标宋简体" w:cs="方正小标宋简体"/>
              <w:bCs/>
            </w:rPr>
            <w:t>第二章 发展方向与目标</w:t>
          </w:r>
          <w:r>
            <w:tab/>
          </w:r>
          <w:r>
            <w:fldChar w:fldCharType="begin"/>
          </w:r>
          <w:r>
            <w:instrText xml:space="preserve"> PAGEREF _Toc93738249 \h </w:instrText>
          </w:r>
          <w:r>
            <w:fldChar w:fldCharType="separate"/>
          </w:r>
          <w:r>
            <w:t>9</w:t>
          </w:r>
          <w:r>
            <w:fldChar w:fldCharType="end"/>
          </w:r>
          <w:r>
            <w:fldChar w:fldCharType="end"/>
          </w:r>
        </w:p>
        <w:p>
          <w:pPr>
            <w:pStyle w:val="21"/>
            <w:tabs>
              <w:tab w:val="right" w:leader="dot" w:pos="8296"/>
            </w:tabs>
            <w:ind w:left="640"/>
            <w:rPr>
              <w:rFonts w:eastAsiaTheme="majorEastAsia"/>
              <w:sz w:val="21"/>
              <w:szCs w:val="22"/>
            </w:rPr>
          </w:pPr>
          <w:r>
            <w:fldChar w:fldCharType="begin"/>
          </w:r>
          <w:r>
            <w:instrText xml:space="preserve"> HYPERLINK \l "_Toc93738250" </w:instrText>
          </w:r>
          <w:r>
            <w:fldChar w:fldCharType="separate"/>
          </w:r>
          <w:r>
            <w:rPr>
              <w:rStyle w:val="31"/>
              <w:rFonts w:ascii="方正楷体简体" w:hAnsi="方正楷体简体" w:eastAsia="方正楷体简体" w:cs="方正楷体简体"/>
            </w:rPr>
            <w:t>第一节 指导思想</w:t>
          </w:r>
          <w:r>
            <w:rPr>
              <w:rFonts w:eastAsiaTheme="majorEastAsia"/>
            </w:rPr>
            <w:tab/>
          </w:r>
          <w:r>
            <w:rPr>
              <w:rFonts w:eastAsiaTheme="majorEastAsia"/>
            </w:rPr>
            <w:fldChar w:fldCharType="begin"/>
          </w:r>
          <w:r>
            <w:rPr>
              <w:rFonts w:eastAsiaTheme="majorEastAsia"/>
            </w:rPr>
            <w:instrText xml:space="preserve"> PAGEREF _Toc93738250 \h </w:instrText>
          </w:r>
          <w:r>
            <w:rPr>
              <w:rFonts w:eastAsiaTheme="majorEastAsia"/>
            </w:rPr>
            <w:fldChar w:fldCharType="separate"/>
          </w:r>
          <w:r>
            <w:rPr>
              <w:rFonts w:eastAsiaTheme="majorEastAsia"/>
            </w:rPr>
            <w:t>9</w:t>
          </w:r>
          <w:r>
            <w:rPr>
              <w:rFonts w:eastAsiaTheme="majorEastAsia"/>
            </w:rPr>
            <w:fldChar w:fldCharType="end"/>
          </w:r>
          <w:r>
            <w:rPr>
              <w:rFonts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"_Toc93738251" </w:instrText>
          </w:r>
          <w:r>
            <w:fldChar w:fldCharType="separate"/>
          </w:r>
          <w:r>
            <w:rPr>
              <w:rStyle w:val="31"/>
              <w:rFonts w:ascii="方正楷体简体" w:hAnsi="方正楷体简体" w:eastAsia="方正楷体简体" w:cs="方正楷体简体"/>
            </w:rPr>
            <w:t>第二节 基本原则</w:t>
          </w:r>
          <w:r>
            <w:rPr>
              <w:rFonts w:eastAsiaTheme="majorEastAsia"/>
            </w:rPr>
            <w:tab/>
          </w:r>
          <w:r>
            <w:rPr>
              <w:rFonts w:eastAsiaTheme="majorEastAsia"/>
            </w:rPr>
            <w:fldChar w:fldCharType="begin"/>
          </w:r>
          <w:r>
            <w:rPr>
              <w:rFonts w:eastAsiaTheme="majorEastAsia"/>
            </w:rPr>
            <w:instrText xml:space="preserve"> PAGEREF _Toc93738251 \h </w:instrText>
          </w:r>
          <w:r>
            <w:rPr>
              <w:rFonts w:eastAsiaTheme="majorEastAsia"/>
            </w:rPr>
            <w:fldChar w:fldCharType="separate"/>
          </w:r>
          <w:r>
            <w:rPr>
              <w:rFonts w:eastAsiaTheme="majorEastAsia"/>
            </w:rPr>
            <w:t>10</w:t>
          </w:r>
          <w:r>
            <w:rPr>
              <w:rFonts w:eastAsiaTheme="majorEastAsia"/>
            </w:rPr>
            <w:fldChar w:fldCharType="end"/>
          </w:r>
          <w:r>
            <w:rPr>
              <w:rFonts w:eastAsiaTheme="majorEastAsia"/>
            </w:rPr>
            <w:fldChar w:fldCharType="end"/>
          </w:r>
        </w:p>
        <w:p>
          <w:pPr>
            <w:pStyle w:val="21"/>
            <w:tabs>
              <w:tab w:val="right" w:leader="dot" w:pos="8296"/>
            </w:tabs>
            <w:ind w:left="640"/>
            <w:rPr>
              <w:rStyle w:val="31"/>
              <w:rFonts w:eastAsiaTheme="majorEastAsia"/>
            </w:rPr>
          </w:pPr>
          <w:r>
            <w:fldChar w:fldCharType="begin"/>
          </w:r>
          <w:r>
            <w:instrText xml:space="preserve"> HYPERLINK \l "_Toc93738252" </w:instrText>
          </w:r>
          <w:r>
            <w:fldChar w:fldCharType="separate"/>
          </w:r>
          <w:r>
            <w:rPr>
              <w:rStyle w:val="31"/>
              <w:rFonts w:ascii="方正楷体简体" w:hAnsi="方正楷体简体" w:eastAsia="方正楷体简体" w:cs="方正楷体简体"/>
            </w:rPr>
            <w:t>第三节 主要目标</w:t>
          </w:r>
          <w:r>
            <w:rPr>
              <w:rFonts w:eastAsiaTheme="majorEastAsia"/>
            </w:rPr>
            <w:tab/>
          </w:r>
          <w:r>
            <w:rPr>
              <w:rFonts w:eastAsiaTheme="majorEastAsia"/>
            </w:rPr>
            <w:fldChar w:fldCharType="begin"/>
          </w:r>
          <w:r>
            <w:rPr>
              <w:rFonts w:eastAsiaTheme="majorEastAsia"/>
            </w:rPr>
            <w:instrText xml:space="preserve"> PAGEREF _Toc93738252 \h </w:instrText>
          </w:r>
          <w:r>
            <w:rPr>
              <w:rFonts w:eastAsiaTheme="majorEastAsia"/>
            </w:rPr>
            <w:fldChar w:fldCharType="separate"/>
          </w:r>
          <w:r>
            <w:rPr>
              <w:rFonts w:eastAsiaTheme="majorEastAsia"/>
            </w:rPr>
            <w:t>11</w:t>
          </w:r>
          <w:r>
            <w:rPr>
              <w:rFonts w:eastAsiaTheme="majorEastAsia"/>
            </w:rPr>
            <w:fldChar w:fldCharType="end"/>
          </w:r>
          <w:r>
            <w:rPr>
              <w:rFonts w:eastAsiaTheme="majorEastAsia"/>
            </w:rPr>
            <w:fldChar w:fldCharType="end"/>
          </w:r>
        </w:p>
        <w:p>
          <w:pPr>
            <w:pStyle w:val="17"/>
            <w:tabs>
              <w:tab w:val="right" w:leader="dot" w:pos="8296"/>
            </w:tabs>
            <w:rPr>
              <w:rFonts w:eastAsiaTheme="minorEastAsia"/>
              <w:sz w:val="21"/>
              <w:szCs w:val="22"/>
            </w:rPr>
          </w:pPr>
          <w:r>
            <w:fldChar w:fldCharType="begin"/>
          </w:r>
          <w:r>
            <w:instrText xml:space="preserve"> HYPERLINK \l "_Toc93738282" </w:instrText>
          </w:r>
          <w:r>
            <w:fldChar w:fldCharType="separate"/>
          </w:r>
          <w:r>
            <w:rPr>
              <w:rStyle w:val="31"/>
              <w:rFonts w:ascii="方正小标宋简体" w:hAnsi="方正小标宋简体" w:eastAsia="方正小标宋简体" w:cs="方正小标宋简体"/>
              <w:bCs/>
            </w:rPr>
            <w:t>第三章 用好人社政策促进城乡协调发展</w:t>
          </w:r>
          <w:r>
            <w:rPr>
              <w:rFonts w:eastAsiaTheme="majorEastAsia"/>
            </w:rPr>
            <w:tab/>
          </w:r>
          <w:r>
            <w:t>15</w:t>
          </w:r>
          <w:r>
            <w:fldChar w:fldCharType="end"/>
          </w:r>
        </w:p>
        <w:p>
          <w:pPr>
            <w:pStyle w:val="21"/>
            <w:tabs>
              <w:tab w:val="right" w:leader="dot" w:pos="8296"/>
            </w:tabs>
            <w:ind w:left="640"/>
            <w:rPr>
              <w:rFonts w:eastAsiaTheme="majorEastAsia"/>
              <w:sz w:val="21"/>
              <w:szCs w:val="22"/>
            </w:rPr>
          </w:pPr>
          <w:r>
            <w:fldChar w:fldCharType="begin"/>
          </w:r>
          <w:r>
            <w:instrText xml:space="preserve"> HYPERLINK \l "_Toc93738283" </w:instrText>
          </w:r>
          <w:r>
            <w:fldChar w:fldCharType="separate"/>
          </w:r>
          <w:r>
            <w:rPr>
              <w:rStyle w:val="31"/>
              <w:rFonts w:ascii="方正楷体简体" w:hAnsi="方正楷体简体" w:eastAsia="方正楷体简体" w:cs="方正楷体简体"/>
            </w:rPr>
            <w:t>第一节 融入“双区”人社领域合作</w:t>
          </w:r>
          <w:r>
            <w:rPr>
              <w:rFonts w:eastAsiaTheme="majorEastAsia"/>
            </w:rPr>
            <w:tab/>
          </w:r>
          <w:r>
            <w:rPr>
              <w:rFonts w:eastAsiaTheme="majorEastAsia"/>
            </w:rPr>
            <w:t>15</w:t>
          </w:r>
          <w:r>
            <w:rPr>
              <w:rFonts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"_Toc93738284" </w:instrText>
          </w:r>
          <w:r>
            <w:fldChar w:fldCharType="separate"/>
          </w:r>
          <w:r>
            <w:rPr>
              <w:rStyle w:val="31"/>
              <w:rFonts w:ascii="方正楷体简体" w:hAnsi="方正楷体简体" w:eastAsia="方正楷体简体" w:cs="方正楷体简体"/>
            </w:rPr>
            <w:t>第二节 推动我县苏区振兴发展建设</w:t>
          </w:r>
          <w:r>
            <w:rPr>
              <w:rFonts w:eastAsiaTheme="majorEastAsia"/>
            </w:rPr>
            <w:tab/>
          </w:r>
          <w:r>
            <w:rPr>
              <w:rFonts w:eastAsiaTheme="majorEastAsia"/>
            </w:rPr>
            <w:t>1</w:t>
          </w:r>
          <w:r>
            <w:rPr>
              <w:rFonts w:hint="eastAsia" w:eastAsiaTheme="majorEastAsia"/>
            </w:rPr>
            <w:t>6</w:t>
          </w:r>
          <w:r>
            <w:rPr>
              <w:rFonts w:hint="eastAsia"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"_Toc93738285" </w:instrText>
          </w:r>
          <w:r>
            <w:fldChar w:fldCharType="separate"/>
          </w:r>
          <w:r>
            <w:rPr>
              <w:rStyle w:val="31"/>
              <w:rFonts w:ascii="方正楷体简体" w:hAnsi="方正楷体简体" w:eastAsia="方正楷体简体" w:cs="方正楷体简体"/>
            </w:rPr>
            <w:t>第三节 促进乡村振兴与城乡发展</w:t>
          </w:r>
          <w:r>
            <w:rPr>
              <w:rFonts w:eastAsiaTheme="majorEastAsia"/>
            </w:rPr>
            <w:tab/>
          </w:r>
          <w:r>
            <w:rPr>
              <w:rFonts w:eastAsiaTheme="majorEastAsia"/>
            </w:rPr>
            <w:t>18</w:t>
          </w:r>
          <w:r>
            <w:rPr>
              <w:rFonts w:eastAsiaTheme="majorEastAsia"/>
            </w:rPr>
            <w:fldChar w:fldCharType="end"/>
          </w:r>
        </w:p>
        <w:p>
          <w:pPr>
            <w:pStyle w:val="17"/>
            <w:tabs>
              <w:tab w:val="right" w:leader="dot" w:pos="8296"/>
            </w:tabs>
            <w:rPr>
              <w:rFonts w:eastAsiaTheme="minorEastAsia"/>
              <w:sz w:val="21"/>
              <w:szCs w:val="22"/>
            </w:rPr>
          </w:pPr>
          <w:r>
            <w:fldChar w:fldCharType="begin"/>
          </w:r>
          <w:r>
            <w:instrText xml:space="preserve"> HYPERLINK \l "_Toc93738253" </w:instrText>
          </w:r>
          <w:r>
            <w:fldChar w:fldCharType="separate"/>
          </w:r>
          <w:r>
            <w:rPr>
              <w:rStyle w:val="31"/>
              <w:rFonts w:ascii="方正小标宋简体" w:hAnsi="方正小标宋简体" w:eastAsia="方正小标宋简体" w:cs="方正小标宋简体"/>
              <w:bCs/>
            </w:rPr>
            <w:t>第四章 深入实施更加积极的就业优先战略</w:t>
          </w:r>
          <w:r>
            <w:tab/>
          </w:r>
          <w:r>
            <w:t>19</w:t>
          </w:r>
          <w:r>
            <w:fldChar w:fldCharType="end"/>
          </w:r>
        </w:p>
        <w:p>
          <w:pPr>
            <w:pStyle w:val="21"/>
            <w:tabs>
              <w:tab w:val="right" w:leader="dot" w:pos="8296"/>
            </w:tabs>
            <w:ind w:left="640"/>
            <w:rPr>
              <w:rFonts w:eastAsiaTheme="majorEastAsia"/>
              <w:sz w:val="21"/>
              <w:szCs w:val="22"/>
            </w:rPr>
          </w:pPr>
          <w:r>
            <w:fldChar w:fldCharType="begin"/>
          </w:r>
          <w:r>
            <w:instrText xml:space="preserve"> HYPERLINK \l "_Toc93738254" </w:instrText>
          </w:r>
          <w:r>
            <w:fldChar w:fldCharType="separate"/>
          </w:r>
          <w:r>
            <w:rPr>
              <w:rStyle w:val="31"/>
              <w:rFonts w:ascii="方正楷体简体" w:hAnsi="方正楷体简体" w:eastAsia="方正楷体简体" w:cs="方正楷体简体"/>
            </w:rPr>
            <w:t>第一节 实施更加积极的就业创业政策</w:t>
          </w:r>
          <w:r>
            <w:rPr>
              <w:rFonts w:eastAsiaTheme="majorEastAsia"/>
            </w:rPr>
            <w:tab/>
          </w:r>
          <w:r>
            <w:rPr>
              <w:rFonts w:hint="eastAsia" w:eastAsiaTheme="majorEastAsia"/>
            </w:rPr>
            <w:t>19</w:t>
          </w:r>
          <w:r>
            <w:rPr>
              <w:rFonts w:hint="eastAsia"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"_Toc93738255" </w:instrText>
          </w:r>
          <w:r>
            <w:fldChar w:fldCharType="separate"/>
          </w:r>
          <w:r>
            <w:rPr>
              <w:rStyle w:val="31"/>
              <w:rFonts w:ascii="方正楷体简体" w:hAnsi="方正楷体简体" w:eastAsia="方正楷体简体" w:cs="方正楷体简体"/>
            </w:rPr>
            <w:t>第二节 加大重点群体就业服务</w:t>
          </w:r>
          <w:r>
            <w:rPr>
              <w:rStyle w:val="31"/>
              <w:rFonts w:hint="eastAsia" w:ascii="方正楷体简体" w:hAnsi="方正楷体简体" w:eastAsia="方正楷体简体" w:cs="方正楷体简体"/>
            </w:rPr>
            <w:t>力度</w:t>
          </w:r>
          <w:r>
            <w:rPr>
              <w:rFonts w:eastAsiaTheme="majorEastAsia"/>
            </w:rPr>
            <w:tab/>
          </w:r>
          <w:r>
            <w:rPr>
              <w:rFonts w:eastAsiaTheme="majorEastAsia"/>
            </w:rPr>
            <w:t>23</w:t>
          </w:r>
          <w:r>
            <w:rPr>
              <w:rFonts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"_Toc93738256" </w:instrText>
          </w:r>
          <w:r>
            <w:fldChar w:fldCharType="separate"/>
          </w:r>
          <w:r>
            <w:rPr>
              <w:rStyle w:val="31"/>
              <w:rFonts w:ascii="方正楷体简体" w:hAnsi="方正楷体简体" w:eastAsia="方正楷体简体" w:cs="方正楷体简体"/>
            </w:rPr>
            <w:t>第三节 有序推进劳动力技能提升培训工作</w:t>
          </w:r>
          <w:r>
            <w:rPr>
              <w:rFonts w:eastAsiaTheme="majorEastAsia"/>
            </w:rPr>
            <w:tab/>
          </w:r>
          <w:r>
            <w:rPr>
              <w:rFonts w:eastAsiaTheme="majorEastAsia"/>
            </w:rPr>
            <w:t>2</w:t>
          </w:r>
          <w:r>
            <w:rPr>
              <w:rFonts w:hint="eastAsia" w:eastAsiaTheme="majorEastAsia"/>
            </w:rPr>
            <w:t>5</w:t>
          </w:r>
          <w:r>
            <w:rPr>
              <w:rFonts w:hint="eastAsia"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"_Toc93738257" </w:instrText>
          </w:r>
          <w:r>
            <w:fldChar w:fldCharType="separate"/>
          </w:r>
          <w:r>
            <w:rPr>
              <w:rStyle w:val="31"/>
              <w:rFonts w:ascii="方正楷体简体" w:hAnsi="方正楷体简体" w:eastAsia="方正楷体简体" w:cs="方正楷体简体"/>
            </w:rPr>
            <w:t>第四节 提升全方位公共就业创业服务</w:t>
          </w:r>
          <w:r>
            <w:rPr>
              <w:rFonts w:eastAsiaTheme="majorEastAsia"/>
            </w:rPr>
            <w:tab/>
          </w:r>
          <w:r>
            <w:rPr>
              <w:rFonts w:eastAsiaTheme="majorEastAsia"/>
            </w:rPr>
            <w:fldChar w:fldCharType="begin"/>
          </w:r>
          <w:r>
            <w:rPr>
              <w:rFonts w:eastAsiaTheme="majorEastAsia"/>
            </w:rPr>
            <w:instrText xml:space="preserve"> PAGEREF _Toc93738257 \h </w:instrText>
          </w:r>
          <w:r>
            <w:rPr>
              <w:rFonts w:eastAsiaTheme="majorEastAsia"/>
            </w:rPr>
            <w:fldChar w:fldCharType="separate"/>
          </w:r>
          <w:r>
            <w:rPr>
              <w:rFonts w:eastAsiaTheme="majorEastAsia"/>
            </w:rPr>
            <w:t>26</w:t>
          </w:r>
          <w:r>
            <w:rPr>
              <w:rFonts w:eastAsiaTheme="majorEastAsia"/>
            </w:rPr>
            <w:fldChar w:fldCharType="end"/>
          </w:r>
          <w:r>
            <w:rPr>
              <w:rFonts w:eastAsiaTheme="majorEastAsia"/>
            </w:rPr>
            <w:fldChar w:fldCharType="end"/>
          </w:r>
        </w:p>
        <w:p>
          <w:pPr>
            <w:pStyle w:val="17"/>
            <w:tabs>
              <w:tab w:val="right" w:leader="dot" w:pos="8296"/>
            </w:tabs>
            <w:rPr>
              <w:rFonts w:eastAsiaTheme="minorEastAsia"/>
              <w:sz w:val="21"/>
              <w:szCs w:val="22"/>
            </w:rPr>
          </w:pPr>
          <w:r>
            <w:fldChar w:fldCharType="begin"/>
          </w:r>
          <w:r>
            <w:instrText xml:space="preserve"> HYPERLINK \l "_Toc93738258" </w:instrText>
          </w:r>
          <w:r>
            <w:fldChar w:fldCharType="separate"/>
          </w:r>
          <w:r>
            <w:rPr>
              <w:rStyle w:val="31"/>
              <w:rFonts w:ascii="方正小标宋简体" w:hAnsi="方正小标宋简体" w:eastAsia="方正小标宋简体" w:cs="方正小标宋简体"/>
              <w:bCs/>
            </w:rPr>
            <w:t>第五章 建设更加全面和可持续的社会保障体系</w:t>
          </w:r>
          <w:r>
            <w:tab/>
          </w:r>
          <w:r>
            <w:fldChar w:fldCharType="begin"/>
          </w:r>
          <w:r>
            <w:instrText xml:space="preserve"> PAGEREF _Toc93738258 \h </w:instrText>
          </w:r>
          <w:r>
            <w:fldChar w:fldCharType="separate"/>
          </w:r>
          <w:r>
            <w:t>27</w:t>
          </w:r>
          <w:r>
            <w:fldChar w:fldCharType="end"/>
          </w:r>
          <w:r>
            <w:fldChar w:fldCharType="end"/>
          </w:r>
        </w:p>
        <w:p>
          <w:pPr>
            <w:pStyle w:val="21"/>
            <w:tabs>
              <w:tab w:val="right" w:leader="dot" w:pos="8296"/>
            </w:tabs>
            <w:ind w:left="640"/>
            <w:rPr>
              <w:rFonts w:eastAsiaTheme="majorEastAsia"/>
              <w:sz w:val="21"/>
              <w:szCs w:val="22"/>
            </w:rPr>
          </w:pPr>
          <w:r>
            <w:fldChar w:fldCharType="begin"/>
          </w:r>
          <w:r>
            <w:instrText xml:space="preserve"> HYPERLINK \l "_Toc93738259" </w:instrText>
          </w:r>
          <w:r>
            <w:fldChar w:fldCharType="separate"/>
          </w:r>
          <w:r>
            <w:rPr>
              <w:rStyle w:val="31"/>
              <w:rFonts w:ascii="方正楷体简体" w:hAnsi="方正楷体简体" w:eastAsia="方正楷体简体" w:cs="方正楷体简体"/>
              <w:lang w:val="zh-TW"/>
            </w:rPr>
            <w:t>第一节 全面</w:t>
          </w:r>
          <w:r>
            <w:rPr>
              <w:rStyle w:val="31"/>
              <w:rFonts w:ascii="方正楷体简体" w:hAnsi="方正楷体简体" w:eastAsia="方正楷体简体" w:cs="方正楷体简体"/>
            </w:rPr>
            <w:t>推动实现</w:t>
          </w:r>
          <w:r>
            <w:rPr>
              <w:rStyle w:val="31"/>
              <w:rFonts w:hint="eastAsia" w:ascii="方正楷体简体" w:hAnsi="方正楷体简体" w:eastAsia="方正楷体简体" w:cs="方正楷体简体"/>
            </w:rPr>
            <w:t>“</w:t>
          </w:r>
          <w:r>
            <w:rPr>
              <w:rStyle w:val="31"/>
              <w:rFonts w:ascii="方正楷体简体" w:hAnsi="方正楷体简体" w:eastAsia="方正楷体简体" w:cs="方正楷体简体"/>
            </w:rPr>
            <w:t>应保尽保</w:t>
          </w:r>
          <w:r>
            <w:rPr>
              <w:rStyle w:val="31"/>
              <w:rFonts w:hint="eastAsia" w:ascii="方正楷体简体" w:hAnsi="方正楷体简体" w:eastAsia="方正楷体简体" w:cs="方正楷体简体"/>
            </w:rPr>
            <w:t>”</w:t>
          </w:r>
          <w:r>
            <w:rPr>
              <w:rFonts w:eastAsiaTheme="majorEastAsia"/>
            </w:rPr>
            <w:tab/>
          </w:r>
          <w:r>
            <w:rPr>
              <w:rFonts w:eastAsiaTheme="majorEastAsia"/>
            </w:rPr>
            <w:fldChar w:fldCharType="begin"/>
          </w:r>
          <w:r>
            <w:rPr>
              <w:rFonts w:eastAsiaTheme="majorEastAsia"/>
            </w:rPr>
            <w:instrText xml:space="preserve"> PAGEREF _Toc93738259 \h </w:instrText>
          </w:r>
          <w:r>
            <w:rPr>
              <w:rFonts w:eastAsiaTheme="majorEastAsia"/>
            </w:rPr>
            <w:fldChar w:fldCharType="separate"/>
          </w:r>
          <w:r>
            <w:rPr>
              <w:rFonts w:eastAsiaTheme="majorEastAsia"/>
            </w:rPr>
            <w:t>27</w:t>
          </w:r>
          <w:r>
            <w:rPr>
              <w:rFonts w:eastAsiaTheme="majorEastAsia"/>
            </w:rPr>
            <w:fldChar w:fldCharType="end"/>
          </w:r>
          <w:r>
            <w:rPr>
              <w:rFonts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"_Toc93738260" </w:instrText>
          </w:r>
          <w:r>
            <w:fldChar w:fldCharType="separate"/>
          </w:r>
          <w:r>
            <w:rPr>
              <w:rStyle w:val="31"/>
              <w:rFonts w:ascii="方正楷体简体" w:hAnsi="方正楷体简体" w:eastAsia="方正楷体简体" w:cs="方正楷体简体"/>
            </w:rPr>
            <w:t>第二节 完善各项社会保险制度</w:t>
          </w:r>
          <w:r>
            <w:rPr>
              <w:rFonts w:eastAsiaTheme="majorEastAsia"/>
            </w:rPr>
            <w:tab/>
          </w:r>
          <w:r>
            <w:rPr>
              <w:rFonts w:eastAsiaTheme="majorEastAsia"/>
            </w:rPr>
            <w:fldChar w:fldCharType="begin"/>
          </w:r>
          <w:r>
            <w:rPr>
              <w:rFonts w:eastAsiaTheme="majorEastAsia"/>
            </w:rPr>
            <w:instrText xml:space="preserve"> PAGEREF _Toc93738260 \h </w:instrText>
          </w:r>
          <w:r>
            <w:rPr>
              <w:rFonts w:eastAsiaTheme="majorEastAsia"/>
            </w:rPr>
            <w:fldChar w:fldCharType="separate"/>
          </w:r>
          <w:r>
            <w:rPr>
              <w:rFonts w:eastAsiaTheme="majorEastAsia"/>
            </w:rPr>
            <w:t>28</w:t>
          </w:r>
          <w:r>
            <w:rPr>
              <w:rFonts w:eastAsiaTheme="majorEastAsia"/>
            </w:rPr>
            <w:fldChar w:fldCharType="end"/>
          </w:r>
          <w:r>
            <w:rPr>
              <w:rFonts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"_Toc93738261" </w:instrText>
          </w:r>
          <w:r>
            <w:fldChar w:fldCharType="separate"/>
          </w:r>
          <w:r>
            <w:rPr>
              <w:rStyle w:val="31"/>
              <w:rFonts w:ascii="方正楷体简体" w:hAnsi="方正楷体简体" w:eastAsia="方正楷体简体" w:cs="方正楷体简体"/>
            </w:rPr>
            <w:t>第三节 确保社保基金运行安全</w:t>
          </w:r>
          <w:r>
            <w:rPr>
              <w:rFonts w:eastAsiaTheme="majorEastAsia"/>
            </w:rPr>
            <w:tab/>
          </w:r>
          <w:r>
            <w:rPr>
              <w:rFonts w:eastAsiaTheme="majorEastAsia"/>
            </w:rPr>
            <w:t>31</w:t>
          </w:r>
          <w:r>
            <w:rPr>
              <w:rFonts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"_Toc93738262" </w:instrText>
          </w:r>
          <w:r>
            <w:fldChar w:fldCharType="separate"/>
          </w:r>
          <w:r>
            <w:rPr>
              <w:rStyle w:val="31"/>
              <w:rFonts w:ascii="方正楷体简体" w:hAnsi="方正楷体简体" w:eastAsia="方正楷体简体" w:cs="方正楷体简体"/>
            </w:rPr>
            <w:t>第四节 提升社保经办服务水平</w:t>
          </w:r>
          <w:r>
            <w:rPr>
              <w:rFonts w:eastAsiaTheme="majorEastAsia"/>
            </w:rPr>
            <w:tab/>
          </w:r>
          <w:r>
            <w:rPr>
              <w:rFonts w:eastAsiaTheme="majorEastAsia"/>
            </w:rPr>
            <w:t>3</w:t>
          </w:r>
          <w:r>
            <w:rPr>
              <w:rFonts w:hint="eastAsia" w:eastAsiaTheme="majorEastAsia"/>
            </w:rPr>
            <w:t>2</w:t>
          </w:r>
          <w:r>
            <w:rPr>
              <w:rFonts w:hint="eastAsia" w:eastAsiaTheme="majorEastAsia"/>
            </w:rPr>
            <w:fldChar w:fldCharType="end"/>
          </w:r>
        </w:p>
        <w:p>
          <w:pPr>
            <w:pStyle w:val="17"/>
            <w:tabs>
              <w:tab w:val="right" w:leader="dot" w:pos="8296"/>
            </w:tabs>
            <w:rPr>
              <w:rFonts w:eastAsiaTheme="minorEastAsia"/>
              <w:sz w:val="21"/>
              <w:szCs w:val="22"/>
            </w:rPr>
          </w:pPr>
          <w:r>
            <w:fldChar w:fldCharType="begin"/>
          </w:r>
          <w:r>
            <w:instrText xml:space="preserve"> HYPERLINK \l "_Toc93738263" </w:instrText>
          </w:r>
          <w:r>
            <w:fldChar w:fldCharType="separate"/>
          </w:r>
          <w:r>
            <w:rPr>
              <w:rStyle w:val="31"/>
              <w:rFonts w:ascii="方正小标宋简体" w:hAnsi="方正小标宋简体" w:eastAsia="方正小标宋简体" w:cs="方正小标宋简体"/>
              <w:bCs/>
            </w:rPr>
            <w:t>第六章 大力加强人才队伍建设</w:t>
          </w:r>
          <w:r>
            <w:tab/>
          </w:r>
          <w:r>
            <w:fldChar w:fldCharType="begin"/>
          </w:r>
          <w:r>
            <w:instrText xml:space="preserve"> PAGEREF _Toc93738263 \h </w:instrText>
          </w:r>
          <w:r>
            <w:fldChar w:fldCharType="separate"/>
          </w:r>
          <w:r>
            <w:t>34</w:t>
          </w:r>
          <w:r>
            <w:fldChar w:fldCharType="end"/>
          </w:r>
          <w:r>
            <w:fldChar w:fldCharType="end"/>
          </w:r>
        </w:p>
        <w:p>
          <w:pPr>
            <w:pStyle w:val="21"/>
            <w:tabs>
              <w:tab w:val="right" w:leader="dot" w:pos="8296"/>
            </w:tabs>
            <w:ind w:left="640"/>
            <w:rPr>
              <w:rFonts w:eastAsiaTheme="majorEastAsia"/>
              <w:sz w:val="21"/>
              <w:szCs w:val="22"/>
            </w:rPr>
          </w:pPr>
          <w:r>
            <w:fldChar w:fldCharType="begin"/>
          </w:r>
          <w:r>
            <w:instrText xml:space="preserve"> HYPERLINK \l "_Toc93738264" </w:instrText>
          </w:r>
          <w:r>
            <w:fldChar w:fldCharType="separate"/>
          </w:r>
          <w:r>
            <w:rPr>
              <w:rStyle w:val="31"/>
              <w:rFonts w:ascii="方正楷体简体" w:hAnsi="方正楷体简体" w:eastAsia="方正楷体简体" w:cs="方正楷体简体"/>
            </w:rPr>
            <w:t>第一节 推进人才资源与现代产业体系协同发展</w:t>
          </w:r>
          <w:r>
            <w:rPr>
              <w:rFonts w:eastAsiaTheme="majorEastAsia"/>
            </w:rPr>
            <w:tab/>
          </w:r>
          <w:r>
            <w:rPr>
              <w:rFonts w:eastAsiaTheme="majorEastAsia"/>
            </w:rPr>
            <w:fldChar w:fldCharType="begin"/>
          </w:r>
          <w:r>
            <w:rPr>
              <w:rFonts w:eastAsiaTheme="majorEastAsia"/>
            </w:rPr>
            <w:instrText xml:space="preserve"> PAGEREF _Toc93738264 \h </w:instrText>
          </w:r>
          <w:r>
            <w:rPr>
              <w:rFonts w:eastAsiaTheme="majorEastAsia"/>
            </w:rPr>
            <w:fldChar w:fldCharType="separate"/>
          </w:r>
          <w:r>
            <w:rPr>
              <w:rFonts w:eastAsiaTheme="majorEastAsia"/>
            </w:rPr>
            <w:t>34</w:t>
          </w:r>
          <w:r>
            <w:rPr>
              <w:rFonts w:eastAsiaTheme="majorEastAsia"/>
            </w:rPr>
            <w:fldChar w:fldCharType="end"/>
          </w:r>
          <w:r>
            <w:rPr>
              <w:rFonts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"_Toc93738265" </w:instrText>
          </w:r>
          <w:r>
            <w:fldChar w:fldCharType="separate"/>
          </w:r>
          <w:r>
            <w:rPr>
              <w:rStyle w:val="31"/>
              <w:rFonts w:ascii="方正楷体简体" w:hAnsi="方正楷体简体" w:eastAsia="方正楷体简体" w:cs="方正楷体简体"/>
            </w:rPr>
            <w:t>第二节 提升高水平专业技术人才队伍</w:t>
          </w:r>
          <w:r>
            <w:rPr>
              <w:rFonts w:eastAsiaTheme="majorEastAsia"/>
            </w:rPr>
            <w:tab/>
          </w:r>
          <w:r>
            <w:rPr>
              <w:rFonts w:eastAsiaTheme="majorEastAsia"/>
            </w:rPr>
            <w:fldChar w:fldCharType="begin"/>
          </w:r>
          <w:r>
            <w:rPr>
              <w:rFonts w:eastAsiaTheme="majorEastAsia"/>
            </w:rPr>
            <w:instrText xml:space="preserve"> PAGEREF _Toc93738265 \h </w:instrText>
          </w:r>
          <w:r>
            <w:rPr>
              <w:rFonts w:eastAsiaTheme="majorEastAsia"/>
            </w:rPr>
            <w:fldChar w:fldCharType="separate"/>
          </w:r>
          <w:r>
            <w:rPr>
              <w:rFonts w:eastAsiaTheme="majorEastAsia"/>
            </w:rPr>
            <w:t>36</w:t>
          </w:r>
          <w:r>
            <w:rPr>
              <w:rFonts w:eastAsiaTheme="majorEastAsia"/>
            </w:rPr>
            <w:fldChar w:fldCharType="end"/>
          </w:r>
          <w:r>
            <w:rPr>
              <w:rFonts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"_Toc93738266" </w:instrText>
          </w:r>
          <w:r>
            <w:fldChar w:fldCharType="separate"/>
          </w:r>
          <w:r>
            <w:rPr>
              <w:rStyle w:val="31"/>
              <w:rFonts w:ascii="方正楷体简体" w:hAnsi="方正楷体简体" w:eastAsia="方正楷体简体" w:cs="方正楷体简体"/>
            </w:rPr>
            <w:t>第三节 着力打造实用型技能人才队伍</w:t>
          </w:r>
          <w:r>
            <w:rPr>
              <w:rFonts w:eastAsiaTheme="majorEastAsia"/>
            </w:rPr>
            <w:tab/>
          </w:r>
          <w:r>
            <w:rPr>
              <w:rFonts w:eastAsiaTheme="majorEastAsia"/>
            </w:rPr>
            <w:fldChar w:fldCharType="begin"/>
          </w:r>
          <w:r>
            <w:rPr>
              <w:rFonts w:eastAsiaTheme="majorEastAsia"/>
            </w:rPr>
            <w:instrText xml:space="preserve"> PAGEREF _Toc93738266 \h </w:instrText>
          </w:r>
          <w:r>
            <w:rPr>
              <w:rFonts w:eastAsiaTheme="majorEastAsia"/>
            </w:rPr>
            <w:fldChar w:fldCharType="separate"/>
          </w:r>
          <w:r>
            <w:rPr>
              <w:rFonts w:eastAsiaTheme="majorEastAsia"/>
            </w:rPr>
            <w:t>38</w:t>
          </w:r>
          <w:r>
            <w:rPr>
              <w:rFonts w:eastAsiaTheme="majorEastAsia"/>
            </w:rPr>
            <w:fldChar w:fldCharType="end"/>
          </w:r>
          <w:r>
            <w:rPr>
              <w:rFonts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"_Toc93738267" </w:instrText>
          </w:r>
          <w:r>
            <w:fldChar w:fldCharType="separate"/>
          </w:r>
          <w:r>
            <w:rPr>
              <w:rStyle w:val="31"/>
              <w:rFonts w:ascii="方正楷体简体" w:hAnsi="方正楷体简体" w:eastAsia="方正楷体简体" w:cs="方正楷体简体"/>
            </w:rPr>
            <w:t>第四节 建强乡村振兴人才支撑</w:t>
          </w:r>
          <w:r>
            <w:rPr>
              <w:rFonts w:eastAsiaTheme="majorEastAsia"/>
            </w:rPr>
            <w:tab/>
          </w:r>
          <w:r>
            <w:rPr>
              <w:rFonts w:eastAsiaTheme="majorEastAsia"/>
            </w:rPr>
            <w:t>4</w:t>
          </w:r>
          <w:r>
            <w:rPr>
              <w:rFonts w:hint="eastAsia" w:eastAsiaTheme="majorEastAsia"/>
            </w:rPr>
            <w:t>1</w:t>
          </w:r>
          <w:r>
            <w:rPr>
              <w:rFonts w:hint="eastAsia"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"_Toc93738268" </w:instrText>
          </w:r>
          <w:r>
            <w:fldChar w:fldCharType="separate"/>
          </w:r>
          <w:r>
            <w:rPr>
              <w:rStyle w:val="31"/>
              <w:rFonts w:ascii="方正楷体简体" w:hAnsi="方正楷体简体" w:eastAsia="方正楷体简体" w:cs="方正楷体简体"/>
            </w:rPr>
            <w:t>第五节 完善人才公共服务体系</w:t>
          </w:r>
          <w:r>
            <w:rPr>
              <w:rFonts w:eastAsiaTheme="majorEastAsia"/>
            </w:rPr>
            <w:tab/>
          </w:r>
          <w:r>
            <w:rPr>
              <w:rFonts w:eastAsiaTheme="majorEastAsia"/>
            </w:rPr>
            <w:fldChar w:fldCharType="begin"/>
          </w:r>
          <w:r>
            <w:rPr>
              <w:rFonts w:eastAsiaTheme="majorEastAsia"/>
            </w:rPr>
            <w:instrText xml:space="preserve"> PAGEREF _Toc93738268 \h </w:instrText>
          </w:r>
          <w:r>
            <w:rPr>
              <w:rFonts w:eastAsiaTheme="majorEastAsia"/>
            </w:rPr>
            <w:fldChar w:fldCharType="separate"/>
          </w:r>
          <w:r>
            <w:rPr>
              <w:rFonts w:eastAsiaTheme="majorEastAsia"/>
            </w:rPr>
            <w:t>44</w:t>
          </w:r>
          <w:r>
            <w:rPr>
              <w:rFonts w:eastAsiaTheme="majorEastAsia"/>
            </w:rPr>
            <w:fldChar w:fldCharType="end"/>
          </w:r>
          <w:r>
            <w:rPr>
              <w:rFonts w:eastAsiaTheme="majorEastAsia"/>
            </w:rPr>
            <w:fldChar w:fldCharType="end"/>
          </w:r>
        </w:p>
        <w:p>
          <w:pPr>
            <w:pStyle w:val="17"/>
            <w:tabs>
              <w:tab w:val="right" w:leader="dot" w:pos="8296"/>
            </w:tabs>
            <w:rPr>
              <w:rFonts w:eastAsiaTheme="minorEastAsia"/>
              <w:sz w:val="21"/>
              <w:szCs w:val="22"/>
            </w:rPr>
          </w:pPr>
          <w:r>
            <w:fldChar w:fldCharType="begin"/>
          </w:r>
          <w:r>
            <w:instrText xml:space="preserve"> HYPERLINK \l "_Toc93738269" </w:instrText>
          </w:r>
          <w:r>
            <w:fldChar w:fldCharType="separate"/>
          </w:r>
          <w:r>
            <w:rPr>
              <w:rStyle w:val="31"/>
              <w:rFonts w:ascii="方正小标宋简体" w:hAnsi="方正小标宋简体" w:eastAsia="方正小标宋简体" w:cs="方正小标宋简体"/>
              <w:bCs/>
            </w:rPr>
            <w:t>第七章  推动技工</w:t>
          </w:r>
          <w:r>
            <w:rPr>
              <w:rStyle w:val="31"/>
              <w:rFonts w:hint="eastAsia" w:ascii="方正小标宋简体" w:hAnsi="方正小标宋简体" w:eastAsia="方正小标宋简体" w:cs="方正小标宋简体"/>
              <w:b/>
            </w:rPr>
            <w:t>学</w:t>
          </w:r>
          <w:r>
            <w:rPr>
              <w:rStyle w:val="31"/>
              <w:rFonts w:ascii="方正小标宋简体" w:hAnsi="方正小标宋简体" w:eastAsia="方正小标宋简体" w:cs="方正小标宋简体"/>
              <w:bCs/>
            </w:rPr>
            <w:t>校高质量发展</w:t>
          </w:r>
          <w:r>
            <w:tab/>
          </w:r>
          <w:r>
            <w:t>45</w:t>
          </w:r>
          <w:r>
            <w:fldChar w:fldCharType="end"/>
          </w:r>
        </w:p>
        <w:p>
          <w:pPr>
            <w:pStyle w:val="21"/>
            <w:tabs>
              <w:tab w:val="right" w:leader="dot" w:pos="8296"/>
            </w:tabs>
            <w:ind w:left="640"/>
            <w:rPr>
              <w:rFonts w:eastAsiaTheme="majorEastAsia"/>
              <w:sz w:val="21"/>
              <w:szCs w:val="22"/>
            </w:rPr>
          </w:pPr>
          <w:r>
            <w:fldChar w:fldCharType="begin"/>
          </w:r>
          <w:r>
            <w:instrText xml:space="preserve"> HYPERLINK \l "_Toc93738270" </w:instrText>
          </w:r>
          <w:r>
            <w:fldChar w:fldCharType="separate"/>
          </w:r>
          <w:r>
            <w:rPr>
              <w:rStyle w:val="31"/>
              <w:rFonts w:ascii="方正楷体简体" w:hAnsi="方正楷体简体" w:eastAsia="方正楷体简体" w:cs="方正楷体简体"/>
            </w:rPr>
            <w:t>第一节 优化技工</w:t>
          </w:r>
          <w:r>
            <w:rPr>
              <w:rStyle w:val="31"/>
              <w:rFonts w:hint="eastAsia" w:ascii="方正楷体简体" w:hAnsi="方正楷体简体" w:eastAsia="方正楷体简体" w:cs="方正楷体简体"/>
            </w:rPr>
            <w:t>学</w:t>
          </w:r>
          <w:r>
            <w:rPr>
              <w:rStyle w:val="31"/>
              <w:rFonts w:ascii="方正楷体简体" w:hAnsi="方正楷体简体" w:eastAsia="方正楷体简体" w:cs="方正楷体简体"/>
            </w:rPr>
            <w:t>校专业设置</w:t>
          </w:r>
          <w:r>
            <w:rPr>
              <w:rFonts w:eastAsiaTheme="majorEastAsia"/>
            </w:rPr>
            <w:tab/>
          </w:r>
          <w:r>
            <w:rPr>
              <w:rFonts w:eastAsiaTheme="majorEastAsia"/>
            </w:rPr>
            <w:fldChar w:fldCharType="begin"/>
          </w:r>
          <w:r>
            <w:rPr>
              <w:rFonts w:eastAsiaTheme="majorEastAsia"/>
            </w:rPr>
            <w:instrText xml:space="preserve"> PAGEREF _Toc93738270 \h </w:instrText>
          </w:r>
          <w:r>
            <w:rPr>
              <w:rFonts w:eastAsiaTheme="majorEastAsia"/>
            </w:rPr>
            <w:fldChar w:fldCharType="separate"/>
          </w:r>
          <w:r>
            <w:rPr>
              <w:rFonts w:eastAsiaTheme="majorEastAsia"/>
            </w:rPr>
            <w:t>45</w:t>
          </w:r>
          <w:r>
            <w:rPr>
              <w:rFonts w:eastAsiaTheme="majorEastAsia"/>
            </w:rPr>
            <w:fldChar w:fldCharType="end"/>
          </w:r>
          <w:r>
            <w:rPr>
              <w:rFonts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"_Toc93738271" </w:instrText>
          </w:r>
          <w:r>
            <w:fldChar w:fldCharType="separate"/>
          </w:r>
          <w:r>
            <w:rPr>
              <w:rStyle w:val="31"/>
              <w:rFonts w:ascii="方正楷体简体" w:hAnsi="方正楷体简体" w:eastAsia="方正楷体简体" w:cs="方正楷体简体"/>
            </w:rPr>
            <w:t>第二节 提升技工教育发展质量</w:t>
          </w:r>
          <w:r>
            <w:rPr>
              <w:rFonts w:eastAsiaTheme="majorEastAsia"/>
            </w:rPr>
            <w:tab/>
          </w:r>
          <w:r>
            <w:rPr>
              <w:rFonts w:eastAsiaTheme="majorEastAsia"/>
            </w:rPr>
            <w:fldChar w:fldCharType="begin"/>
          </w:r>
          <w:r>
            <w:rPr>
              <w:rFonts w:eastAsiaTheme="majorEastAsia"/>
            </w:rPr>
            <w:instrText xml:space="preserve"> PAGEREF _Toc93738271 \h </w:instrText>
          </w:r>
          <w:r>
            <w:rPr>
              <w:rFonts w:eastAsiaTheme="majorEastAsia"/>
            </w:rPr>
            <w:fldChar w:fldCharType="separate"/>
          </w:r>
          <w:r>
            <w:rPr>
              <w:rFonts w:eastAsiaTheme="majorEastAsia"/>
            </w:rPr>
            <w:t>47</w:t>
          </w:r>
          <w:r>
            <w:rPr>
              <w:rFonts w:eastAsiaTheme="majorEastAsia"/>
            </w:rPr>
            <w:fldChar w:fldCharType="end"/>
          </w:r>
          <w:r>
            <w:rPr>
              <w:rFonts w:eastAsiaTheme="majorEastAsia"/>
            </w:rPr>
            <w:fldChar w:fldCharType="end"/>
          </w:r>
        </w:p>
        <w:p>
          <w:pPr>
            <w:pStyle w:val="21"/>
            <w:tabs>
              <w:tab w:val="right" w:leader="dot" w:pos="8296"/>
            </w:tabs>
            <w:ind w:left="640"/>
          </w:pPr>
          <w:r>
            <w:fldChar w:fldCharType="begin"/>
          </w:r>
          <w:r>
            <w:instrText xml:space="preserve"> HYPERLINK \l "_Toc93738272" </w:instrText>
          </w:r>
          <w:r>
            <w:fldChar w:fldCharType="separate"/>
          </w:r>
          <w:r>
            <w:rPr>
              <w:rStyle w:val="31"/>
              <w:rFonts w:ascii="方正楷体简体" w:hAnsi="方正楷体简体" w:eastAsia="方正楷体简体" w:cs="方正楷体简体"/>
            </w:rPr>
            <w:t>第三节 促进技</w:t>
          </w:r>
          <w:r>
            <w:rPr>
              <w:rStyle w:val="31"/>
              <w:rFonts w:ascii="方正楷体简体" w:hAnsi="方正楷体简体" w:eastAsia="方正楷体简体" w:cs="方正楷体简体"/>
              <w:szCs w:val="36"/>
            </w:rPr>
            <w:t>工</w:t>
          </w:r>
          <w:r>
            <w:rPr>
              <w:rStyle w:val="31"/>
              <w:rFonts w:hint="eastAsia" w:ascii="方正楷体简体" w:hAnsi="方正楷体简体" w:eastAsia="方正楷体简体" w:cs="方正楷体简体"/>
              <w:szCs w:val="36"/>
            </w:rPr>
            <w:t>学</w:t>
          </w:r>
          <w:r>
            <w:rPr>
              <w:rStyle w:val="31"/>
              <w:rFonts w:ascii="方正楷体简体" w:hAnsi="方正楷体简体" w:eastAsia="方正楷体简体" w:cs="方正楷体简体"/>
              <w:szCs w:val="36"/>
            </w:rPr>
            <w:t>校</w:t>
          </w:r>
          <w:r>
            <w:rPr>
              <w:rStyle w:val="31"/>
              <w:rFonts w:ascii="方正楷体简体" w:hAnsi="方正楷体简体" w:eastAsia="方正楷体简体" w:cs="方正楷体简体"/>
            </w:rPr>
            <w:t>服务地方经济</w:t>
          </w:r>
          <w:r>
            <w:rPr>
              <w:rFonts w:eastAsiaTheme="majorEastAsia"/>
            </w:rPr>
            <w:tab/>
          </w:r>
          <w:r>
            <w:rPr>
              <w:rFonts w:eastAsiaTheme="majorEastAsia"/>
            </w:rPr>
            <w:fldChar w:fldCharType="begin"/>
          </w:r>
          <w:r>
            <w:rPr>
              <w:rFonts w:eastAsiaTheme="majorEastAsia"/>
            </w:rPr>
            <w:instrText xml:space="preserve"> PAGEREF _Toc93738272 \h </w:instrText>
          </w:r>
          <w:r>
            <w:rPr>
              <w:rFonts w:eastAsiaTheme="majorEastAsia"/>
            </w:rPr>
            <w:fldChar w:fldCharType="separate"/>
          </w:r>
          <w:r>
            <w:rPr>
              <w:rFonts w:eastAsiaTheme="majorEastAsia"/>
            </w:rPr>
            <w:t>48</w:t>
          </w:r>
          <w:r>
            <w:rPr>
              <w:rFonts w:eastAsiaTheme="majorEastAsia"/>
            </w:rPr>
            <w:fldChar w:fldCharType="end"/>
          </w:r>
          <w:r>
            <w:rPr>
              <w:rFonts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"_Toc93738272" </w:instrText>
          </w:r>
          <w:r>
            <w:fldChar w:fldCharType="separate"/>
          </w:r>
          <w:r>
            <w:rPr>
              <w:rStyle w:val="31"/>
              <w:rFonts w:ascii="方正楷体简体" w:hAnsi="方正楷体简体" w:eastAsia="方正楷体简体" w:cs="方正楷体简体"/>
            </w:rPr>
            <w:t>第四节 加强技工教育基础建设</w:t>
          </w:r>
          <w:r>
            <w:rPr>
              <w:rFonts w:eastAsiaTheme="majorEastAsia"/>
            </w:rPr>
            <w:tab/>
          </w:r>
          <w:r>
            <w:rPr>
              <w:rFonts w:eastAsiaTheme="majorEastAsia"/>
            </w:rPr>
            <w:t>4</w:t>
          </w:r>
          <w:r>
            <w:rPr>
              <w:rFonts w:hint="eastAsia" w:eastAsiaTheme="majorEastAsia"/>
            </w:rPr>
            <w:t>9</w:t>
          </w:r>
          <w:r>
            <w:rPr>
              <w:rFonts w:hint="eastAsia" w:eastAsiaTheme="majorEastAsia"/>
            </w:rPr>
            <w:fldChar w:fldCharType="end"/>
          </w:r>
        </w:p>
        <w:p>
          <w:pPr>
            <w:pStyle w:val="17"/>
            <w:tabs>
              <w:tab w:val="right" w:leader="dot" w:pos="8296"/>
            </w:tabs>
            <w:rPr>
              <w:rFonts w:eastAsiaTheme="minorEastAsia"/>
              <w:sz w:val="21"/>
              <w:szCs w:val="22"/>
            </w:rPr>
          </w:pPr>
          <w:r>
            <w:fldChar w:fldCharType="begin"/>
          </w:r>
          <w:r>
            <w:instrText xml:space="preserve"> HYPERLINK \l "_Toc93738273" </w:instrText>
          </w:r>
          <w:r>
            <w:fldChar w:fldCharType="separate"/>
          </w:r>
          <w:r>
            <w:rPr>
              <w:rStyle w:val="31"/>
              <w:rFonts w:ascii="方正小标宋简体" w:hAnsi="方正小标宋简体" w:eastAsia="方正小标宋简体" w:cs="方正小标宋简体"/>
              <w:bCs/>
            </w:rPr>
            <w:t>第八章 形成更具活力的事业单位用人机制</w:t>
          </w:r>
          <w:r>
            <w:tab/>
          </w:r>
          <w:r>
            <w:rPr>
              <w:rFonts w:hint="eastAsia"/>
            </w:rPr>
            <w:t>50</w:t>
          </w:r>
          <w:r>
            <w:rPr>
              <w:rFonts w:hint="eastAsia"/>
            </w:rPr>
            <w:fldChar w:fldCharType="end"/>
          </w:r>
        </w:p>
        <w:p>
          <w:pPr>
            <w:pStyle w:val="21"/>
            <w:tabs>
              <w:tab w:val="right" w:leader="dot" w:pos="8296"/>
            </w:tabs>
            <w:ind w:left="640"/>
          </w:pPr>
          <w:r>
            <w:fldChar w:fldCharType="begin"/>
          </w:r>
          <w:r>
            <w:instrText xml:space="preserve"> HYPERLINK \l "_Toc93738274" </w:instrText>
          </w:r>
          <w:r>
            <w:fldChar w:fldCharType="separate"/>
          </w:r>
          <w:r>
            <w:rPr>
              <w:rStyle w:val="31"/>
              <w:rFonts w:ascii="方正楷体简体" w:hAnsi="方正楷体简体" w:eastAsia="方正楷体简体" w:cs="方正楷体简体"/>
            </w:rPr>
            <w:t>第一节 完善事业单位人事管理政策体系</w:t>
          </w:r>
          <w:r>
            <w:rPr>
              <w:rFonts w:eastAsiaTheme="majorEastAsia"/>
            </w:rPr>
            <w:tab/>
          </w:r>
          <w:r>
            <w:rPr>
              <w:rFonts w:hint="eastAsia" w:eastAsiaTheme="majorEastAsia"/>
            </w:rPr>
            <w:t>50</w:t>
          </w:r>
          <w:r>
            <w:rPr>
              <w:rFonts w:hint="eastAsia" w:eastAsiaTheme="majorEastAsia"/>
            </w:rPr>
            <w:fldChar w:fldCharType="end"/>
          </w:r>
        </w:p>
        <w:p>
          <w:pPr>
            <w:pStyle w:val="21"/>
            <w:tabs>
              <w:tab w:val="right" w:leader="dot" w:pos="8296"/>
            </w:tabs>
            <w:ind w:left="640"/>
          </w:pPr>
          <w:r>
            <w:fldChar w:fldCharType="begin"/>
          </w:r>
          <w:r>
            <w:instrText xml:space="preserve"> HYPERLINK \l "_Toc93738274" </w:instrText>
          </w:r>
          <w:r>
            <w:fldChar w:fldCharType="separate"/>
          </w:r>
          <w:r>
            <w:rPr>
              <w:rStyle w:val="31"/>
              <w:rFonts w:ascii="方正楷体简体" w:hAnsi="方正楷体简体" w:eastAsia="方正楷体简体" w:cs="方正楷体简体"/>
            </w:rPr>
            <w:t>第二节 完善事业单位薪酬分配制度</w:t>
          </w:r>
          <w:r>
            <w:rPr>
              <w:rFonts w:eastAsiaTheme="majorEastAsia"/>
            </w:rPr>
            <w:tab/>
          </w:r>
          <w:r>
            <w:rPr>
              <w:rFonts w:eastAsiaTheme="majorEastAsia"/>
            </w:rPr>
            <w:t>5</w:t>
          </w:r>
          <w:r>
            <w:rPr>
              <w:rFonts w:hint="eastAsia" w:eastAsiaTheme="majorEastAsia"/>
            </w:rPr>
            <w:t>1</w:t>
          </w:r>
          <w:r>
            <w:rPr>
              <w:rFonts w:hint="eastAsia"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"_Toc93738275" </w:instrText>
          </w:r>
          <w:r>
            <w:fldChar w:fldCharType="separate"/>
          </w:r>
          <w:r>
            <w:rPr>
              <w:rStyle w:val="31"/>
              <w:rFonts w:ascii="方正楷体简体" w:hAnsi="方正楷体简体" w:eastAsia="方正楷体简体" w:cs="方正楷体简体"/>
            </w:rPr>
            <w:t>第三节 深化事业单位人事管理机制改革</w:t>
          </w:r>
          <w:r>
            <w:rPr>
              <w:rFonts w:eastAsiaTheme="majorEastAsia"/>
            </w:rPr>
            <w:tab/>
          </w:r>
          <w:r>
            <w:rPr>
              <w:rFonts w:eastAsiaTheme="majorEastAsia"/>
            </w:rPr>
            <w:t>5</w:t>
          </w:r>
          <w:r>
            <w:rPr>
              <w:rFonts w:hint="eastAsia" w:eastAsiaTheme="majorEastAsia"/>
            </w:rPr>
            <w:t>1</w:t>
          </w:r>
          <w:r>
            <w:rPr>
              <w:rFonts w:hint="eastAsia"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"_Toc93738276" </w:instrText>
          </w:r>
          <w:r>
            <w:fldChar w:fldCharType="separate"/>
          </w:r>
          <w:r>
            <w:rPr>
              <w:rStyle w:val="31"/>
              <w:rFonts w:ascii="方正楷体简体" w:hAnsi="方正楷体简体" w:eastAsia="方正楷体简体" w:cs="方正楷体简体"/>
            </w:rPr>
            <w:t>第四节 强化事业单位人事管理服务</w:t>
          </w:r>
          <w:r>
            <w:rPr>
              <w:rFonts w:eastAsiaTheme="majorEastAsia"/>
            </w:rPr>
            <w:tab/>
          </w:r>
          <w:r>
            <w:rPr>
              <w:rFonts w:eastAsiaTheme="majorEastAsia"/>
            </w:rPr>
            <w:t>5</w:t>
          </w:r>
          <w:r>
            <w:rPr>
              <w:rFonts w:hint="eastAsia" w:eastAsiaTheme="majorEastAsia"/>
            </w:rPr>
            <w:t>2</w:t>
          </w:r>
          <w:r>
            <w:rPr>
              <w:rFonts w:hint="eastAsia" w:eastAsiaTheme="majorEastAsia"/>
            </w:rPr>
            <w:fldChar w:fldCharType="end"/>
          </w:r>
        </w:p>
        <w:p>
          <w:pPr>
            <w:pStyle w:val="17"/>
            <w:tabs>
              <w:tab w:val="right" w:leader="dot" w:pos="8296"/>
            </w:tabs>
            <w:rPr>
              <w:rFonts w:eastAsiaTheme="minorEastAsia"/>
              <w:sz w:val="21"/>
              <w:szCs w:val="22"/>
            </w:rPr>
          </w:pPr>
          <w:r>
            <w:fldChar w:fldCharType="begin"/>
          </w:r>
          <w:r>
            <w:instrText xml:space="preserve"> HYPERLINK \l "_Toc93738277" </w:instrText>
          </w:r>
          <w:r>
            <w:fldChar w:fldCharType="separate"/>
          </w:r>
          <w:r>
            <w:rPr>
              <w:rStyle w:val="31"/>
              <w:rFonts w:ascii="方正小标宋简体" w:hAnsi="方正小标宋简体" w:eastAsia="方正小标宋简体" w:cs="方正小标宋简体"/>
              <w:bCs/>
            </w:rPr>
            <w:t>第九章 构建更加和谐稳定的劳动关系</w:t>
          </w:r>
          <w:r>
            <w:tab/>
          </w:r>
          <w:r>
            <w:t>53</w:t>
          </w:r>
          <w:r>
            <w:fldChar w:fldCharType="end"/>
          </w:r>
        </w:p>
        <w:p>
          <w:pPr>
            <w:pStyle w:val="21"/>
            <w:tabs>
              <w:tab w:val="right" w:leader="dot" w:pos="8296"/>
            </w:tabs>
            <w:ind w:left="640"/>
            <w:rPr>
              <w:rFonts w:eastAsiaTheme="majorEastAsia"/>
              <w:sz w:val="21"/>
              <w:szCs w:val="22"/>
            </w:rPr>
          </w:pPr>
          <w:r>
            <w:fldChar w:fldCharType="begin"/>
          </w:r>
          <w:r>
            <w:instrText xml:space="preserve"> HYPERLINK \l "_Toc93738278" </w:instrText>
          </w:r>
          <w:r>
            <w:fldChar w:fldCharType="separate"/>
          </w:r>
          <w:r>
            <w:rPr>
              <w:rStyle w:val="31"/>
              <w:rFonts w:ascii="方正楷体简体" w:hAnsi="方正楷体简体" w:eastAsia="方正楷体简体" w:cs="方正楷体简体"/>
            </w:rPr>
            <w:t>第一节 构建和谐劳动关系</w:t>
          </w:r>
          <w:r>
            <w:rPr>
              <w:rFonts w:eastAsiaTheme="majorEastAsia"/>
            </w:rPr>
            <w:tab/>
          </w:r>
          <w:r>
            <w:rPr>
              <w:rFonts w:eastAsiaTheme="majorEastAsia"/>
            </w:rPr>
            <w:t>5</w:t>
          </w:r>
          <w:r>
            <w:rPr>
              <w:rFonts w:hint="eastAsia" w:eastAsiaTheme="majorEastAsia"/>
            </w:rPr>
            <w:t>4</w:t>
          </w:r>
          <w:r>
            <w:rPr>
              <w:rFonts w:hint="eastAsia"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"_Toc93738279" </w:instrText>
          </w:r>
          <w:r>
            <w:fldChar w:fldCharType="separate"/>
          </w:r>
          <w:r>
            <w:rPr>
              <w:rStyle w:val="31"/>
              <w:rFonts w:ascii="方正楷体简体" w:hAnsi="方正楷体简体" w:eastAsia="方正楷体简体" w:cs="方正楷体简体"/>
            </w:rPr>
            <w:t>第二节 完善企业工资收入分配制度</w:t>
          </w:r>
          <w:r>
            <w:rPr>
              <w:rFonts w:eastAsiaTheme="majorEastAsia"/>
            </w:rPr>
            <w:tab/>
          </w:r>
          <w:r>
            <w:rPr>
              <w:rFonts w:eastAsiaTheme="majorEastAsia"/>
            </w:rPr>
            <w:t>5</w:t>
          </w:r>
          <w:r>
            <w:rPr>
              <w:rFonts w:hint="eastAsia" w:eastAsiaTheme="majorEastAsia"/>
            </w:rPr>
            <w:t>5</w:t>
          </w:r>
          <w:r>
            <w:rPr>
              <w:rFonts w:hint="eastAsia"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"_Toc93738280" </w:instrText>
          </w:r>
          <w:r>
            <w:fldChar w:fldCharType="separate"/>
          </w:r>
          <w:r>
            <w:rPr>
              <w:rStyle w:val="31"/>
              <w:rFonts w:ascii="方正楷体简体" w:hAnsi="方正楷体简体" w:eastAsia="方正楷体简体" w:cs="方正楷体简体"/>
            </w:rPr>
            <w:t>第三节 完善劳动人事争议调解仲裁制度</w:t>
          </w:r>
          <w:r>
            <w:rPr>
              <w:rFonts w:eastAsiaTheme="majorEastAsia"/>
            </w:rPr>
            <w:tab/>
          </w:r>
          <w:r>
            <w:rPr>
              <w:rFonts w:eastAsiaTheme="majorEastAsia"/>
            </w:rPr>
            <w:t>5</w:t>
          </w:r>
          <w:r>
            <w:rPr>
              <w:rFonts w:hint="eastAsia" w:eastAsiaTheme="majorEastAsia"/>
            </w:rPr>
            <w:t>6</w:t>
          </w:r>
          <w:r>
            <w:rPr>
              <w:rFonts w:hint="eastAsia" w:eastAsiaTheme="majorEastAsia"/>
            </w:rPr>
            <w:fldChar w:fldCharType="end"/>
          </w:r>
        </w:p>
        <w:p>
          <w:pPr>
            <w:pStyle w:val="21"/>
            <w:tabs>
              <w:tab w:val="right" w:leader="dot" w:pos="8296"/>
            </w:tabs>
            <w:ind w:left="640"/>
          </w:pPr>
          <w:r>
            <w:fldChar w:fldCharType="begin"/>
          </w:r>
          <w:r>
            <w:instrText xml:space="preserve"> HYPERLINK \l "_Toc93738281" </w:instrText>
          </w:r>
          <w:r>
            <w:fldChar w:fldCharType="separate"/>
          </w:r>
          <w:r>
            <w:rPr>
              <w:rStyle w:val="31"/>
              <w:rFonts w:ascii="方正楷体简体" w:hAnsi="方正楷体简体" w:eastAsia="方正楷体简体" w:cs="方正楷体简体"/>
            </w:rPr>
            <w:t>第四节 提高劳动保障监察治理效能</w:t>
          </w:r>
          <w:r>
            <w:rPr>
              <w:rFonts w:eastAsiaTheme="majorEastAsia"/>
            </w:rPr>
            <w:tab/>
          </w:r>
          <w:r>
            <w:rPr>
              <w:rFonts w:eastAsiaTheme="majorEastAsia"/>
            </w:rPr>
            <w:t>57</w:t>
          </w:r>
          <w:r>
            <w:rPr>
              <w:rFonts w:eastAsiaTheme="majorEastAsia"/>
            </w:rPr>
            <w:fldChar w:fldCharType="end"/>
          </w:r>
        </w:p>
        <w:p>
          <w:pPr>
            <w:pStyle w:val="21"/>
            <w:tabs>
              <w:tab w:val="right" w:leader="dot" w:pos="8296"/>
            </w:tabs>
            <w:ind w:left="640"/>
          </w:pPr>
          <w:r>
            <w:fldChar w:fldCharType="begin"/>
          </w:r>
          <w:r>
            <w:instrText xml:space="preserve"> HYPERLINK \l "_Toc93738281" </w:instrText>
          </w:r>
          <w:r>
            <w:fldChar w:fldCharType="separate"/>
          </w:r>
          <w:r>
            <w:rPr>
              <w:rStyle w:val="31"/>
              <w:rFonts w:ascii="方正楷体简体" w:hAnsi="方正楷体简体" w:eastAsia="方正楷体简体" w:cs="方正楷体简体"/>
            </w:rPr>
            <w:t>第五节 加强异地务工人员服务保障</w:t>
          </w:r>
          <w:r>
            <w:rPr>
              <w:rFonts w:eastAsiaTheme="majorEastAsia"/>
            </w:rPr>
            <w:tab/>
          </w:r>
          <w:r>
            <w:rPr>
              <w:rFonts w:hint="eastAsia" w:eastAsiaTheme="majorEastAsia"/>
            </w:rPr>
            <w:t>59</w:t>
          </w:r>
          <w:r>
            <w:rPr>
              <w:rFonts w:hint="eastAsia" w:eastAsiaTheme="majorEastAsia"/>
            </w:rPr>
            <w:fldChar w:fldCharType="end"/>
          </w:r>
        </w:p>
        <w:p>
          <w:pPr>
            <w:pStyle w:val="17"/>
            <w:tabs>
              <w:tab w:val="right" w:leader="dot" w:pos="8296"/>
            </w:tabs>
            <w:rPr>
              <w:rFonts w:eastAsiaTheme="minorEastAsia"/>
              <w:sz w:val="21"/>
              <w:szCs w:val="22"/>
            </w:rPr>
          </w:pPr>
          <w:r>
            <w:fldChar w:fldCharType="begin"/>
          </w:r>
          <w:r>
            <w:instrText xml:space="preserve"> HYPERLINK \l "_Toc93738286" </w:instrText>
          </w:r>
          <w:r>
            <w:fldChar w:fldCharType="separate"/>
          </w:r>
          <w:r>
            <w:rPr>
              <w:rStyle w:val="31"/>
              <w:rFonts w:ascii="方正小标宋简体" w:hAnsi="方正小标宋简体" w:eastAsia="方正小标宋简体" w:cs="方正小标宋简体"/>
              <w:bCs/>
            </w:rPr>
            <w:t>第十章 提升公共服务能力和水平</w:t>
          </w:r>
          <w:r>
            <w:tab/>
          </w:r>
          <w:r>
            <w:fldChar w:fldCharType="begin"/>
          </w:r>
          <w:r>
            <w:instrText xml:space="preserve"> PAGEREF _Toc93738286 \h </w:instrText>
          </w:r>
          <w:r>
            <w:fldChar w:fldCharType="separate"/>
          </w:r>
          <w:r>
            <w:t>61</w:t>
          </w:r>
          <w:r>
            <w:fldChar w:fldCharType="end"/>
          </w:r>
          <w:r>
            <w:fldChar w:fldCharType="end"/>
          </w:r>
        </w:p>
        <w:p>
          <w:pPr>
            <w:pStyle w:val="21"/>
            <w:tabs>
              <w:tab w:val="left" w:pos="1680"/>
              <w:tab w:val="right" w:leader="dot" w:pos="8296"/>
            </w:tabs>
            <w:ind w:left="640"/>
            <w:rPr>
              <w:rFonts w:eastAsiaTheme="majorEastAsia"/>
              <w:sz w:val="21"/>
              <w:szCs w:val="22"/>
            </w:rPr>
          </w:pPr>
          <w:r>
            <w:fldChar w:fldCharType="begin"/>
          </w:r>
          <w:r>
            <w:instrText xml:space="preserve"> HYPERLINK \l "_Toc93738287" </w:instrText>
          </w:r>
          <w:r>
            <w:fldChar w:fldCharType="separate"/>
          </w:r>
          <w:r>
            <w:rPr>
              <w:rStyle w:val="31"/>
              <w:rFonts w:ascii="方正楷体简体" w:hAnsi="方正楷体简体" w:eastAsia="方正楷体简体" w:cs="方正楷体简体"/>
            </w:rPr>
            <w:t>第一节</w:t>
          </w:r>
          <w:r>
            <w:rPr>
              <w:rStyle w:val="31"/>
              <w:rFonts w:hint="eastAsia" w:ascii="方正楷体简体" w:hAnsi="方正楷体简体" w:eastAsia="方正楷体简体" w:cs="方正楷体简体"/>
            </w:rPr>
            <w:t xml:space="preserve"> </w:t>
          </w:r>
          <w:r>
            <w:rPr>
              <w:rStyle w:val="31"/>
              <w:rFonts w:ascii="方正楷体简体" w:hAnsi="方正楷体简体" w:eastAsia="方正楷体简体" w:cs="方正楷体简体"/>
            </w:rPr>
            <w:t>加强公共服务能力建设</w:t>
          </w:r>
          <w:r>
            <w:rPr>
              <w:rFonts w:eastAsiaTheme="majorEastAsia"/>
            </w:rPr>
            <w:tab/>
          </w:r>
          <w:r>
            <w:rPr>
              <w:rFonts w:eastAsiaTheme="majorEastAsia"/>
            </w:rPr>
            <w:fldChar w:fldCharType="begin"/>
          </w:r>
          <w:r>
            <w:rPr>
              <w:rFonts w:eastAsiaTheme="majorEastAsia"/>
            </w:rPr>
            <w:instrText xml:space="preserve"> PAGEREF _Toc93738287 \h </w:instrText>
          </w:r>
          <w:r>
            <w:rPr>
              <w:rFonts w:eastAsiaTheme="majorEastAsia"/>
            </w:rPr>
            <w:fldChar w:fldCharType="separate"/>
          </w:r>
          <w:r>
            <w:rPr>
              <w:rFonts w:eastAsiaTheme="majorEastAsia"/>
            </w:rPr>
            <w:t>61</w:t>
          </w:r>
          <w:r>
            <w:rPr>
              <w:rFonts w:eastAsiaTheme="majorEastAsia"/>
            </w:rPr>
            <w:fldChar w:fldCharType="end"/>
          </w:r>
          <w:r>
            <w:rPr>
              <w:rFonts w:eastAsiaTheme="majorEastAsia"/>
            </w:rPr>
            <w:fldChar w:fldCharType="end"/>
          </w:r>
        </w:p>
        <w:p>
          <w:pPr>
            <w:pStyle w:val="21"/>
            <w:tabs>
              <w:tab w:val="left" w:pos="1680"/>
              <w:tab w:val="right" w:leader="dot" w:pos="8296"/>
            </w:tabs>
            <w:ind w:left="640"/>
            <w:rPr>
              <w:rFonts w:eastAsiaTheme="majorEastAsia"/>
              <w:sz w:val="21"/>
              <w:szCs w:val="22"/>
            </w:rPr>
          </w:pPr>
          <w:r>
            <w:fldChar w:fldCharType="begin"/>
          </w:r>
          <w:r>
            <w:instrText xml:space="preserve"> HYPERLINK \l "_Toc93738288" </w:instrText>
          </w:r>
          <w:r>
            <w:fldChar w:fldCharType="separate"/>
          </w:r>
          <w:r>
            <w:rPr>
              <w:rStyle w:val="31"/>
              <w:rFonts w:ascii="方正楷体简体" w:hAnsi="方正楷体简体" w:eastAsia="方正楷体简体" w:cs="方正楷体简体"/>
            </w:rPr>
            <w:t>第二节 大力推进信息化建设</w:t>
          </w:r>
          <w:r>
            <w:rPr>
              <w:rFonts w:eastAsiaTheme="majorEastAsia"/>
            </w:rPr>
            <w:tab/>
          </w:r>
          <w:r>
            <w:rPr>
              <w:rFonts w:eastAsiaTheme="majorEastAsia"/>
            </w:rPr>
            <w:fldChar w:fldCharType="begin"/>
          </w:r>
          <w:r>
            <w:rPr>
              <w:rFonts w:eastAsiaTheme="majorEastAsia"/>
            </w:rPr>
            <w:instrText xml:space="preserve"> PAGEREF _Toc93738288 \h </w:instrText>
          </w:r>
          <w:r>
            <w:rPr>
              <w:rFonts w:eastAsiaTheme="majorEastAsia"/>
            </w:rPr>
            <w:fldChar w:fldCharType="separate"/>
          </w:r>
          <w:r>
            <w:rPr>
              <w:rFonts w:eastAsiaTheme="majorEastAsia"/>
            </w:rPr>
            <w:t>63</w:t>
          </w:r>
          <w:r>
            <w:rPr>
              <w:rFonts w:eastAsiaTheme="majorEastAsia"/>
            </w:rPr>
            <w:fldChar w:fldCharType="end"/>
          </w:r>
          <w:r>
            <w:rPr>
              <w:rFonts w:eastAsiaTheme="majorEastAsia"/>
            </w:rPr>
            <w:fldChar w:fldCharType="end"/>
          </w:r>
        </w:p>
        <w:p>
          <w:pPr>
            <w:pStyle w:val="21"/>
            <w:tabs>
              <w:tab w:val="left" w:pos="1680"/>
              <w:tab w:val="right" w:leader="dot" w:pos="8296"/>
            </w:tabs>
            <w:ind w:left="640"/>
            <w:rPr>
              <w:rFonts w:eastAsiaTheme="majorEastAsia"/>
              <w:sz w:val="21"/>
              <w:szCs w:val="22"/>
            </w:rPr>
          </w:pPr>
          <w:r>
            <w:fldChar w:fldCharType="begin"/>
          </w:r>
          <w:r>
            <w:instrText xml:space="preserve"> HYPERLINK \l "_Toc93738289" </w:instrText>
          </w:r>
          <w:r>
            <w:fldChar w:fldCharType="separate"/>
          </w:r>
          <w:r>
            <w:rPr>
              <w:rStyle w:val="31"/>
              <w:rFonts w:ascii="方正楷体简体" w:hAnsi="方正楷体简体" w:eastAsia="方正楷体简体" w:cs="方正楷体简体"/>
            </w:rPr>
            <w:t>第三节 加强人社系统队伍行风建设</w:t>
          </w:r>
          <w:r>
            <w:rPr>
              <w:rFonts w:eastAsiaTheme="majorEastAsia"/>
            </w:rPr>
            <w:tab/>
          </w:r>
          <w:r>
            <w:rPr>
              <w:rFonts w:eastAsiaTheme="majorEastAsia"/>
            </w:rPr>
            <w:fldChar w:fldCharType="begin"/>
          </w:r>
          <w:r>
            <w:rPr>
              <w:rFonts w:eastAsiaTheme="majorEastAsia"/>
            </w:rPr>
            <w:instrText xml:space="preserve"> PAGEREF _Toc93738289 \h </w:instrText>
          </w:r>
          <w:r>
            <w:rPr>
              <w:rFonts w:eastAsiaTheme="majorEastAsia"/>
            </w:rPr>
            <w:fldChar w:fldCharType="separate"/>
          </w:r>
          <w:r>
            <w:rPr>
              <w:rFonts w:eastAsiaTheme="majorEastAsia"/>
            </w:rPr>
            <w:t>64</w:t>
          </w:r>
          <w:r>
            <w:rPr>
              <w:rFonts w:eastAsiaTheme="majorEastAsia"/>
            </w:rPr>
            <w:fldChar w:fldCharType="end"/>
          </w:r>
          <w:r>
            <w:rPr>
              <w:rFonts w:eastAsiaTheme="majorEastAsia"/>
            </w:rPr>
            <w:fldChar w:fldCharType="end"/>
          </w:r>
        </w:p>
        <w:p>
          <w:pPr>
            <w:pStyle w:val="17"/>
            <w:tabs>
              <w:tab w:val="right" w:leader="dot" w:pos="8296"/>
            </w:tabs>
            <w:rPr>
              <w:rFonts w:eastAsiaTheme="minorEastAsia"/>
              <w:sz w:val="21"/>
              <w:szCs w:val="22"/>
            </w:rPr>
          </w:pPr>
          <w:r>
            <w:fldChar w:fldCharType="begin"/>
          </w:r>
          <w:r>
            <w:instrText xml:space="preserve"> HYPERLINK \l "_Toc93738290" </w:instrText>
          </w:r>
          <w:r>
            <w:fldChar w:fldCharType="separate"/>
          </w:r>
          <w:r>
            <w:rPr>
              <w:rStyle w:val="31"/>
              <w:rFonts w:ascii="方正小标宋简体" w:hAnsi="方正小标宋简体" w:eastAsia="方正小标宋简体" w:cs="方正小标宋简体"/>
              <w:bCs/>
            </w:rPr>
            <w:t>第十一章 强化规划实施保障措施</w:t>
          </w:r>
          <w:r>
            <w:tab/>
          </w:r>
          <w:r>
            <w:fldChar w:fldCharType="begin"/>
          </w:r>
          <w:r>
            <w:instrText xml:space="preserve"> PAGEREF _Toc93738290 \h </w:instrText>
          </w:r>
          <w:r>
            <w:fldChar w:fldCharType="separate"/>
          </w:r>
          <w:r>
            <w:t>65</w:t>
          </w:r>
          <w:r>
            <w:fldChar w:fldCharType="end"/>
          </w:r>
          <w:r>
            <w:fldChar w:fldCharType="end"/>
          </w:r>
        </w:p>
        <w:p>
          <w:pPr>
            <w:pStyle w:val="21"/>
            <w:tabs>
              <w:tab w:val="right" w:leader="dot" w:pos="8296"/>
            </w:tabs>
            <w:ind w:left="640"/>
            <w:rPr>
              <w:rFonts w:eastAsiaTheme="majorEastAsia"/>
              <w:sz w:val="21"/>
              <w:szCs w:val="22"/>
            </w:rPr>
          </w:pPr>
          <w:r>
            <w:fldChar w:fldCharType="begin"/>
          </w:r>
          <w:r>
            <w:instrText xml:space="preserve"> HYPERLINK \l "_Toc93738291" </w:instrText>
          </w:r>
          <w:r>
            <w:fldChar w:fldCharType="separate"/>
          </w:r>
          <w:r>
            <w:rPr>
              <w:rStyle w:val="31"/>
              <w:rFonts w:ascii="方正楷体简体" w:hAnsi="方正楷体简体" w:eastAsia="方正楷体简体" w:cs="方正楷体简体"/>
            </w:rPr>
            <w:t>第一节 坚持党的全面领导</w:t>
          </w:r>
          <w:r>
            <w:rPr>
              <w:rFonts w:eastAsiaTheme="majorEastAsia"/>
            </w:rPr>
            <w:tab/>
          </w:r>
          <w:r>
            <w:rPr>
              <w:rFonts w:eastAsiaTheme="majorEastAsia"/>
            </w:rPr>
            <w:fldChar w:fldCharType="begin"/>
          </w:r>
          <w:r>
            <w:rPr>
              <w:rFonts w:eastAsiaTheme="majorEastAsia"/>
            </w:rPr>
            <w:instrText xml:space="preserve"> PAGEREF _Toc93738291 \h </w:instrText>
          </w:r>
          <w:r>
            <w:rPr>
              <w:rFonts w:eastAsiaTheme="majorEastAsia"/>
            </w:rPr>
            <w:fldChar w:fldCharType="separate"/>
          </w:r>
          <w:r>
            <w:rPr>
              <w:rFonts w:eastAsiaTheme="majorEastAsia"/>
            </w:rPr>
            <w:t>65</w:t>
          </w:r>
          <w:r>
            <w:rPr>
              <w:rFonts w:eastAsiaTheme="majorEastAsia"/>
            </w:rPr>
            <w:fldChar w:fldCharType="end"/>
          </w:r>
          <w:r>
            <w:rPr>
              <w:rFonts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"_Toc93738292" </w:instrText>
          </w:r>
          <w:r>
            <w:fldChar w:fldCharType="separate"/>
          </w:r>
          <w:r>
            <w:rPr>
              <w:rStyle w:val="31"/>
              <w:rFonts w:ascii="方正楷体简体" w:hAnsi="方正楷体简体" w:eastAsia="方正楷体简体" w:cs="方正楷体简体"/>
            </w:rPr>
            <w:t>第二节 强化法治建设</w:t>
          </w:r>
          <w:r>
            <w:rPr>
              <w:rFonts w:eastAsiaTheme="majorEastAsia"/>
            </w:rPr>
            <w:tab/>
          </w:r>
          <w:r>
            <w:rPr>
              <w:rFonts w:eastAsiaTheme="majorEastAsia"/>
            </w:rPr>
            <w:fldChar w:fldCharType="begin"/>
          </w:r>
          <w:r>
            <w:rPr>
              <w:rFonts w:eastAsiaTheme="majorEastAsia"/>
            </w:rPr>
            <w:instrText xml:space="preserve"> PAGEREF _Toc93738292 \h </w:instrText>
          </w:r>
          <w:r>
            <w:rPr>
              <w:rFonts w:eastAsiaTheme="majorEastAsia"/>
            </w:rPr>
            <w:fldChar w:fldCharType="separate"/>
          </w:r>
          <w:r>
            <w:rPr>
              <w:rFonts w:eastAsiaTheme="majorEastAsia"/>
            </w:rPr>
            <w:t>66</w:t>
          </w:r>
          <w:r>
            <w:rPr>
              <w:rFonts w:eastAsiaTheme="majorEastAsia"/>
            </w:rPr>
            <w:fldChar w:fldCharType="end"/>
          </w:r>
          <w:r>
            <w:rPr>
              <w:rFonts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"_Toc93738293" </w:instrText>
          </w:r>
          <w:r>
            <w:fldChar w:fldCharType="separate"/>
          </w:r>
          <w:r>
            <w:rPr>
              <w:rStyle w:val="31"/>
              <w:rFonts w:ascii="方正楷体简体" w:hAnsi="方正楷体简体" w:eastAsia="方正楷体简体" w:cs="方正楷体简体"/>
            </w:rPr>
            <w:t>第三节 实施重大项目</w:t>
          </w:r>
          <w:r>
            <w:rPr>
              <w:rFonts w:eastAsiaTheme="majorEastAsia"/>
            </w:rPr>
            <w:tab/>
          </w:r>
          <w:r>
            <w:rPr>
              <w:rFonts w:eastAsiaTheme="majorEastAsia"/>
            </w:rPr>
            <w:fldChar w:fldCharType="begin"/>
          </w:r>
          <w:r>
            <w:rPr>
              <w:rFonts w:eastAsiaTheme="majorEastAsia"/>
            </w:rPr>
            <w:instrText xml:space="preserve"> PAGEREF _Toc93738293 \h </w:instrText>
          </w:r>
          <w:r>
            <w:rPr>
              <w:rFonts w:eastAsiaTheme="majorEastAsia"/>
            </w:rPr>
            <w:fldChar w:fldCharType="separate"/>
          </w:r>
          <w:r>
            <w:rPr>
              <w:rFonts w:eastAsiaTheme="majorEastAsia"/>
            </w:rPr>
            <w:t>66</w:t>
          </w:r>
          <w:r>
            <w:rPr>
              <w:rFonts w:eastAsiaTheme="majorEastAsia"/>
            </w:rPr>
            <w:fldChar w:fldCharType="end"/>
          </w:r>
          <w:r>
            <w:rPr>
              <w:rFonts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"_Toc93738294" </w:instrText>
          </w:r>
          <w:r>
            <w:fldChar w:fldCharType="separate"/>
          </w:r>
          <w:r>
            <w:rPr>
              <w:rStyle w:val="31"/>
              <w:rFonts w:ascii="方正楷体简体" w:hAnsi="方正楷体简体" w:eastAsia="方正楷体简体" w:cs="方正楷体简体"/>
            </w:rPr>
            <w:t>第四节 强化规划实施</w:t>
          </w:r>
          <w:r>
            <w:rPr>
              <w:rFonts w:eastAsiaTheme="majorEastAsia"/>
            </w:rPr>
            <w:tab/>
          </w:r>
          <w:r>
            <w:rPr>
              <w:rFonts w:eastAsiaTheme="majorEastAsia"/>
            </w:rPr>
            <w:fldChar w:fldCharType="begin"/>
          </w:r>
          <w:r>
            <w:rPr>
              <w:rFonts w:eastAsiaTheme="majorEastAsia"/>
            </w:rPr>
            <w:instrText xml:space="preserve"> PAGEREF _Toc93738294 \h </w:instrText>
          </w:r>
          <w:r>
            <w:rPr>
              <w:rFonts w:eastAsiaTheme="majorEastAsia"/>
            </w:rPr>
            <w:fldChar w:fldCharType="separate"/>
          </w:r>
          <w:r>
            <w:rPr>
              <w:rFonts w:eastAsiaTheme="majorEastAsia"/>
            </w:rPr>
            <w:t>67</w:t>
          </w:r>
          <w:r>
            <w:rPr>
              <w:rFonts w:eastAsiaTheme="majorEastAsia"/>
            </w:rPr>
            <w:fldChar w:fldCharType="end"/>
          </w:r>
          <w:r>
            <w:rPr>
              <w:rFonts w:eastAsiaTheme="majorEastAsia"/>
            </w:rPr>
            <w:fldChar w:fldCharType="end"/>
          </w:r>
        </w:p>
        <w:p>
          <w:pPr>
            <w:pStyle w:val="21"/>
            <w:tabs>
              <w:tab w:val="right" w:leader="dot" w:pos="8296"/>
            </w:tabs>
            <w:ind w:left="640"/>
            <w:rPr>
              <w:rFonts w:eastAsiaTheme="majorEastAsia"/>
              <w:sz w:val="21"/>
              <w:szCs w:val="22"/>
            </w:rPr>
          </w:pPr>
          <w:r>
            <w:fldChar w:fldCharType="begin"/>
          </w:r>
          <w:r>
            <w:instrText xml:space="preserve"> HYPERLINK \l "_Toc93738295" </w:instrText>
          </w:r>
          <w:r>
            <w:fldChar w:fldCharType="separate"/>
          </w:r>
          <w:r>
            <w:rPr>
              <w:rStyle w:val="31"/>
              <w:rFonts w:ascii="方正楷体简体" w:hAnsi="方正楷体简体" w:eastAsia="方正楷体简体" w:cs="方正楷体简体"/>
            </w:rPr>
            <w:t>第五节 加强宣传引导</w:t>
          </w:r>
          <w:r>
            <w:rPr>
              <w:rFonts w:eastAsiaTheme="majorEastAsia"/>
            </w:rPr>
            <w:tab/>
          </w:r>
          <w:r>
            <w:rPr>
              <w:rFonts w:eastAsiaTheme="majorEastAsia"/>
            </w:rPr>
            <w:fldChar w:fldCharType="begin"/>
          </w:r>
          <w:r>
            <w:rPr>
              <w:rFonts w:eastAsiaTheme="majorEastAsia"/>
            </w:rPr>
            <w:instrText xml:space="preserve"> PAGEREF _Toc93738295 \h </w:instrText>
          </w:r>
          <w:r>
            <w:rPr>
              <w:rFonts w:eastAsiaTheme="majorEastAsia"/>
            </w:rPr>
            <w:fldChar w:fldCharType="separate"/>
          </w:r>
          <w:r>
            <w:rPr>
              <w:rFonts w:eastAsiaTheme="majorEastAsia"/>
            </w:rPr>
            <w:t>67</w:t>
          </w:r>
          <w:r>
            <w:rPr>
              <w:rFonts w:eastAsiaTheme="majorEastAsia"/>
            </w:rPr>
            <w:fldChar w:fldCharType="end"/>
          </w:r>
          <w:r>
            <w:rPr>
              <w:rFonts w:eastAsiaTheme="majorEastAsia"/>
            </w:rPr>
            <w:fldChar w:fldCharType="end"/>
          </w:r>
        </w:p>
        <w:p>
          <w:pPr>
            <w:pStyle w:val="21"/>
            <w:tabs>
              <w:tab w:val="right" w:leader="dot" w:pos="8296"/>
            </w:tabs>
            <w:ind w:left="960" w:leftChars="0" w:hanging="960" w:hangingChars="300"/>
            <w:rPr>
              <w:rFonts w:eastAsiaTheme="majorEastAsia"/>
              <w:sz w:val="21"/>
              <w:szCs w:val="22"/>
            </w:rPr>
          </w:pPr>
          <w:r>
            <w:fldChar w:fldCharType="begin"/>
          </w:r>
          <w:r>
            <w:instrText xml:space="preserve"> HYPERLINK \l "_Toc93738296" </w:instrText>
          </w:r>
          <w:r>
            <w:fldChar w:fldCharType="separate"/>
          </w:r>
          <w:r>
            <w:rPr>
              <w:rStyle w:val="31"/>
              <w:rFonts w:ascii="方正楷体简体" w:hAnsi="方正楷体简体" w:eastAsia="方正楷体简体" w:cs="方正楷体简体"/>
            </w:rPr>
            <w:t>附件：五华县人力资源和社会保障事业发展“十四五”规划重大项目表</w:t>
          </w:r>
          <w:r>
            <w:rPr>
              <w:rFonts w:eastAsiaTheme="majorEastAsia"/>
            </w:rPr>
            <w:tab/>
          </w:r>
          <w:r>
            <w:rPr>
              <w:rFonts w:eastAsiaTheme="majorEastAsia"/>
            </w:rPr>
            <w:fldChar w:fldCharType="begin"/>
          </w:r>
          <w:r>
            <w:rPr>
              <w:rFonts w:eastAsiaTheme="majorEastAsia"/>
            </w:rPr>
            <w:instrText xml:space="preserve"> PAGEREF _Toc93738296 \h </w:instrText>
          </w:r>
          <w:r>
            <w:rPr>
              <w:rFonts w:eastAsiaTheme="majorEastAsia"/>
            </w:rPr>
            <w:fldChar w:fldCharType="separate"/>
          </w:r>
          <w:r>
            <w:rPr>
              <w:rFonts w:eastAsiaTheme="majorEastAsia"/>
            </w:rPr>
            <w:t>67</w:t>
          </w:r>
          <w:r>
            <w:rPr>
              <w:rFonts w:eastAsiaTheme="majorEastAsia"/>
            </w:rPr>
            <w:fldChar w:fldCharType="end"/>
          </w:r>
          <w:r>
            <w:rPr>
              <w:rFonts w:eastAsiaTheme="majorEastAsia"/>
            </w:rPr>
            <w:fldChar w:fldCharType="end"/>
          </w:r>
        </w:p>
        <w:p>
          <w:pPr>
            <w:pStyle w:val="17"/>
            <w:tabs>
              <w:tab w:val="right" w:leader="dot" w:pos="8296"/>
            </w:tabs>
            <w:rPr>
              <w:rFonts w:eastAsia="黑体"/>
              <w:color w:val="0000FF"/>
              <w:u w:val="single"/>
            </w:rPr>
          </w:pPr>
          <w:r>
            <w:rPr>
              <w:b/>
              <w:bCs/>
              <w:color w:val="000000" w:themeColor="text1"/>
              <w:lang w:val="zh-CN"/>
              <w14:textFill>
                <w14:solidFill>
                  <w14:schemeClr w14:val="tx1"/>
                </w14:solidFill>
              </w14:textFill>
            </w:rPr>
            <w:fldChar w:fldCharType="end"/>
          </w:r>
        </w:p>
      </w:sdtContent>
    </w:sdt>
    <w:p>
      <w:pPr>
        <w:pStyle w:val="11"/>
        <w:rPr>
          <w:rFonts w:ascii="Times New Roman" w:hAnsi="Times New Roman"/>
          <w:color w:val="000000" w:themeColor="text1"/>
          <w:lang w:val="en-US"/>
          <w14:textFill>
            <w14:solidFill>
              <w14:schemeClr w14:val="tx1"/>
            </w14:solidFill>
          </w14:textFill>
        </w:rPr>
      </w:pPr>
    </w:p>
    <w:p>
      <w:pPr>
        <w:pStyle w:val="11"/>
        <w:rPr>
          <w:rFonts w:ascii="Times New Roman" w:hAnsi="Times New Roman"/>
          <w:color w:val="000000" w:themeColor="text1"/>
          <w:lang w:val="en-US"/>
          <w14:textFill>
            <w14:solidFill>
              <w14:schemeClr w14:val="tx1"/>
            </w14:solidFill>
          </w14:textFill>
        </w:rPr>
      </w:pPr>
    </w:p>
    <w:p>
      <w:pPr>
        <w:pStyle w:val="11"/>
        <w:rPr>
          <w:rFonts w:ascii="Times New Roman" w:hAnsi="Times New Roman"/>
          <w:color w:val="000000" w:themeColor="text1"/>
          <w:lang w:val="en-US"/>
          <w14:textFill>
            <w14:solidFill>
              <w14:schemeClr w14:val="tx1"/>
            </w14:solidFill>
          </w14:textFill>
        </w:rPr>
      </w:pPr>
    </w:p>
    <w:p>
      <w:pPr>
        <w:pStyle w:val="11"/>
        <w:rPr>
          <w:rFonts w:ascii="Times New Roman" w:hAnsi="Times New Roman"/>
          <w:color w:val="000000" w:themeColor="text1"/>
          <w:lang w:val="en-US"/>
          <w14:textFill>
            <w14:solidFill>
              <w14:schemeClr w14:val="tx1"/>
            </w14:solidFill>
          </w14:textFill>
        </w:rPr>
      </w:pPr>
    </w:p>
    <w:p>
      <w:pPr>
        <w:pStyle w:val="11"/>
        <w:rPr>
          <w:rFonts w:ascii="Times New Roman" w:hAnsi="Times New Roman"/>
          <w:color w:val="000000" w:themeColor="text1"/>
          <w:lang w:val="en-US"/>
          <w14:textFill>
            <w14:solidFill>
              <w14:schemeClr w14:val="tx1"/>
            </w14:solidFill>
          </w14:textFill>
        </w:rPr>
      </w:pPr>
    </w:p>
    <w:p>
      <w:pPr>
        <w:pStyle w:val="11"/>
        <w:rPr>
          <w:rFonts w:ascii="Times New Roman" w:hAnsi="Times New Roman"/>
          <w:color w:val="000000" w:themeColor="text1"/>
          <w:lang w:val="en-US"/>
          <w14:textFill>
            <w14:solidFill>
              <w14:schemeClr w14:val="tx1"/>
            </w14:solidFill>
          </w14:textFill>
        </w:rPr>
      </w:pPr>
    </w:p>
    <w:p>
      <w:pPr>
        <w:pStyle w:val="11"/>
        <w:rPr>
          <w:rFonts w:ascii="Times New Roman" w:hAnsi="Times New Roman"/>
          <w:color w:val="000000" w:themeColor="text1"/>
          <w:lang w:val="en-US"/>
          <w14:textFill>
            <w14:solidFill>
              <w14:schemeClr w14:val="tx1"/>
            </w14:solidFill>
          </w14:textFill>
        </w:rPr>
      </w:pPr>
    </w:p>
    <w:p>
      <w:pPr>
        <w:pStyle w:val="11"/>
        <w:rPr>
          <w:rFonts w:ascii="Times New Roman" w:hAnsi="Times New Roman"/>
          <w:color w:val="000000" w:themeColor="text1"/>
          <w:lang w:val="en-US"/>
          <w14:textFill>
            <w14:solidFill>
              <w14:schemeClr w14:val="tx1"/>
            </w14:solidFill>
          </w14:textFill>
        </w:rPr>
      </w:pPr>
    </w:p>
    <w:p>
      <w:pPr>
        <w:pStyle w:val="11"/>
        <w:rPr>
          <w:rFonts w:ascii="Times New Roman"/>
          <w:color w:val="000000" w:themeColor="text1"/>
          <w14:textFill>
            <w14:solidFill>
              <w14:schemeClr w14:val="tx1"/>
            </w14:solidFill>
          </w14:textFill>
        </w:rPr>
      </w:pPr>
    </w:p>
    <w:bookmarkEnd w:id="1"/>
    <w:p>
      <w:pPr>
        <w:sectPr>
          <w:pgSz w:w="11906" w:h="16838"/>
          <w:pgMar w:top="1440" w:right="1800" w:bottom="1440" w:left="1800" w:header="851" w:footer="992" w:gutter="0"/>
          <w:pgNumType w:start="1"/>
          <w:cols w:space="425" w:num="1"/>
          <w:docGrid w:type="lines" w:linePitch="312" w:charSpace="0"/>
        </w:sectPr>
      </w:pPr>
    </w:p>
    <w:p>
      <w:pPr>
        <w:pStyle w:val="11"/>
        <w:spacing w:line="0" w:lineRule="atLeast"/>
        <w:rPr>
          <w:rFonts w:ascii="方正小标宋简体" w:hAnsi="方正小标宋简体" w:eastAsia="方正小标宋简体" w:cs="方正小标宋简体"/>
          <w:b w:val="0"/>
          <w:bCs/>
          <w:color w:val="000000" w:themeColor="text1"/>
          <w:sz w:val="44"/>
          <w:szCs w:val="18"/>
          <w14:textFill>
            <w14:solidFill>
              <w14:schemeClr w14:val="tx1"/>
            </w14:solidFill>
          </w14:textFill>
        </w:rPr>
      </w:pPr>
      <w:bookmarkStart w:id="2" w:name="_Toc2355"/>
      <w:r>
        <w:rPr>
          <w:rFonts w:hint="eastAsia" w:ascii="方正小标宋简体" w:hAnsi="方正小标宋简体" w:eastAsia="方正小标宋简体" w:cs="方正小标宋简体"/>
          <w:b w:val="0"/>
          <w:bCs/>
          <w:color w:val="000000" w:themeColor="text1"/>
          <w:sz w:val="44"/>
          <w:szCs w:val="18"/>
          <w14:textFill>
            <w14:solidFill>
              <w14:schemeClr w14:val="tx1"/>
            </w14:solidFill>
          </w14:textFill>
        </w:rPr>
        <w:t>五华县人力资源和社会保障事业</w:t>
      </w:r>
    </w:p>
    <w:p>
      <w:pPr>
        <w:pStyle w:val="11"/>
        <w:spacing w:line="0" w:lineRule="atLeast"/>
        <w:rPr>
          <w:rFonts w:ascii="方正小标宋简体" w:hAnsi="方正小标宋简体" w:eastAsia="方正小标宋简体" w:cs="方正小标宋简体"/>
          <w:b w:val="0"/>
          <w:bCs/>
          <w:color w:val="000000" w:themeColor="text1"/>
          <w:sz w:val="44"/>
          <w:szCs w:val="18"/>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18"/>
          <w14:textFill>
            <w14:solidFill>
              <w14:schemeClr w14:val="tx1"/>
            </w14:solidFill>
          </w14:textFill>
        </w:rPr>
        <w:t>发展“十四五”规划</w:t>
      </w:r>
    </w:p>
    <w:p>
      <w:pPr>
        <w:pStyle w:val="11"/>
        <w:rPr>
          <w:rFonts w:ascii="Times New Roman" w:hAnsi="Times New Roman"/>
          <w:color w:val="000000" w:themeColor="text1"/>
          <w14:textFill>
            <w14:solidFill>
              <w14:schemeClr w14:val="tx1"/>
            </w14:solidFill>
          </w14:textFill>
        </w:rPr>
      </w:pPr>
    </w:p>
    <w:p>
      <w:pPr>
        <w:spacing w:line="580" w:lineRule="exact"/>
        <w:ind w:firstLine="640" w:firstLineChars="200"/>
        <w:rPr>
          <w:rFonts w:eastAsia="方正仿宋简体"/>
          <w:color w:val="000000" w:themeColor="text1"/>
          <w14:textFill>
            <w14:solidFill>
              <w14:schemeClr w14:val="tx1"/>
            </w14:solidFill>
          </w14:textFill>
        </w:rPr>
      </w:pPr>
      <w:r>
        <w:rPr>
          <w:rFonts w:eastAsia="方正仿宋简体"/>
          <w:color w:val="000000" w:themeColor="text1"/>
          <w14:textFill>
            <w14:solidFill>
              <w14:schemeClr w14:val="tx1"/>
            </w14:solidFill>
          </w14:textFill>
        </w:rPr>
        <w:t>“十四五”时期，是我国在全面建成小康社会基础上开启全面建设社会主义现代化新征程的关键时期。</w:t>
      </w:r>
      <w:r>
        <w:rPr>
          <w:rFonts w:eastAsia="方正仿宋简体"/>
          <w:color w:val="000000" w:themeColor="text1"/>
          <w:spacing w:val="10"/>
          <w14:textFill>
            <w14:solidFill>
              <w14:schemeClr w14:val="tx1"/>
            </w14:solidFill>
          </w14:textFill>
        </w:rPr>
        <w:t>根据</w:t>
      </w:r>
      <w:r>
        <w:rPr>
          <w:rFonts w:eastAsia="方正仿宋简体"/>
          <w:color w:val="000000" w:themeColor="text1"/>
          <w14:textFill>
            <w14:solidFill>
              <w14:schemeClr w14:val="tx1"/>
            </w14:solidFill>
          </w14:textFill>
        </w:rPr>
        <w:t>《梅州市人力资源和社会保障事业发展“十四五”规划》和《五华县国民经济和社会发展第十四个五年规划和2035年远景目标纲要》，为谋划推进全县人力资源和社会保障事业向更高水平发展，制定本规划。规划期限为2021-2025年。</w:t>
      </w:r>
    </w:p>
    <w:p>
      <w:pPr>
        <w:pStyle w:val="3"/>
        <w:spacing w:line="240" w:lineRule="auto"/>
        <w:rPr>
          <w:rFonts w:ascii="方正小标宋简体" w:hAnsi="方正小标宋简体" w:eastAsia="方正小标宋简体" w:cs="方正小标宋简体"/>
          <w:b w:val="0"/>
          <w:bCs/>
          <w:color w:val="000000" w:themeColor="text1"/>
          <w:szCs w:val="36"/>
          <w14:textFill>
            <w14:solidFill>
              <w14:schemeClr w14:val="tx1"/>
            </w14:solidFill>
          </w14:textFill>
        </w:rPr>
      </w:pPr>
      <w:bookmarkStart w:id="3" w:name="_Toc93738245"/>
      <w:r>
        <w:rPr>
          <w:rFonts w:hint="eastAsia" w:ascii="方正小标宋简体" w:hAnsi="方正小标宋简体" w:eastAsia="方正小标宋简体" w:cs="方正小标宋简体"/>
          <w:b w:val="0"/>
          <w:bCs/>
          <w:color w:val="000000" w:themeColor="text1"/>
          <w:szCs w:val="36"/>
          <w14:textFill>
            <w14:solidFill>
              <w14:schemeClr w14:val="tx1"/>
            </w14:solidFill>
          </w14:textFill>
        </w:rPr>
        <w:t>第一章 发展基础和机遇挑战</w:t>
      </w:r>
      <w:bookmarkEnd w:id="2"/>
      <w:bookmarkEnd w:id="3"/>
    </w:p>
    <w:p>
      <w:pPr>
        <w:pStyle w:val="2"/>
        <w:spacing w:line="240" w:lineRule="auto"/>
        <w:rPr>
          <w:rFonts w:ascii="黑体" w:hAnsi="黑体" w:eastAsia="黑体" w:cs="黑体"/>
          <w:b w:val="0"/>
          <w:bCs/>
          <w:color w:val="000000" w:themeColor="text1"/>
          <w14:textFill>
            <w14:solidFill>
              <w14:schemeClr w14:val="tx1"/>
            </w14:solidFill>
          </w14:textFill>
        </w:rPr>
      </w:pPr>
      <w:bookmarkStart w:id="4" w:name="_Toc93738246"/>
      <w:bookmarkStart w:id="5" w:name="_Toc5146"/>
      <w:r>
        <w:rPr>
          <w:rFonts w:hint="eastAsia" w:ascii="黑体" w:hAnsi="黑体" w:eastAsia="黑体" w:cs="黑体"/>
          <w:b w:val="0"/>
          <w:bCs/>
          <w:color w:val="000000" w:themeColor="text1"/>
          <w14:textFill>
            <w14:solidFill>
              <w14:schemeClr w14:val="tx1"/>
            </w14:solidFill>
          </w14:textFill>
        </w:rPr>
        <w:t>第一节 发展基础</w:t>
      </w:r>
      <w:bookmarkEnd w:id="4"/>
      <w:bookmarkEnd w:id="5"/>
    </w:p>
    <w:p>
      <w:pPr>
        <w:spacing w:line="580" w:lineRule="exact"/>
        <w:ind w:firstLine="640" w:firstLineChars="200"/>
        <w:rPr>
          <w:rFonts w:eastAsia="方正仿宋简体"/>
          <w:color w:val="000000" w:themeColor="text1"/>
          <w14:textFill>
            <w14:solidFill>
              <w14:schemeClr w14:val="tx1"/>
            </w14:solidFill>
          </w14:textFill>
        </w:rPr>
      </w:pPr>
      <w:r>
        <w:rPr>
          <w:rFonts w:eastAsia="方正仿宋简体"/>
          <w:color w:val="000000" w:themeColor="text1"/>
          <w14:textFill>
            <w14:solidFill>
              <w14:schemeClr w14:val="tx1"/>
            </w14:solidFill>
          </w14:textFill>
        </w:rPr>
        <w:t>“十三五”期间，全县</w:t>
      </w:r>
      <w:r>
        <w:rPr>
          <w:rFonts w:hint="eastAsia" w:eastAsia="方正仿宋简体"/>
          <w:color w:val="000000" w:themeColor="text1"/>
          <w14:textFill>
            <w14:solidFill>
              <w14:schemeClr w14:val="tx1"/>
            </w14:solidFill>
          </w14:textFill>
        </w:rPr>
        <w:t>人力资源和社会保障</w:t>
      </w:r>
      <w:r>
        <w:rPr>
          <w:rFonts w:eastAsia="方正仿宋简体"/>
          <w:color w:val="000000" w:themeColor="text1"/>
          <w14:textFill>
            <w14:solidFill>
              <w14:schemeClr w14:val="tx1"/>
            </w14:solidFill>
          </w14:textFill>
        </w:rPr>
        <w:t>工作紧紧围绕“两个率先”和“两个走在前列”奋斗目标，</w:t>
      </w:r>
      <w:r>
        <w:rPr>
          <w:rFonts w:hint="eastAsia" w:eastAsia="方正仿宋简体"/>
          <w:color w:val="000000" w:themeColor="text1"/>
          <w14:textFill>
            <w14:solidFill>
              <w14:schemeClr w14:val="tx1"/>
            </w14:solidFill>
          </w14:textFill>
        </w:rPr>
        <w:t>认真落实市委“六争六补”和“123456”发展思路，</w:t>
      </w:r>
      <w:r>
        <w:rPr>
          <w:rFonts w:eastAsia="方正仿宋简体"/>
          <w:color w:val="000000" w:themeColor="text1"/>
          <w14:textFill>
            <w14:solidFill>
              <w14:schemeClr w14:val="tx1"/>
            </w14:solidFill>
          </w14:textFill>
        </w:rPr>
        <w:t>大力推进实施“一核两区三组团”发展战略，加快建设“工匠之乡</w:t>
      </w:r>
      <w:r>
        <w:rPr>
          <w:rFonts w:hint="eastAsia" w:eastAsia="方正仿宋简体"/>
          <w:color w:val="505050"/>
        </w:rPr>
        <w:t>·</w:t>
      </w:r>
      <w:r>
        <w:rPr>
          <w:rFonts w:eastAsia="方正仿宋简体"/>
          <w:color w:val="000000" w:themeColor="text1"/>
          <w14:textFill>
            <w14:solidFill>
              <w14:schemeClr w14:val="tx1"/>
            </w14:solidFill>
          </w14:textFill>
        </w:rPr>
        <w:t>宜居五华”，坚持统筹谋划、改革创新、问题导向、重点突破，全面完成“十三五”时期主要目标任务，为保障和改善民生、统筹城乡协调发展、维护社会和谐稳定作出重要贡献，为“十四五”时期发展奠定了坚实基础。</w:t>
      </w:r>
    </w:p>
    <w:p>
      <w:pPr>
        <w:spacing w:line="580" w:lineRule="exact"/>
        <w:ind w:firstLine="643" w:firstLineChars="200"/>
        <w:rPr>
          <w:rFonts w:eastAsia="方正仿宋简体"/>
          <w:b/>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就业局势持续保持稳定。</w:t>
      </w:r>
      <w:r>
        <w:rPr>
          <w:rFonts w:eastAsia="方正仿宋简体"/>
          <w:color w:val="000000" w:themeColor="text1"/>
          <w14:textFill>
            <w14:solidFill>
              <w14:schemeClr w14:val="tx1"/>
            </w14:solidFill>
          </w14:textFill>
        </w:rPr>
        <w:t>坚持把稳就业放在首位，深入实施就业优先战略和积极的就业政策，全面落实省“促进就业九条”，出台多项“稳就业、</w:t>
      </w:r>
      <w:r>
        <w:rPr>
          <w:rFonts w:hint="eastAsia" w:eastAsia="方正仿宋简体"/>
          <w:color w:val="000000" w:themeColor="text1"/>
          <w14:textFill>
            <w14:solidFill>
              <w14:schemeClr w14:val="tx1"/>
            </w14:solidFill>
          </w14:textFill>
        </w:rPr>
        <w:t>保居民就业</w:t>
      </w:r>
      <w:r>
        <w:rPr>
          <w:rFonts w:eastAsia="方正仿宋简体"/>
          <w:color w:val="000000" w:themeColor="text1"/>
          <w14:textFill>
            <w14:solidFill>
              <w14:schemeClr w14:val="tx1"/>
            </w14:solidFill>
          </w14:textFill>
        </w:rPr>
        <w:t>”配套政策文件，失业风险得到有效控制，就业规模稳中有升。稳定重点群体就业创业，深入实施各项就业促进和创业引领计划，扎实促进高校毕业生、异地务工人员、就业困难人员等特定群体就业创业和城乡劳动力培训转移就业，保持零就业家庭动态归零。主动融入粤港澳大湾区建设，通过举办各类就业服务招聘会及区域劳务对接活动，加强了区域人才、劳务交流合作。“十三五”时期，我县城镇新增就业人数27642人，城镇登记失业率控制在3.5%以内，帮助就业困难人员实现就业2020人。</w:t>
      </w:r>
    </w:p>
    <w:p>
      <w:pPr>
        <w:spacing w:line="580" w:lineRule="exact"/>
        <w:ind w:firstLine="643" w:firstLineChars="200"/>
        <w:rPr>
          <w:rFonts w:eastAsia="方正仿宋简体"/>
          <w:b/>
          <w:color w:val="000000" w:themeColor="text1"/>
          <w:highlight w:val="red"/>
          <w14:textFill>
            <w14:solidFill>
              <w14:schemeClr w14:val="tx1"/>
            </w14:solidFill>
          </w14:textFill>
        </w:rPr>
      </w:pPr>
      <w:r>
        <w:rPr>
          <w:rFonts w:eastAsia="方正仿宋简体"/>
          <w:b/>
          <w:color w:val="000000" w:themeColor="text1"/>
          <w14:textFill>
            <w14:solidFill>
              <w14:schemeClr w14:val="tx1"/>
            </w14:solidFill>
          </w14:textFill>
        </w:rPr>
        <w:t>社会保障体系不断完善。</w:t>
      </w:r>
      <w:r>
        <w:rPr>
          <w:rFonts w:eastAsia="方正仿宋简体"/>
          <w:color w:val="000000" w:themeColor="text1"/>
          <w14:textFill>
            <w14:solidFill>
              <w14:schemeClr w14:val="tx1"/>
            </w14:solidFill>
          </w14:textFill>
        </w:rPr>
        <w:t>扩面征缴持续推进，实现制度和人群全覆盖。积极稳妥推</w:t>
      </w:r>
      <w:r>
        <w:rPr>
          <w:rFonts w:hint="eastAsia" w:eastAsia="方正仿宋简体"/>
          <w:color w:val="000000" w:themeColor="text1"/>
          <w14:textFill>
            <w14:solidFill>
              <w14:schemeClr w14:val="tx1"/>
            </w14:solidFill>
          </w14:textFill>
        </w:rPr>
        <w:t>社会保险</w:t>
      </w:r>
      <w:r>
        <w:rPr>
          <w:rFonts w:eastAsia="方正仿宋简体"/>
          <w:color w:val="000000" w:themeColor="text1"/>
          <w14:textFill>
            <w14:solidFill>
              <w14:schemeClr w14:val="tx1"/>
            </w14:solidFill>
          </w14:textFill>
        </w:rPr>
        <w:t>制度改革工作，扎实做好企业职工养老保险和工伤保险省级统筹工作，机关事业单位养老保险改革稳妥推进。</w:t>
      </w:r>
      <w:r>
        <w:rPr>
          <w:rFonts w:eastAsia="方正仿宋简体"/>
          <w:highlight w:val="yellow"/>
        </w:rPr>
        <w:t>基本建成以基本医疗保险为主体，医疗救助为托底，补充医疗保险、商业健康保险共同发展的医疗保障制度体系，生育保险与职工基本医疗保险合并实施全面推进， “三医”联动改革深入推进，多元复合式医保支付体系基本建立。</w:t>
      </w:r>
      <w:r>
        <w:rPr>
          <w:rFonts w:eastAsia="方正仿宋简体"/>
          <w:color w:val="000000" w:themeColor="text1"/>
          <w14:textFill>
            <w14:solidFill>
              <w14:schemeClr w14:val="tx1"/>
            </w14:solidFill>
          </w14:textFill>
        </w:rPr>
        <w:t>严格按照中央、省、市的部署和要求，及时落实各类社会保险待遇，参保群众社保待遇水平得到稳步提升。落实降低社会保险费率政策，执行“降费率、调基数、发补贴”措施，失业保险、工伤保险在实施浮动费率基础上，按省要求阶段性下调缴费费率，有效支持了实体经济发展。</w:t>
      </w:r>
      <w:r>
        <w:rPr>
          <w:rFonts w:hint="eastAsia" w:eastAsia="方正仿宋简体"/>
          <w:color w:val="000000" w:themeColor="text1"/>
          <w14:textFill>
            <w14:solidFill>
              <w14:schemeClr w14:val="tx1"/>
            </w14:solidFill>
          </w14:textFill>
        </w:rPr>
        <w:t>截至</w:t>
      </w:r>
      <w:r>
        <w:rPr>
          <w:rFonts w:eastAsia="方正仿宋简体"/>
          <w:color w:val="000000" w:themeColor="text1"/>
          <w14:textFill>
            <w14:solidFill>
              <w14:schemeClr w14:val="tx1"/>
            </w14:solidFill>
          </w14:textFill>
        </w:rPr>
        <w:t>2020年底，全县参加城镇职工基本养老保险、城乡居民基本养老保险、失业保险、工伤保险人数将分别达到7.1万人、45.22万人、4.14万人、6.56万人；</w:t>
      </w:r>
      <w:r>
        <w:rPr>
          <w:rFonts w:eastAsia="方正仿宋简体"/>
          <w:bCs/>
          <w:highlight w:val="yellow"/>
        </w:rPr>
        <w:t>全县基本医疗保险参保人数达到119.17万人，其中职工医疗保险5.86万人（包含生育保险4.54万人）、城乡居民医疗保险113.31万人；职工和城乡居民医保政策规定的住院费用支付比例稳定在</w:t>
      </w:r>
      <w:r>
        <w:rPr>
          <w:rFonts w:hint="eastAsia" w:eastAsia="方正仿宋简体"/>
          <w:bCs/>
          <w:highlight w:val="yellow"/>
        </w:rPr>
        <w:t>85</w:t>
      </w:r>
      <w:r>
        <w:rPr>
          <w:rFonts w:eastAsia="方正仿宋简体"/>
          <w:bCs/>
          <w:highlight w:val="yellow"/>
        </w:rPr>
        <w:t>%和</w:t>
      </w:r>
      <w:r>
        <w:rPr>
          <w:rFonts w:hint="eastAsia" w:eastAsia="方正仿宋简体"/>
          <w:bCs/>
          <w:highlight w:val="yellow"/>
        </w:rPr>
        <w:t>7</w:t>
      </w:r>
      <w:r>
        <w:rPr>
          <w:rFonts w:eastAsia="方正仿宋简体"/>
          <w:bCs/>
          <w:highlight w:val="yellow"/>
        </w:rPr>
        <w:t>5%左右。普通门诊统筹政策范围内报销比例不低于60%，</w:t>
      </w:r>
      <w:bookmarkStart w:id="66" w:name="_GoBack"/>
      <w:r>
        <w:rPr>
          <w:rFonts w:eastAsia="方正仿宋简体"/>
          <w:bCs/>
          <w:highlight w:val="yellow"/>
        </w:rPr>
        <w:t>职工和城乡特定门诊病种恶性肿瘤（放、化疗）和慢性肾功能衰竭（透析治疗）政策范围报销比例为85%，职工特定门诊病种肝硬化（失代偿期）等21病种政策范围报销比例为75%，城乡特定门诊病种肝硬化（失代偿期）等22病种政策范围报销比例为70%，城乡特定门诊病种轻症糖尿病和轻症高血压病政策范围报销比例为60%。</w:t>
      </w:r>
      <w:bookmarkEnd w:id="66"/>
    </w:p>
    <w:p>
      <w:pPr>
        <w:spacing w:line="580" w:lineRule="exact"/>
        <w:ind w:firstLine="643" w:firstLineChars="200"/>
        <w:rPr>
          <w:rFonts w:eastAsia="方正仿宋简体"/>
          <w:b/>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人才队伍建设不断加强。</w:t>
      </w:r>
      <w:r>
        <w:rPr>
          <w:rFonts w:eastAsia="方正仿宋简体"/>
          <w:color w:val="000000" w:themeColor="text1"/>
          <w14:textFill>
            <w14:solidFill>
              <w14:schemeClr w14:val="tx1"/>
            </w14:solidFill>
          </w14:textFill>
        </w:rPr>
        <w:t>坚持人才引领发展，全面落实</w:t>
      </w:r>
      <w:r>
        <w:rPr>
          <w:rFonts w:hint="eastAsia" w:eastAsia="方正仿宋简体"/>
          <w:color w:val="000000" w:themeColor="text1"/>
          <w14:textFill>
            <w14:solidFill>
              <w14:schemeClr w14:val="tx1"/>
            </w14:solidFill>
          </w14:textFill>
        </w:rPr>
        <w:t>市</w:t>
      </w:r>
      <w:r>
        <w:rPr>
          <w:rFonts w:eastAsia="方正仿宋简体"/>
          <w:color w:val="000000" w:themeColor="text1"/>
          <w14:textFill>
            <w14:solidFill>
              <w14:schemeClr w14:val="tx1"/>
            </w14:solidFill>
          </w14:textFill>
        </w:rPr>
        <w:t>“人才新政20条”</w:t>
      </w:r>
      <w:r>
        <w:rPr>
          <w:rFonts w:hint="eastAsia" w:eastAsia="方正仿宋简体"/>
          <w:color w:val="000000" w:themeColor="text1"/>
          <w14:textFill>
            <w14:solidFill>
              <w14:schemeClr w14:val="tx1"/>
            </w14:solidFill>
          </w14:textFill>
        </w:rPr>
        <w:t>和</w:t>
      </w:r>
      <w:r>
        <w:rPr>
          <w:rFonts w:eastAsia="方正仿宋简体"/>
          <w:color w:val="000000" w:themeColor="text1"/>
          <w14:textFill>
            <w14:solidFill>
              <w14:schemeClr w14:val="tx1"/>
            </w14:solidFill>
          </w14:textFill>
        </w:rPr>
        <w:t>我县《</w:t>
      </w:r>
      <w:r>
        <w:rPr>
          <w:rFonts w:hint="eastAsia" w:eastAsia="方正仿宋简体"/>
          <w:color w:val="000000" w:themeColor="text1"/>
          <w14:textFill>
            <w14:solidFill>
              <w14:schemeClr w14:val="tx1"/>
            </w14:solidFill>
          </w14:textFill>
        </w:rPr>
        <w:t>关于加快</w:t>
      </w:r>
      <w:r>
        <w:rPr>
          <w:rFonts w:eastAsia="方正仿宋简体"/>
          <w:color w:val="000000" w:themeColor="text1"/>
          <w14:textFill>
            <w14:solidFill>
              <w14:schemeClr w14:val="tx1"/>
            </w14:solidFill>
          </w14:textFill>
        </w:rPr>
        <w:t>人才发展的实施意见（试行）》，充分激发各类人才创新创造活力。深入推进职称制度改革和人才评价机制改革，全面落实省专业技术人才队伍建设行动方案。加强事业单位人才队伍建设，深入实施人才“扬帆计划”，重点引进医疗卫生类、教育类等民生保障领域高层次领军人才进入事业单位，优化事业单位人才结构，提高事业单位人才服务质量。畅通“三支一扶”等服务基层项目人员进入事业单位渠道。</w:t>
      </w:r>
    </w:p>
    <w:p>
      <w:pPr>
        <w:spacing w:line="580" w:lineRule="exact"/>
        <w:ind w:firstLine="643" w:firstLineChars="200"/>
        <w:rPr>
          <w:rFonts w:eastAsia="方正仿宋简体"/>
          <w:b/>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劳动关系和谐稳定。</w:t>
      </w:r>
      <w:r>
        <w:rPr>
          <w:rFonts w:eastAsia="方正仿宋简体"/>
          <w:color w:val="000000" w:themeColor="text1"/>
          <w14:textFill>
            <w14:solidFill>
              <w14:schemeClr w14:val="tx1"/>
            </w14:solidFill>
          </w14:textFill>
        </w:rPr>
        <w:t>全面实施劳动合同制度，健全协调劳动关系三方机制，深入开展和谐劳动关系创建活动。完善劳动人事争议调处机制，提升处理效能，依法分类处理群众诉求，扎实推进劳动关系领域社会矛盾专项治理，积极稳妥处置劳动关系群体性事件。推进劳动关系协调、工资支付分账管理、工资支付保证金、风险防范预警、欠薪应急周转金等制度的落实。贯彻落实全省改革国有企业工资决定机制实施意见，完善企业人工成本监测、薪酬调查、工资指导线制度和企业最低工资评估机制。“十三五”时期，</w:t>
      </w:r>
      <w:r>
        <w:rPr>
          <w:rFonts w:hint="eastAsia" w:eastAsia="方正仿宋简体"/>
          <w:color w:val="000000" w:themeColor="text1"/>
          <w14:textFill>
            <w14:solidFill>
              <w14:schemeClr w14:val="tx1"/>
            </w14:solidFill>
          </w14:textFill>
        </w:rPr>
        <w:t>我</w:t>
      </w:r>
      <w:r>
        <w:rPr>
          <w:rFonts w:eastAsia="方正仿宋简体"/>
          <w:color w:val="000000" w:themeColor="text1"/>
          <w14:textFill>
            <w14:solidFill>
              <w14:schemeClr w14:val="tx1"/>
            </w14:solidFill>
          </w14:textFill>
        </w:rPr>
        <w:t>县调解仲裁机构处理争议案件328件</w:t>
      </w:r>
      <w:r>
        <w:rPr>
          <w:rFonts w:hint="eastAsia" w:eastAsia="方正仿宋简体"/>
          <w:color w:val="000000" w:themeColor="text1"/>
          <w14:textFill>
            <w14:solidFill>
              <w14:schemeClr w14:val="tx1"/>
            </w14:solidFill>
          </w14:textFill>
        </w:rPr>
        <w:t>，</w:t>
      </w:r>
      <w:r>
        <w:rPr>
          <w:rFonts w:eastAsia="方正仿宋简体"/>
          <w:color w:val="000000" w:themeColor="text1"/>
          <w14:textFill>
            <w14:solidFill>
              <w14:schemeClr w14:val="tx1"/>
            </w14:solidFill>
          </w14:textFill>
        </w:rPr>
        <w:t>涉及劳动者人数336人，涉案金额1530.03万元，累计结案率100%，法定审限内仲裁结案率连续5年</w:t>
      </w:r>
      <w:r>
        <w:rPr>
          <w:rFonts w:hint="eastAsia" w:eastAsia="方正仿宋简体"/>
          <w:color w:val="000000" w:themeColor="text1"/>
          <w14:textFill>
            <w14:solidFill>
              <w14:schemeClr w14:val="tx1"/>
            </w14:solidFill>
          </w14:textFill>
        </w:rPr>
        <w:t>实现</w:t>
      </w:r>
      <w:r>
        <w:rPr>
          <w:rFonts w:eastAsia="方正仿宋简体"/>
          <w:color w:val="000000" w:themeColor="text1"/>
          <w14:textFill>
            <w14:solidFill>
              <w14:schemeClr w14:val="tx1"/>
            </w14:solidFill>
          </w14:textFill>
        </w:rPr>
        <w:t>100%。</w:t>
      </w:r>
      <w:r>
        <w:rPr>
          <w:rFonts w:hint="eastAsia" w:eastAsia="方正仿宋简体"/>
          <w:color w:val="000000" w:themeColor="text1"/>
          <w14:textFill>
            <w14:solidFill>
              <w14:schemeClr w14:val="tx1"/>
            </w14:solidFill>
          </w14:textFill>
        </w:rPr>
        <w:t>我</w:t>
      </w:r>
      <w:r>
        <w:rPr>
          <w:rFonts w:eastAsia="方正仿宋简体"/>
          <w:color w:val="000000" w:themeColor="text1"/>
          <w14:textFill>
            <w14:solidFill>
              <w14:schemeClr w14:val="tx1"/>
            </w14:solidFill>
          </w14:textFill>
        </w:rPr>
        <w:t>县仲裁案件受理零积压，群众信访零投诉，取得良好的社会效果。</w:t>
      </w:r>
    </w:p>
    <w:p>
      <w:pPr>
        <w:spacing w:line="580" w:lineRule="exact"/>
        <w:ind w:firstLine="643" w:firstLineChars="200"/>
        <w:rPr>
          <w:rFonts w:eastAsia="方正仿宋简体"/>
          <w:b/>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助力打赢脱贫攻坚战。</w:t>
      </w:r>
      <w:r>
        <w:rPr>
          <w:rFonts w:eastAsia="方正仿宋简体"/>
          <w:color w:val="000000" w:themeColor="text1"/>
          <w14:textFill>
            <w14:solidFill>
              <w14:schemeClr w14:val="tx1"/>
            </w14:solidFill>
          </w14:textFill>
        </w:rPr>
        <w:t>瞄准贫困群体</w:t>
      </w:r>
      <w:r>
        <w:rPr>
          <w:rFonts w:hint="eastAsia" w:eastAsia="方正仿宋简体"/>
          <w:color w:val="000000" w:themeColor="text1"/>
          <w14:textFill>
            <w14:solidFill>
              <w14:schemeClr w14:val="tx1"/>
            </w14:solidFill>
          </w14:textFill>
        </w:rPr>
        <w:t>，</w:t>
      </w:r>
      <w:r>
        <w:rPr>
          <w:rFonts w:eastAsia="方正仿宋简体"/>
          <w:color w:val="000000" w:themeColor="text1"/>
          <w14:textFill>
            <w14:solidFill>
              <w14:schemeClr w14:val="tx1"/>
            </w14:solidFill>
          </w14:textFill>
        </w:rPr>
        <w:t>加大帮扶力度，如期完成脱贫攻坚任务。开展就业创业帮扶。“十三五”时期，创建扶贫车间13家，定期对接广州市发布企业用工信息，引导贫困劳动力外出就业。全县建档立卡贫困劳动力实现就业22169人，就业率达82.97%</w:t>
      </w:r>
      <w:r>
        <w:rPr>
          <w:rFonts w:hint="eastAsia" w:eastAsia="方正仿宋简体"/>
          <w:color w:val="000000" w:themeColor="text1"/>
          <w14:textFill>
            <w14:solidFill>
              <w14:schemeClr w14:val="tx1"/>
            </w14:solidFill>
          </w14:textFill>
        </w:rPr>
        <w:t>，其中，</w:t>
      </w:r>
      <w:r>
        <w:rPr>
          <w:rFonts w:eastAsia="方正仿宋简体"/>
          <w:color w:val="000000" w:themeColor="text1"/>
          <w14:textFill>
            <w14:solidFill>
              <w14:schemeClr w14:val="tx1"/>
            </w14:solidFill>
          </w14:textFill>
        </w:rPr>
        <w:t>有就业意愿贫困劳动力100%实现</w:t>
      </w:r>
      <w:r>
        <w:rPr>
          <w:rFonts w:hint="eastAsia" w:eastAsia="方正仿宋简体"/>
          <w:color w:val="000000" w:themeColor="text1"/>
          <w14:textFill>
            <w14:solidFill>
              <w14:schemeClr w14:val="tx1"/>
            </w14:solidFill>
          </w14:textFill>
        </w:rPr>
        <w:t>就</w:t>
      </w:r>
      <w:r>
        <w:rPr>
          <w:rFonts w:eastAsia="方正仿宋简体"/>
          <w:color w:val="000000" w:themeColor="text1"/>
          <w14:textFill>
            <w14:solidFill>
              <w14:schemeClr w14:val="tx1"/>
            </w14:solidFill>
          </w14:textFill>
        </w:rPr>
        <w:t>业。开展技能培训帮扶。</w:t>
      </w:r>
      <w:r>
        <w:rPr>
          <w:rFonts w:eastAsia="方正仿宋简体"/>
          <w:bCs/>
          <w:color w:val="000000" w:themeColor="text1"/>
          <w14:textFill>
            <w14:solidFill>
              <w14:schemeClr w14:val="tx1"/>
            </w14:solidFill>
          </w14:textFill>
        </w:rPr>
        <w:t>积极开展贫困劳动力技能帮扶培训，补贴贫困劳动力生活费484人。</w:t>
      </w:r>
      <w:r>
        <w:rPr>
          <w:rFonts w:eastAsia="方正仿宋简体"/>
          <w:color w:val="000000" w:themeColor="text1"/>
          <w14:textFill>
            <w14:solidFill>
              <w14:schemeClr w14:val="tx1"/>
            </w14:solidFill>
          </w14:textFill>
        </w:rPr>
        <w:t>引导建档立卡贫困家庭子女就读技工</w:t>
      </w:r>
      <w:r>
        <w:rPr>
          <w:rFonts w:hint="eastAsia" w:eastAsia="方正仿宋简体"/>
          <w:color w:val="000000" w:themeColor="text1"/>
          <w14:textFill>
            <w14:solidFill>
              <w14:schemeClr w14:val="tx1"/>
            </w14:solidFill>
          </w14:textFill>
        </w:rPr>
        <w:t>学</w:t>
      </w:r>
      <w:r>
        <w:rPr>
          <w:rFonts w:eastAsia="方正仿宋简体"/>
          <w:color w:val="000000" w:themeColor="text1"/>
          <w14:textFill>
            <w14:solidFill>
              <w14:schemeClr w14:val="tx1"/>
            </w14:solidFill>
          </w14:textFill>
        </w:rPr>
        <w:t>校，县内在读技工</w:t>
      </w:r>
      <w:r>
        <w:rPr>
          <w:rFonts w:hint="eastAsia" w:eastAsia="方正仿宋简体"/>
          <w:color w:val="000000" w:themeColor="text1"/>
          <w14:textFill>
            <w14:solidFill>
              <w14:schemeClr w14:val="tx1"/>
            </w14:solidFill>
          </w14:textFill>
        </w:rPr>
        <w:t>学</w:t>
      </w:r>
      <w:r>
        <w:rPr>
          <w:rFonts w:eastAsia="方正仿宋简体"/>
          <w:color w:val="000000" w:themeColor="text1"/>
          <w14:textFill>
            <w14:solidFill>
              <w14:schemeClr w14:val="tx1"/>
            </w14:solidFill>
          </w14:textFill>
        </w:rPr>
        <w:t>校学生生活费补助发放率达100%。落实社保兜底帮扶，我县按照相关规定为符合条件的建档立卡人员落实参加城乡居民基本养老保险，截止至2020年底，已为符合条件的36687名建档立卡人员代缴城乡居民养老保险费，</w:t>
      </w:r>
      <w:r>
        <w:rPr>
          <w:rFonts w:eastAsia="方正仿宋简体"/>
          <w:highlight w:val="yellow"/>
        </w:rPr>
        <w:t>为符合条件的建档立卡人员67556名全额资助参加城乡居民基本医疗保险；</w:t>
      </w:r>
      <w:r>
        <w:rPr>
          <w:rFonts w:eastAsia="方正仿宋简体"/>
          <w:color w:val="000000" w:themeColor="text1"/>
          <w:highlight w:val="yellow"/>
          <w14:textFill>
            <w14:solidFill>
              <w14:schemeClr w14:val="tx1"/>
            </w14:solidFill>
          </w14:textFill>
        </w:rPr>
        <w:t>有12893名符合条件的建档立卡人员申领城乡居民养老保险待遇，</w:t>
      </w:r>
      <w:r>
        <w:rPr>
          <w:rFonts w:eastAsia="方正仿宋简体"/>
          <w:highlight w:val="yellow"/>
        </w:rPr>
        <w:t>有10579名符合条件的建档立卡人员享受医疗救助待遇，</w:t>
      </w:r>
      <w:r>
        <w:rPr>
          <w:rFonts w:eastAsia="方正仿宋简体"/>
          <w:color w:val="000000" w:themeColor="text1"/>
          <w:highlight w:val="yellow"/>
          <w14:textFill>
            <w14:solidFill>
              <w14:schemeClr w14:val="tx1"/>
            </w14:solidFill>
          </w14:textFill>
        </w:rPr>
        <w:t>做到应保尽保、应发尽发。</w:t>
      </w:r>
      <w:r>
        <w:rPr>
          <w:rFonts w:eastAsia="方正仿宋简体"/>
          <w:color w:val="000000" w:themeColor="text1"/>
          <w14:textFill>
            <w14:solidFill>
              <w14:schemeClr w14:val="tx1"/>
            </w14:solidFill>
          </w14:textFill>
        </w:rPr>
        <w:t>帮助对口帮扶的潭下镇文里村率先完成“三清三拆”，推进道路硬底化等一批项目建设，全村39户贫困户118人全面实现脱贫目标。</w:t>
      </w:r>
    </w:p>
    <w:tbl>
      <w:tblPr>
        <w:tblStyle w:val="25"/>
        <w:tblW w:w="91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3"/>
        <w:gridCol w:w="3053"/>
        <w:gridCol w:w="641"/>
        <w:gridCol w:w="1323"/>
        <w:gridCol w:w="1423"/>
        <w:gridCol w:w="1222"/>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exact"/>
          <w:jc w:val="center"/>
        </w:trPr>
        <w:tc>
          <w:tcPr>
            <w:tcW w:w="9162" w:type="dxa"/>
            <w:gridSpan w:val="8"/>
            <w:shd w:val="clear" w:color="auto" w:fill="FFC000" w:themeFill="accent4"/>
            <w:vAlign w:val="center"/>
          </w:tcPr>
          <w:p>
            <w:pPr>
              <w:adjustRightInd w:val="0"/>
              <w:snapToGrid w:val="0"/>
              <w:jc w:val="center"/>
              <w:rPr>
                <w:rFonts w:eastAsia="黑体"/>
                <w:color w:val="000000" w:themeColor="text1"/>
                <w:kern w:val="0"/>
                <w:sz w:val="28"/>
                <w:szCs w:val="28"/>
                <w14:textFill>
                  <w14:solidFill>
                    <w14:schemeClr w14:val="tx1"/>
                  </w14:solidFill>
                </w14:textFill>
              </w:rPr>
            </w:pPr>
            <w:r>
              <w:rPr>
                <w:rFonts w:hint="eastAsia" w:ascii="黑体" w:hAnsi="黑体" w:eastAsia="黑体" w:cs="黑体"/>
                <w:b/>
                <w:bCs/>
                <w:color w:val="000000" w:themeColor="text1"/>
                <w:kern w:val="0"/>
                <w:sz w:val="28"/>
                <w:szCs w:val="28"/>
                <w14:textFill>
                  <w14:solidFill>
                    <w14:schemeClr w14:val="tx1"/>
                  </w14:solidFill>
                </w14:textFill>
              </w:rPr>
              <w:t xml:space="preserve"> </w:t>
            </w:r>
            <w:r>
              <w:rPr>
                <w:rFonts w:hint="eastAsia" w:ascii="黑体" w:hAnsi="黑体" w:eastAsia="黑体" w:cs="黑体"/>
                <w:color w:val="000000" w:themeColor="text1"/>
                <w:kern w:val="0"/>
                <w:sz w:val="28"/>
                <w:szCs w:val="28"/>
                <w14:textFill>
                  <w14:solidFill>
                    <w14:schemeClr w14:val="tx1"/>
                  </w14:solidFill>
                </w14:textFill>
              </w:rPr>
              <w:t>专栏一  “十三五”时期主要指标完成情况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exact"/>
          <w:jc w:val="center"/>
        </w:trPr>
        <w:tc>
          <w:tcPr>
            <w:tcW w:w="583" w:type="dxa"/>
            <w:vAlign w:val="center"/>
          </w:tcPr>
          <w:p>
            <w:pPr>
              <w:spacing w:line="240" w:lineRule="exact"/>
              <w:jc w:val="center"/>
              <w:rPr>
                <w:rFonts w:eastAsia="黑体"/>
                <w:color w:val="000000" w:themeColor="text1"/>
                <w:sz w:val="21"/>
                <w:szCs w:val="21"/>
                <w14:textFill>
                  <w14:solidFill>
                    <w14:schemeClr w14:val="tx1"/>
                  </w14:solidFill>
                </w14:textFill>
              </w:rPr>
            </w:pPr>
            <w:r>
              <w:rPr>
                <w:rFonts w:eastAsia="黑体"/>
                <w:color w:val="000000" w:themeColor="text1"/>
                <w:sz w:val="21"/>
                <w:szCs w:val="21"/>
                <w14:textFill>
                  <w14:solidFill>
                    <w14:schemeClr w14:val="tx1"/>
                  </w14:solidFill>
                </w14:textFill>
              </w:rPr>
              <w:t>序号</w:t>
            </w:r>
          </w:p>
        </w:tc>
        <w:tc>
          <w:tcPr>
            <w:tcW w:w="3066" w:type="dxa"/>
            <w:gridSpan w:val="2"/>
            <w:vAlign w:val="center"/>
          </w:tcPr>
          <w:p>
            <w:pPr>
              <w:spacing w:line="240" w:lineRule="exact"/>
              <w:jc w:val="center"/>
              <w:rPr>
                <w:rFonts w:eastAsia="黑体"/>
                <w:color w:val="000000" w:themeColor="text1"/>
                <w:sz w:val="21"/>
                <w:szCs w:val="21"/>
                <w14:textFill>
                  <w14:solidFill>
                    <w14:schemeClr w14:val="tx1"/>
                  </w14:solidFill>
                </w14:textFill>
              </w:rPr>
            </w:pPr>
            <w:r>
              <w:rPr>
                <w:rFonts w:eastAsia="黑体"/>
                <w:color w:val="000000" w:themeColor="text1"/>
                <w:sz w:val="21"/>
                <w:szCs w:val="21"/>
                <w14:textFill>
                  <w14:solidFill>
                    <w14:schemeClr w14:val="tx1"/>
                  </w14:solidFill>
                </w14:textFill>
              </w:rPr>
              <w:t>指   标</w:t>
            </w:r>
          </w:p>
        </w:tc>
        <w:tc>
          <w:tcPr>
            <w:tcW w:w="641" w:type="dxa"/>
            <w:vAlign w:val="center"/>
          </w:tcPr>
          <w:p>
            <w:pPr>
              <w:spacing w:line="240" w:lineRule="exact"/>
              <w:jc w:val="center"/>
              <w:rPr>
                <w:rFonts w:eastAsia="黑体"/>
                <w:color w:val="000000" w:themeColor="text1"/>
                <w:sz w:val="21"/>
                <w:szCs w:val="21"/>
                <w14:textFill>
                  <w14:solidFill>
                    <w14:schemeClr w14:val="tx1"/>
                  </w14:solidFill>
                </w14:textFill>
              </w:rPr>
            </w:pPr>
            <w:r>
              <w:rPr>
                <w:rFonts w:eastAsia="黑体"/>
                <w:color w:val="000000" w:themeColor="text1"/>
                <w:sz w:val="21"/>
                <w:szCs w:val="21"/>
                <w14:textFill>
                  <w14:solidFill>
                    <w14:schemeClr w14:val="tx1"/>
                  </w14:solidFill>
                </w14:textFill>
              </w:rPr>
              <w:t>单位</w:t>
            </w:r>
          </w:p>
        </w:tc>
        <w:tc>
          <w:tcPr>
            <w:tcW w:w="1323" w:type="dxa"/>
            <w:vAlign w:val="center"/>
          </w:tcPr>
          <w:p>
            <w:pPr>
              <w:spacing w:line="240" w:lineRule="exact"/>
              <w:jc w:val="center"/>
              <w:rPr>
                <w:rFonts w:eastAsia="黑体"/>
                <w:color w:val="000000" w:themeColor="text1"/>
                <w:sz w:val="21"/>
                <w:szCs w:val="21"/>
                <w14:textFill>
                  <w14:solidFill>
                    <w14:schemeClr w14:val="tx1"/>
                  </w14:solidFill>
                </w14:textFill>
              </w:rPr>
            </w:pPr>
            <w:r>
              <w:rPr>
                <w:rFonts w:eastAsia="黑体"/>
                <w:color w:val="000000" w:themeColor="text1"/>
                <w:sz w:val="21"/>
                <w:szCs w:val="21"/>
                <w14:textFill>
                  <w14:solidFill>
                    <w14:schemeClr w14:val="tx1"/>
                  </w14:solidFill>
                </w14:textFill>
              </w:rPr>
              <w:t>目标值</w:t>
            </w:r>
          </w:p>
        </w:tc>
        <w:tc>
          <w:tcPr>
            <w:tcW w:w="1423" w:type="dxa"/>
            <w:vAlign w:val="center"/>
          </w:tcPr>
          <w:p>
            <w:pPr>
              <w:spacing w:line="240" w:lineRule="exact"/>
              <w:jc w:val="center"/>
              <w:rPr>
                <w:rFonts w:eastAsia="黑体"/>
                <w:color w:val="000000" w:themeColor="text1"/>
                <w:sz w:val="21"/>
                <w:szCs w:val="21"/>
                <w14:textFill>
                  <w14:solidFill>
                    <w14:schemeClr w14:val="tx1"/>
                  </w14:solidFill>
                </w14:textFill>
              </w:rPr>
            </w:pPr>
            <w:r>
              <w:rPr>
                <w:rFonts w:eastAsia="黑体"/>
                <w:color w:val="000000" w:themeColor="text1"/>
                <w:sz w:val="21"/>
                <w:szCs w:val="21"/>
                <w14:textFill>
                  <w14:solidFill>
                    <w14:schemeClr w14:val="tx1"/>
                  </w14:solidFill>
                </w14:textFill>
              </w:rPr>
              <w:t>完成值</w:t>
            </w:r>
          </w:p>
        </w:tc>
        <w:tc>
          <w:tcPr>
            <w:tcW w:w="1222" w:type="dxa"/>
            <w:vAlign w:val="center"/>
          </w:tcPr>
          <w:p>
            <w:pPr>
              <w:spacing w:line="240" w:lineRule="exact"/>
              <w:jc w:val="center"/>
              <w:rPr>
                <w:rFonts w:eastAsia="黑体"/>
                <w:color w:val="000000" w:themeColor="text1"/>
                <w:sz w:val="21"/>
                <w:szCs w:val="21"/>
                <w14:textFill>
                  <w14:solidFill>
                    <w14:schemeClr w14:val="tx1"/>
                  </w14:solidFill>
                </w14:textFill>
              </w:rPr>
            </w:pPr>
            <w:r>
              <w:rPr>
                <w:rFonts w:eastAsia="黑体"/>
                <w:color w:val="000000" w:themeColor="text1"/>
                <w:sz w:val="21"/>
                <w:szCs w:val="21"/>
                <w14:textFill>
                  <w14:solidFill>
                    <w14:schemeClr w14:val="tx1"/>
                  </w14:solidFill>
                </w14:textFill>
              </w:rPr>
              <w:t>完成率</w:t>
            </w:r>
          </w:p>
        </w:tc>
        <w:tc>
          <w:tcPr>
            <w:tcW w:w="904" w:type="dxa"/>
            <w:vAlign w:val="center"/>
          </w:tcPr>
          <w:p>
            <w:pPr>
              <w:spacing w:line="240" w:lineRule="exact"/>
              <w:jc w:val="center"/>
              <w:rPr>
                <w:rFonts w:eastAsia="黑体"/>
                <w:color w:val="000000" w:themeColor="text1"/>
                <w:sz w:val="21"/>
                <w:szCs w:val="21"/>
                <w14:textFill>
                  <w14:solidFill>
                    <w14:schemeClr w14:val="tx1"/>
                  </w14:solidFill>
                </w14:textFill>
              </w:rPr>
            </w:pPr>
            <w:r>
              <w:rPr>
                <w:rFonts w:eastAsia="黑体"/>
                <w:color w:val="000000" w:themeColor="text1"/>
                <w:sz w:val="21"/>
                <w:szCs w:val="21"/>
                <w14:textFill>
                  <w14:solidFill>
                    <w14:schemeClr w14:val="tx1"/>
                  </w14:solidFill>
                </w14:textFill>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exact"/>
          <w:jc w:val="center"/>
        </w:trPr>
        <w:tc>
          <w:tcPr>
            <w:tcW w:w="9162" w:type="dxa"/>
            <w:gridSpan w:val="8"/>
            <w:vAlign w:val="center"/>
          </w:tcPr>
          <w:p>
            <w:pPr>
              <w:spacing w:line="240" w:lineRule="exact"/>
              <w:rPr>
                <w:rFonts w:eastAsia="黑体"/>
                <w:color w:val="000000" w:themeColor="text1"/>
                <w:sz w:val="21"/>
                <w:szCs w:val="21"/>
                <w14:textFill>
                  <w14:solidFill>
                    <w14:schemeClr w14:val="tx1"/>
                  </w14:solidFill>
                </w14:textFill>
              </w:rPr>
            </w:pPr>
            <w:r>
              <w:rPr>
                <w:rFonts w:eastAsia="黑体"/>
                <w:color w:val="000000" w:themeColor="text1"/>
                <w:sz w:val="21"/>
                <w:szCs w:val="21"/>
                <w14:textFill>
                  <w14:solidFill>
                    <w14:schemeClr w14:val="tx1"/>
                  </w14:solidFill>
                </w14:textFill>
              </w:rPr>
              <w:t>一、就业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exact"/>
          <w:jc w:val="center"/>
        </w:trPr>
        <w:tc>
          <w:tcPr>
            <w:tcW w:w="58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c>
          <w:tcPr>
            <w:tcW w:w="3066" w:type="dxa"/>
            <w:gridSpan w:val="2"/>
            <w:vAlign w:val="center"/>
          </w:tcPr>
          <w:p>
            <w:pPr>
              <w:spacing w:line="240" w:lineRule="exact"/>
              <w:jc w:val="left"/>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城镇新增就业人数</w:t>
            </w:r>
          </w:p>
        </w:tc>
        <w:tc>
          <w:tcPr>
            <w:tcW w:w="641" w:type="dxa"/>
            <w:vAlign w:val="center"/>
          </w:tcPr>
          <w:p>
            <w:pPr>
              <w:spacing w:line="240" w:lineRule="exact"/>
              <w:jc w:val="center"/>
              <w:rPr>
                <w:rFonts w:eastAsia="宋体"/>
                <w:color w:val="000000" w:themeColor="text1"/>
                <w:sz w:val="20"/>
                <w:szCs w:val="20"/>
                <w14:textFill>
                  <w14:solidFill>
                    <w14:schemeClr w14:val="tx1"/>
                  </w14:solidFill>
                </w14:textFill>
              </w:rPr>
            </w:pPr>
            <w:r>
              <w:rPr>
                <w:rFonts w:eastAsia="宋体"/>
                <w:color w:val="000000" w:themeColor="text1"/>
                <w:sz w:val="20"/>
                <w:szCs w:val="20"/>
                <w14:textFill>
                  <w14:solidFill>
                    <w14:schemeClr w14:val="tx1"/>
                  </w14:solidFill>
                </w14:textFill>
              </w:rPr>
              <w:t>万人</w:t>
            </w:r>
          </w:p>
        </w:tc>
        <w:tc>
          <w:tcPr>
            <w:tcW w:w="13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[2.07]</w:t>
            </w:r>
          </w:p>
        </w:tc>
        <w:tc>
          <w:tcPr>
            <w:tcW w:w="14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[2.7642]</w:t>
            </w:r>
          </w:p>
        </w:tc>
        <w:tc>
          <w:tcPr>
            <w:tcW w:w="1222"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133.3%</w:t>
            </w:r>
          </w:p>
        </w:tc>
        <w:tc>
          <w:tcPr>
            <w:tcW w:w="904"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58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p>
        </w:tc>
        <w:tc>
          <w:tcPr>
            <w:tcW w:w="3066" w:type="dxa"/>
            <w:gridSpan w:val="2"/>
            <w:vAlign w:val="center"/>
          </w:tcPr>
          <w:p>
            <w:pPr>
              <w:spacing w:line="240" w:lineRule="exact"/>
              <w:jc w:val="left"/>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城镇登记失业率</w:t>
            </w:r>
          </w:p>
        </w:tc>
        <w:tc>
          <w:tcPr>
            <w:tcW w:w="641" w:type="dxa"/>
            <w:vAlign w:val="center"/>
          </w:tcPr>
          <w:p>
            <w:pPr>
              <w:spacing w:line="240" w:lineRule="exact"/>
              <w:jc w:val="center"/>
              <w:rPr>
                <w:rFonts w:eastAsia="宋体"/>
                <w:color w:val="000000" w:themeColor="text1"/>
                <w:sz w:val="20"/>
                <w:szCs w:val="20"/>
                <w14:textFill>
                  <w14:solidFill>
                    <w14:schemeClr w14:val="tx1"/>
                  </w14:solidFill>
                </w14:textFill>
              </w:rPr>
            </w:pPr>
            <w:r>
              <w:rPr>
                <w:rFonts w:eastAsia="宋体"/>
                <w:color w:val="000000" w:themeColor="text1"/>
                <w:sz w:val="20"/>
                <w:szCs w:val="20"/>
                <w14:textFill>
                  <w14:solidFill>
                    <w14:schemeClr w14:val="tx1"/>
                  </w14:solidFill>
                </w14:textFill>
              </w:rPr>
              <w:t>%</w:t>
            </w:r>
          </w:p>
        </w:tc>
        <w:tc>
          <w:tcPr>
            <w:tcW w:w="13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3.5以内</w:t>
            </w:r>
          </w:p>
        </w:tc>
        <w:tc>
          <w:tcPr>
            <w:tcW w:w="14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2.35</w:t>
            </w:r>
          </w:p>
        </w:tc>
        <w:tc>
          <w:tcPr>
            <w:tcW w:w="1222"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100</w:t>
            </w:r>
          </w:p>
        </w:tc>
        <w:tc>
          <w:tcPr>
            <w:tcW w:w="904"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exact"/>
          <w:jc w:val="center"/>
        </w:trPr>
        <w:tc>
          <w:tcPr>
            <w:tcW w:w="9162" w:type="dxa"/>
            <w:gridSpan w:val="8"/>
            <w:vAlign w:val="center"/>
          </w:tcPr>
          <w:p>
            <w:pPr>
              <w:spacing w:line="240" w:lineRule="exact"/>
              <w:jc w:val="left"/>
              <w:rPr>
                <w:rFonts w:eastAsia="华文中宋"/>
                <w:color w:val="000000" w:themeColor="text1"/>
                <w:sz w:val="21"/>
                <w:szCs w:val="21"/>
                <w14:textFill>
                  <w14:solidFill>
                    <w14:schemeClr w14:val="tx1"/>
                  </w14:solidFill>
                </w14:textFill>
              </w:rPr>
            </w:pPr>
            <w:r>
              <w:rPr>
                <w:rFonts w:eastAsia="黑体"/>
                <w:color w:val="000000" w:themeColor="text1"/>
                <w:sz w:val="21"/>
                <w:szCs w:val="21"/>
                <w14:textFill>
                  <w14:solidFill>
                    <w14:schemeClr w14:val="tx1"/>
                  </w14:solidFill>
                </w14:textFill>
              </w:rPr>
              <w:t>二、社会保险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exact"/>
          <w:jc w:val="center"/>
        </w:trPr>
        <w:tc>
          <w:tcPr>
            <w:tcW w:w="58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w:t>
            </w:r>
          </w:p>
        </w:tc>
        <w:tc>
          <w:tcPr>
            <w:tcW w:w="3066" w:type="dxa"/>
            <w:gridSpan w:val="2"/>
            <w:vAlign w:val="center"/>
          </w:tcPr>
          <w:p>
            <w:pPr>
              <w:spacing w:line="240" w:lineRule="exact"/>
              <w:jc w:val="left"/>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基本养老保险参保率</w:t>
            </w:r>
          </w:p>
        </w:tc>
        <w:tc>
          <w:tcPr>
            <w:tcW w:w="641"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w:t>
            </w:r>
          </w:p>
        </w:tc>
        <w:tc>
          <w:tcPr>
            <w:tcW w:w="13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85</w:t>
            </w:r>
          </w:p>
        </w:tc>
        <w:tc>
          <w:tcPr>
            <w:tcW w:w="14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85</w:t>
            </w:r>
          </w:p>
        </w:tc>
        <w:tc>
          <w:tcPr>
            <w:tcW w:w="1222"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pacing w:val="10"/>
                <w:sz w:val="21"/>
                <w:szCs w:val="21"/>
                <w14:textFill>
                  <w14:solidFill>
                    <w14:schemeClr w14:val="tx1"/>
                  </w14:solidFill>
                </w14:textFill>
              </w:rPr>
              <w:t>100</w:t>
            </w:r>
          </w:p>
        </w:tc>
        <w:tc>
          <w:tcPr>
            <w:tcW w:w="904" w:type="dxa"/>
            <w:vAlign w:val="center"/>
          </w:tcPr>
          <w:p>
            <w:pPr>
              <w:keepNext/>
              <w:widowControl/>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exact"/>
          <w:jc w:val="center"/>
        </w:trPr>
        <w:tc>
          <w:tcPr>
            <w:tcW w:w="583" w:type="dxa"/>
            <w:vAlign w:val="center"/>
          </w:tcPr>
          <w:p>
            <w:pPr>
              <w:spacing w:line="240" w:lineRule="exact"/>
              <w:jc w:val="center"/>
              <w:rPr>
                <w:rFonts w:eastAsia="宋体"/>
                <w:color w:val="000000" w:themeColor="text1"/>
                <w:sz w:val="21"/>
                <w:szCs w:val="21"/>
                <w:highlight w:val="yellow"/>
                <w14:textFill>
                  <w14:solidFill>
                    <w14:schemeClr w14:val="tx1"/>
                  </w14:solidFill>
                </w14:textFill>
              </w:rPr>
            </w:pPr>
            <w:r>
              <w:rPr>
                <w:rFonts w:eastAsia="宋体"/>
                <w:color w:val="000000" w:themeColor="text1"/>
                <w:sz w:val="21"/>
                <w:szCs w:val="21"/>
                <w:highlight w:val="yellow"/>
                <w14:textFill>
                  <w14:solidFill>
                    <w14:schemeClr w14:val="tx1"/>
                  </w14:solidFill>
                </w14:textFill>
              </w:rPr>
              <w:t>4</w:t>
            </w:r>
          </w:p>
        </w:tc>
        <w:tc>
          <w:tcPr>
            <w:tcW w:w="3066" w:type="dxa"/>
            <w:gridSpan w:val="2"/>
            <w:vAlign w:val="center"/>
          </w:tcPr>
          <w:p>
            <w:pPr>
              <w:spacing w:line="240" w:lineRule="exact"/>
              <w:jc w:val="left"/>
              <w:rPr>
                <w:rFonts w:eastAsia="宋体"/>
                <w:color w:val="000000" w:themeColor="text1"/>
                <w:sz w:val="21"/>
                <w:szCs w:val="21"/>
                <w:highlight w:val="yellow"/>
                <w14:textFill>
                  <w14:solidFill>
                    <w14:schemeClr w14:val="tx1"/>
                  </w14:solidFill>
                </w14:textFill>
              </w:rPr>
            </w:pPr>
            <w:r>
              <w:rPr>
                <w:rFonts w:eastAsia="宋体"/>
                <w:color w:val="000000" w:themeColor="text1"/>
                <w:sz w:val="21"/>
                <w:szCs w:val="21"/>
                <w:highlight w:val="yellow"/>
                <w14:textFill>
                  <w14:solidFill>
                    <w14:schemeClr w14:val="tx1"/>
                  </w14:solidFill>
                </w14:textFill>
              </w:rPr>
              <w:t>基本医疗保险参保率</w:t>
            </w:r>
          </w:p>
        </w:tc>
        <w:tc>
          <w:tcPr>
            <w:tcW w:w="641" w:type="dxa"/>
            <w:vAlign w:val="center"/>
          </w:tcPr>
          <w:p>
            <w:pPr>
              <w:spacing w:line="240" w:lineRule="exact"/>
              <w:jc w:val="center"/>
              <w:rPr>
                <w:rFonts w:eastAsia="宋体"/>
                <w:color w:val="000000" w:themeColor="text1"/>
                <w:sz w:val="21"/>
                <w:szCs w:val="21"/>
                <w:highlight w:val="yellow"/>
                <w14:textFill>
                  <w14:solidFill>
                    <w14:schemeClr w14:val="tx1"/>
                  </w14:solidFill>
                </w14:textFill>
              </w:rPr>
            </w:pPr>
            <w:r>
              <w:rPr>
                <w:rFonts w:eastAsia="宋体"/>
                <w:color w:val="000000" w:themeColor="text1"/>
                <w:sz w:val="21"/>
                <w:szCs w:val="21"/>
                <w:highlight w:val="yellow"/>
                <w14:textFill>
                  <w14:solidFill>
                    <w14:schemeClr w14:val="tx1"/>
                  </w14:solidFill>
                </w14:textFill>
              </w:rPr>
              <w:t>%</w:t>
            </w:r>
          </w:p>
        </w:tc>
        <w:tc>
          <w:tcPr>
            <w:tcW w:w="1323" w:type="dxa"/>
            <w:vAlign w:val="center"/>
          </w:tcPr>
          <w:p>
            <w:pPr>
              <w:spacing w:line="240" w:lineRule="exact"/>
              <w:jc w:val="center"/>
              <w:rPr>
                <w:rFonts w:eastAsia="宋体"/>
                <w:color w:val="000000" w:themeColor="text1"/>
                <w:sz w:val="21"/>
                <w:szCs w:val="21"/>
                <w:highlight w:val="yellow"/>
                <w14:textFill>
                  <w14:solidFill>
                    <w14:schemeClr w14:val="tx1"/>
                  </w14:solidFill>
                </w14:textFill>
              </w:rPr>
            </w:pPr>
            <w:r>
              <w:rPr>
                <w:rFonts w:eastAsia="宋体"/>
                <w:color w:val="000000" w:themeColor="text1"/>
                <w:sz w:val="21"/>
                <w:szCs w:val="21"/>
                <w:highlight w:val="yellow"/>
                <w14:textFill>
                  <w14:solidFill>
                    <w14:schemeClr w14:val="tx1"/>
                  </w14:solidFill>
                </w14:textFill>
              </w:rPr>
              <w:t>100</w:t>
            </w:r>
          </w:p>
        </w:tc>
        <w:tc>
          <w:tcPr>
            <w:tcW w:w="1423" w:type="dxa"/>
            <w:vAlign w:val="center"/>
          </w:tcPr>
          <w:p>
            <w:pPr>
              <w:spacing w:line="240" w:lineRule="exact"/>
              <w:jc w:val="center"/>
              <w:rPr>
                <w:rFonts w:eastAsia="宋体"/>
                <w:color w:val="000000" w:themeColor="text1"/>
                <w:sz w:val="21"/>
                <w:szCs w:val="21"/>
                <w:highlight w:val="yellow"/>
                <w14:textFill>
                  <w14:solidFill>
                    <w14:schemeClr w14:val="tx1"/>
                  </w14:solidFill>
                </w14:textFill>
              </w:rPr>
            </w:pPr>
            <w:r>
              <w:rPr>
                <w:rFonts w:eastAsia="宋体"/>
                <w:color w:val="000000" w:themeColor="text1"/>
                <w:sz w:val="21"/>
                <w:szCs w:val="21"/>
                <w:highlight w:val="yellow"/>
                <w14:textFill>
                  <w14:solidFill>
                    <w14:schemeClr w14:val="tx1"/>
                  </w14:solidFill>
                </w14:textFill>
              </w:rPr>
              <w:t>100</w:t>
            </w:r>
          </w:p>
        </w:tc>
        <w:tc>
          <w:tcPr>
            <w:tcW w:w="1222" w:type="dxa"/>
            <w:vAlign w:val="center"/>
          </w:tcPr>
          <w:p>
            <w:pPr>
              <w:spacing w:line="240" w:lineRule="exact"/>
              <w:jc w:val="center"/>
              <w:rPr>
                <w:rFonts w:eastAsia="宋体"/>
                <w:color w:val="000000" w:themeColor="text1"/>
                <w:spacing w:val="10"/>
                <w:sz w:val="21"/>
                <w:szCs w:val="21"/>
                <w:highlight w:val="yellow"/>
                <w14:textFill>
                  <w14:solidFill>
                    <w14:schemeClr w14:val="tx1"/>
                  </w14:solidFill>
                </w14:textFill>
              </w:rPr>
            </w:pPr>
            <w:r>
              <w:rPr>
                <w:rFonts w:eastAsia="宋体"/>
                <w:color w:val="000000" w:themeColor="text1"/>
                <w:spacing w:val="10"/>
                <w:sz w:val="21"/>
                <w:szCs w:val="21"/>
                <w:highlight w:val="yellow"/>
                <w14:textFill>
                  <w14:solidFill>
                    <w14:schemeClr w14:val="tx1"/>
                  </w14:solidFill>
                </w14:textFill>
              </w:rPr>
              <w:t>100</w:t>
            </w:r>
          </w:p>
        </w:tc>
        <w:tc>
          <w:tcPr>
            <w:tcW w:w="904" w:type="dxa"/>
            <w:vAlign w:val="center"/>
          </w:tcPr>
          <w:p>
            <w:pPr>
              <w:keepNext/>
              <w:widowControl/>
              <w:spacing w:line="240" w:lineRule="exact"/>
              <w:jc w:val="center"/>
              <w:rPr>
                <w:rFonts w:eastAsia="宋体"/>
                <w:color w:val="000000" w:themeColor="text1"/>
                <w:sz w:val="21"/>
                <w:szCs w:val="21"/>
                <w:highlight w:val="yellow"/>
                <w14:textFill>
                  <w14:solidFill>
                    <w14:schemeClr w14:val="tx1"/>
                  </w14:solidFill>
                </w14:textFill>
              </w:rPr>
            </w:pPr>
            <w:r>
              <w:rPr>
                <w:rFonts w:eastAsia="宋体"/>
                <w:color w:val="000000" w:themeColor="text1"/>
                <w:sz w:val="21"/>
                <w:szCs w:val="21"/>
                <w:highlight w:val="yellow"/>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exact"/>
          <w:jc w:val="center"/>
        </w:trPr>
        <w:tc>
          <w:tcPr>
            <w:tcW w:w="58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5</w:t>
            </w:r>
          </w:p>
        </w:tc>
        <w:tc>
          <w:tcPr>
            <w:tcW w:w="3066" w:type="dxa"/>
            <w:gridSpan w:val="2"/>
            <w:vAlign w:val="center"/>
          </w:tcPr>
          <w:p>
            <w:pPr>
              <w:spacing w:line="240" w:lineRule="exact"/>
              <w:jc w:val="left"/>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失业保险参保人数</w:t>
            </w:r>
          </w:p>
        </w:tc>
        <w:tc>
          <w:tcPr>
            <w:tcW w:w="641"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0"/>
                <w:szCs w:val="20"/>
                <w14:textFill>
                  <w14:solidFill>
                    <w14:schemeClr w14:val="tx1"/>
                  </w14:solidFill>
                </w14:textFill>
              </w:rPr>
              <w:t>万人</w:t>
            </w:r>
          </w:p>
        </w:tc>
        <w:tc>
          <w:tcPr>
            <w:tcW w:w="13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3.34</w:t>
            </w:r>
          </w:p>
        </w:tc>
        <w:tc>
          <w:tcPr>
            <w:tcW w:w="14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4.14</w:t>
            </w:r>
          </w:p>
        </w:tc>
        <w:tc>
          <w:tcPr>
            <w:tcW w:w="1222" w:type="dxa"/>
            <w:vAlign w:val="center"/>
          </w:tcPr>
          <w:p>
            <w:pPr>
              <w:spacing w:line="240" w:lineRule="exact"/>
              <w:jc w:val="center"/>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123.95</w:t>
            </w:r>
          </w:p>
        </w:tc>
        <w:tc>
          <w:tcPr>
            <w:tcW w:w="904"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exact"/>
          <w:jc w:val="center"/>
        </w:trPr>
        <w:tc>
          <w:tcPr>
            <w:tcW w:w="58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w:t>
            </w:r>
          </w:p>
        </w:tc>
        <w:tc>
          <w:tcPr>
            <w:tcW w:w="3066" w:type="dxa"/>
            <w:gridSpan w:val="2"/>
            <w:vAlign w:val="center"/>
          </w:tcPr>
          <w:p>
            <w:pPr>
              <w:spacing w:line="240" w:lineRule="exact"/>
              <w:jc w:val="left"/>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工伤保险参保人数</w:t>
            </w:r>
          </w:p>
        </w:tc>
        <w:tc>
          <w:tcPr>
            <w:tcW w:w="641" w:type="dxa"/>
            <w:vAlign w:val="center"/>
          </w:tcPr>
          <w:p>
            <w:pPr>
              <w:spacing w:line="240" w:lineRule="exact"/>
              <w:jc w:val="center"/>
              <w:rPr>
                <w:rFonts w:eastAsia="宋体"/>
                <w:color w:val="000000" w:themeColor="text1"/>
                <w:sz w:val="20"/>
                <w:szCs w:val="20"/>
                <w14:textFill>
                  <w14:solidFill>
                    <w14:schemeClr w14:val="tx1"/>
                  </w14:solidFill>
                </w14:textFill>
              </w:rPr>
            </w:pPr>
            <w:r>
              <w:rPr>
                <w:rFonts w:eastAsia="宋体"/>
                <w:color w:val="000000" w:themeColor="text1"/>
                <w:sz w:val="20"/>
                <w:szCs w:val="20"/>
                <w14:textFill>
                  <w14:solidFill>
                    <w14:schemeClr w14:val="tx1"/>
                  </w14:solidFill>
                </w14:textFill>
              </w:rPr>
              <w:t>万人</w:t>
            </w:r>
          </w:p>
        </w:tc>
        <w:tc>
          <w:tcPr>
            <w:tcW w:w="13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3.75</w:t>
            </w:r>
          </w:p>
        </w:tc>
        <w:tc>
          <w:tcPr>
            <w:tcW w:w="14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6.56</w:t>
            </w:r>
          </w:p>
        </w:tc>
        <w:tc>
          <w:tcPr>
            <w:tcW w:w="1222"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174.93</w:t>
            </w:r>
          </w:p>
        </w:tc>
        <w:tc>
          <w:tcPr>
            <w:tcW w:w="904"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exact"/>
          <w:jc w:val="center"/>
        </w:trPr>
        <w:tc>
          <w:tcPr>
            <w:tcW w:w="583" w:type="dxa"/>
            <w:vAlign w:val="center"/>
          </w:tcPr>
          <w:p>
            <w:pPr>
              <w:spacing w:line="240" w:lineRule="exact"/>
              <w:jc w:val="center"/>
              <w:rPr>
                <w:rFonts w:eastAsia="宋体"/>
                <w:color w:val="000000" w:themeColor="text1"/>
                <w:sz w:val="21"/>
                <w:szCs w:val="21"/>
                <w:highlight w:val="yellow"/>
                <w14:textFill>
                  <w14:solidFill>
                    <w14:schemeClr w14:val="tx1"/>
                  </w14:solidFill>
                </w14:textFill>
              </w:rPr>
            </w:pPr>
            <w:r>
              <w:rPr>
                <w:rFonts w:eastAsia="宋体"/>
                <w:color w:val="000000" w:themeColor="text1"/>
                <w:sz w:val="21"/>
                <w:szCs w:val="21"/>
                <w:highlight w:val="yellow"/>
                <w14:textFill>
                  <w14:solidFill>
                    <w14:schemeClr w14:val="tx1"/>
                  </w14:solidFill>
                </w14:textFill>
              </w:rPr>
              <w:t>7</w:t>
            </w:r>
          </w:p>
        </w:tc>
        <w:tc>
          <w:tcPr>
            <w:tcW w:w="3066" w:type="dxa"/>
            <w:gridSpan w:val="2"/>
            <w:vAlign w:val="center"/>
          </w:tcPr>
          <w:p>
            <w:pPr>
              <w:spacing w:line="240" w:lineRule="exact"/>
              <w:jc w:val="left"/>
              <w:rPr>
                <w:rFonts w:eastAsia="宋体"/>
                <w:color w:val="000000" w:themeColor="text1"/>
                <w:sz w:val="21"/>
                <w:szCs w:val="21"/>
                <w:highlight w:val="yellow"/>
                <w14:textFill>
                  <w14:solidFill>
                    <w14:schemeClr w14:val="tx1"/>
                  </w14:solidFill>
                </w14:textFill>
              </w:rPr>
            </w:pPr>
            <w:r>
              <w:rPr>
                <w:rFonts w:eastAsia="宋体"/>
                <w:color w:val="000000" w:themeColor="text1"/>
                <w:sz w:val="21"/>
                <w:szCs w:val="21"/>
                <w:highlight w:val="yellow"/>
                <w14:textFill>
                  <w14:solidFill>
                    <w14:schemeClr w14:val="tx1"/>
                  </w14:solidFill>
                </w14:textFill>
              </w:rPr>
              <w:t>生育保险参保人数</w:t>
            </w:r>
          </w:p>
        </w:tc>
        <w:tc>
          <w:tcPr>
            <w:tcW w:w="641" w:type="dxa"/>
            <w:vAlign w:val="center"/>
          </w:tcPr>
          <w:p>
            <w:pPr>
              <w:spacing w:line="240" w:lineRule="exact"/>
              <w:jc w:val="center"/>
              <w:rPr>
                <w:rFonts w:eastAsia="宋体"/>
                <w:color w:val="000000" w:themeColor="text1"/>
                <w:sz w:val="20"/>
                <w:szCs w:val="20"/>
                <w:highlight w:val="yellow"/>
                <w14:textFill>
                  <w14:solidFill>
                    <w14:schemeClr w14:val="tx1"/>
                  </w14:solidFill>
                </w14:textFill>
              </w:rPr>
            </w:pPr>
            <w:r>
              <w:rPr>
                <w:rFonts w:eastAsia="宋体"/>
                <w:color w:val="000000" w:themeColor="text1"/>
                <w:sz w:val="20"/>
                <w:szCs w:val="20"/>
                <w:highlight w:val="yellow"/>
                <w14:textFill>
                  <w14:solidFill>
                    <w14:schemeClr w14:val="tx1"/>
                  </w14:solidFill>
                </w14:textFill>
              </w:rPr>
              <w:t>万人</w:t>
            </w:r>
          </w:p>
        </w:tc>
        <w:tc>
          <w:tcPr>
            <w:tcW w:w="1323" w:type="dxa"/>
            <w:vAlign w:val="center"/>
          </w:tcPr>
          <w:p>
            <w:pPr>
              <w:spacing w:line="240" w:lineRule="exact"/>
              <w:jc w:val="center"/>
              <w:rPr>
                <w:rFonts w:eastAsia="宋体"/>
                <w:color w:val="000000" w:themeColor="text1"/>
                <w:sz w:val="21"/>
                <w:szCs w:val="21"/>
                <w:highlight w:val="yellow"/>
                <w14:textFill>
                  <w14:solidFill>
                    <w14:schemeClr w14:val="tx1"/>
                  </w14:solidFill>
                </w14:textFill>
              </w:rPr>
            </w:pPr>
            <w:r>
              <w:rPr>
                <w:rFonts w:eastAsia="宋体"/>
                <w:color w:val="000000" w:themeColor="text1"/>
                <w:sz w:val="21"/>
                <w:szCs w:val="21"/>
                <w:highlight w:val="yellow"/>
                <w14:textFill>
                  <w14:solidFill>
                    <w14:schemeClr w14:val="tx1"/>
                  </w14:solidFill>
                </w14:textFill>
              </w:rPr>
              <w:t>4.5</w:t>
            </w:r>
          </w:p>
        </w:tc>
        <w:tc>
          <w:tcPr>
            <w:tcW w:w="1423" w:type="dxa"/>
            <w:vAlign w:val="center"/>
          </w:tcPr>
          <w:p>
            <w:pPr>
              <w:spacing w:line="240" w:lineRule="exact"/>
              <w:jc w:val="center"/>
              <w:rPr>
                <w:rFonts w:eastAsia="宋体"/>
                <w:color w:val="000000" w:themeColor="text1"/>
                <w:sz w:val="21"/>
                <w:szCs w:val="21"/>
                <w:highlight w:val="yellow"/>
                <w14:textFill>
                  <w14:solidFill>
                    <w14:schemeClr w14:val="tx1"/>
                  </w14:solidFill>
                </w14:textFill>
              </w:rPr>
            </w:pPr>
            <w:r>
              <w:rPr>
                <w:rFonts w:eastAsia="宋体"/>
                <w:color w:val="000000" w:themeColor="text1"/>
                <w:sz w:val="21"/>
                <w:szCs w:val="21"/>
                <w:highlight w:val="yellow"/>
                <w14:textFill>
                  <w14:solidFill>
                    <w14:schemeClr w14:val="tx1"/>
                  </w14:solidFill>
                </w14:textFill>
              </w:rPr>
              <w:t>4.54</w:t>
            </w:r>
          </w:p>
        </w:tc>
        <w:tc>
          <w:tcPr>
            <w:tcW w:w="1222" w:type="dxa"/>
            <w:vAlign w:val="center"/>
          </w:tcPr>
          <w:p>
            <w:pPr>
              <w:spacing w:line="240" w:lineRule="exact"/>
              <w:jc w:val="center"/>
              <w:rPr>
                <w:rFonts w:eastAsia="宋体"/>
                <w:color w:val="000000" w:themeColor="text1"/>
                <w:sz w:val="21"/>
                <w:szCs w:val="21"/>
                <w:highlight w:val="yellow"/>
                <w14:textFill>
                  <w14:solidFill>
                    <w14:schemeClr w14:val="tx1"/>
                  </w14:solidFill>
                </w14:textFill>
              </w:rPr>
            </w:pPr>
            <w:r>
              <w:rPr>
                <w:rFonts w:eastAsia="宋体"/>
                <w:color w:val="000000" w:themeColor="text1"/>
                <w:sz w:val="21"/>
                <w:szCs w:val="21"/>
                <w:highlight w:val="yellow"/>
                <w14:textFill>
                  <w14:solidFill>
                    <w14:schemeClr w14:val="tx1"/>
                  </w14:solidFill>
                </w14:textFill>
              </w:rPr>
              <w:t>100.9</w:t>
            </w:r>
          </w:p>
        </w:tc>
        <w:tc>
          <w:tcPr>
            <w:tcW w:w="904" w:type="dxa"/>
            <w:vAlign w:val="center"/>
          </w:tcPr>
          <w:p>
            <w:pPr>
              <w:spacing w:line="240" w:lineRule="exact"/>
              <w:jc w:val="center"/>
              <w:rPr>
                <w:rFonts w:eastAsia="宋体"/>
                <w:color w:val="000000" w:themeColor="text1"/>
                <w:sz w:val="21"/>
                <w:szCs w:val="21"/>
                <w:highlight w:val="yellow"/>
                <w14:textFill>
                  <w14:solidFill>
                    <w14:schemeClr w14:val="tx1"/>
                  </w14:solidFill>
                </w14:textFill>
              </w:rPr>
            </w:pPr>
            <w:r>
              <w:rPr>
                <w:rFonts w:eastAsia="宋体"/>
                <w:color w:val="000000" w:themeColor="text1"/>
                <w:sz w:val="21"/>
                <w:szCs w:val="21"/>
                <w:highlight w:val="yellow"/>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exact"/>
          <w:jc w:val="center"/>
        </w:trPr>
        <w:tc>
          <w:tcPr>
            <w:tcW w:w="9162" w:type="dxa"/>
            <w:gridSpan w:val="8"/>
            <w:vAlign w:val="center"/>
          </w:tcPr>
          <w:p>
            <w:pPr>
              <w:spacing w:line="240" w:lineRule="exact"/>
              <w:jc w:val="left"/>
              <w:rPr>
                <w:rFonts w:eastAsia="华文中宋"/>
                <w:color w:val="000000" w:themeColor="text1"/>
                <w:sz w:val="21"/>
                <w:szCs w:val="21"/>
                <w14:textFill>
                  <w14:solidFill>
                    <w14:schemeClr w14:val="tx1"/>
                  </w14:solidFill>
                </w14:textFill>
              </w:rPr>
            </w:pPr>
            <w:r>
              <w:rPr>
                <w:rFonts w:eastAsia="黑体"/>
                <w:color w:val="000000" w:themeColor="text1"/>
                <w:sz w:val="21"/>
                <w:szCs w:val="21"/>
                <w14:textFill>
                  <w14:solidFill>
                    <w14:schemeClr w14:val="tx1"/>
                  </w14:solidFill>
                </w14:textFill>
              </w:rPr>
              <w:t>三、人才队伍建设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exact"/>
          <w:jc w:val="center"/>
        </w:trPr>
        <w:tc>
          <w:tcPr>
            <w:tcW w:w="596" w:type="dxa"/>
            <w:gridSpan w:val="2"/>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w:t>
            </w:r>
          </w:p>
        </w:tc>
        <w:tc>
          <w:tcPr>
            <w:tcW w:w="3053" w:type="dxa"/>
            <w:vAlign w:val="center"/>
          </w:tcPr>
          <w:p>
            <w:pPr>
              <w:spacing w:line="240" w:lineRule="exact"/>
              <w:jc w:val="left"/>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专业技术人才总量</w:t>
            </w:r>
          </w:p>
        </w:tc>
        <w:tc>
          <w:tcPr>
            <w:tcW w:w="641" w:type="dxa"/>
            <w:vAlign w:val="center"/>
          </w:tcPr>
          <w:p>
            <w:pPr>
              <w:spacing w:line="240" w:lineRule="exact"/>
              <w:jc w:val="center"/>
              <w:rPr>
                <w:rFonts w:eastAsia="宋体"/>
                <w:color w:val="000000" w:themeColor="text1"/>
                <w:sz w:val="20"/>
                <w:szCs w:val="20"/>
                <w14:textFill>
                  <w14:solidFill>
                    <w14:schemeClr w14:val="tx1"/>
                  </w14:solidFill>
                </w14:textFill>
              </w:rPr>
            </w:pPr>
            <w:r>
              <w:rPr>
                <w:rFonts w:eastAsia="宋体"/>
                <w:color w:val="000000" w:themeColor="text1"/>
                <w:sz w:val="20"/>
                <w:szCs w:val="20"/>
                <w14:textFill>
                  <w14:solidFill>
                    <w14:schemeClr w14:val="tx1"/>
                  </w14:solidFill>
                </w14:textFill>
              </w:rPr>
              <w:t>万人</w:t>
            </w:r>
          </w:p>
        </w:tc>
        <w:tc>
          <w:tcPr>
            <w:tcW w:w="1323" w:type="dxa"/>
            <w:vAlign w:val="center"/>
          </w:tcPr>
          <w:p>
            <w:pPr>
              <w:spacing w:line="240" w:lineRule="exact"/>
              <w:jc w:val="center"/>
              <w:rPr>
                <w:color w:val="000000" w:themeColor="text1"/>
                <w14:textFill>
                  <w14:solidFill>
                    <w14:schemeClr w14:val="tx1"/>
                  </w14:solidFill>
                </w14:textFill>
              </w:rPr>
            </w:pPr>
            <w:r>
              <w:rPr>
                <w:rFonts w:eastAsia="宋体"/>
                <w:color w:val="000000" w:themeColor="text1"/>
                <w:sz w:val="21"/>
                <w:szCs w:val="21"/>
                <w14:textFill>
                  <w14:solidFill>
                    <w14:schemeClr w14:val="tx1"/>
                  </w14:solidFill>
                </w14:textFill>
              </w:rPr>
              <w:t>13.8</w:t>
            </w:r>
          </w:p>
        </w:tc>
        <w:tc>
          <w:tcPr>
            <w:tcW w:w="14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12.24</w:t>
            </w:r>
          </w:p>
        </w:tc>
        <w:tc>
          <w:tcPr>
            <w:tcW w:w="1222"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88</w:t>
            </w:r>
          </w:p>
        </w:tc>
        <w:tc>
          <w:tcPr>
            <w:tcW w:w="904"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596" w:type="dxa"/>
            <w:gridSpan w:val="2"/>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w:t>
            </w:r>
          </w:p>
        </w:tc>
        <w:tc>
          <w:tcPr>
            <w:tcW w:w="3053" w:type="dxa"/>
            <w:vAlign w:val="center"/>
          </w:tcPr>
          <w:p>
            <w:pPr>
              <w:spacing w:line="240" w:lineRule="exact"/>
              <w:jc w:val="left"/>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高、中、初级专业技术人才比例</w:t>
            </w:r>
          </w:p>
        </w:tc>
        <w:tc>
          <w:tcPr>
            <w:tcW w:w="641" w:type="dxa"/>
            <w:vAlign w:val="center"/>
          </w:tcPr>
          <w:p>
            <w:pPr>
              <w:spacing w:line="240" w:lineRule="exact"/>
              <w:jc w:val="center"/>
              <w:rPr>
                <w:rFonts w:eastAsia="宋体"/>
                <w:color w:val="000000" w:themeColor="text1"/>
                <w:sz w:val="20"/>
                <w:szCs w:val="20"/>
                <w14:textFill>
                  <w14:solidFill>
                    <w14:schemeClr w14:val="tx1"/>
                  </w14:solidFill>
                </w14:textFill>
              </w:rPr>
            </w:pPr>
            <w:r>
              <w:rPr>
                <w:rFonts w:eastAsia="宋体"/>
                <w:color w:val="000000" w:themeColor="text1"/>
                <w:sz w:val="20"/>
                <w:szCs w:val="20"/>
                <w14:textFill>
                  <w14:solidFill>
                    <w14:schemeClr w14:val="tx1"/>
                  </w14:solidFill>
                </w14:textFill>
              </w:rPr>
              <w:t>：：</w:t>
            </w:r>
          </w:p>
        </w:tc>
        <w:tc>
          <w:tcPr>
            <w:tcW w:w="13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11.2:48:40.8</w:t>
            </w:r>
          </w:p>
        </w:tc>
        <w:tc>
          <w:tcPr>
            <w:tcW w:w="14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11.2:48:40.8</w:t>
            </w:r>
          </w:p>
        </w:tc>
        <w:tc>
          <w:tcPr>
            <w:tcW w:w="1222" w:type="dxa"/>
            <w:vAlign w:val="center"/>
          </w:tcPr>
          <w:p>
            <w:pPr>
              <w:spacing w:line="240" w:lineRule="exact"/>
              <w:jc w:val="center"/>
              <w:rPr>
                <w:rFonts w:eastAsia="宋体"/>
                <w:spacing w:val="10"/>
                <w:sz w:val="21"/>
                <w:szCs w:val="21"/>
              </w:rPr>
            </w:pPr>
            <w:r>
              <w:rPr>
                <w:rFonts w:hint="eastAsia" w:eastAsia="宋体"/>
                <w:spacing w:val="10"/>
                <w:sz w:val="21"/>
                <w:szCs w:val="21"/>
              </w:rPr>
              <w:t>100</w:t>
            </w:r>
          </w:p>
        </w:tc>
        <w:tc>
          <w:tcPr>
            <w:tcW w:w="904" w:type="dxa"/>
            <w:vAlign w:val="center"/>
          </w:tcPr>
          <w:p>
            <w:pPr>
              <w:spacing w:line="240" w:lineRule="exact"/>
              <w:jc w:val="center"/>
              <w:rPr>
                <w:rFonts w:eastAsia="宋体"/>
                <w:color w:val="000000" w:themeColor="text1"/>
                <w:spacing w:val="-14"/>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exact"/>
          <w:jc w:val="center"/>
        </w:trPr>
        <w:tc>
          <w:tcPr>
            <w:tcW w:w="596" w:type="dxa"/>
            <w:gridSpan w:val="2"/>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w:t>
            </w:r>
          </w:p>
        </w:tc>
        <w:tc>
          <w:tcPr>
            <w:tcW w:w="3053" w:type="dxa"/>
            <w:vAlign w:val="center"/>
          </w:tcPr>
          <w:p>
            <w:pPr>
              <w:spacing w:line="240" w:lineRule="exact"/>
              <w:jc w:val="left"/>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高技能人才占技能人才比例</w:t>
            </w:r>
          </w:p>
        </w:tc>
        <w:tc>
          <w:tcPr>
            <w:tcW w:w="641" w:type="dxa"/>
            <w:vAlign w:val="center"/>
          </w:tcPr>
          <w:p>
            <w:pPr>
              <w:spacing w:line="240" w:lineRule="exact"/>
              <w:jc w:val="center"/>
              <w:rPr>
                <w:rFonts w:eastAsia="宋体"/>
                <w:color w:val="000000" w:themeColor="text1"/>
                <w:sz w:val="20"/>
                <w:szCs w:val="20"/>
                <w14:textFill>
                  <w14:solidFill>
                    <w14:schemeClr w14:val="tx1"/>
                  </w14:solidFill>
                </w14:textFill>
              </w:rPr>
            </w:pPr>
            <w:r>
              <w:rPr>
                <w:rFonts w:eastAsia="宋体"/>
                <w:color w:val="000000" w:themeColor="text1"/>
                <w:sz w:val="20"/>
                <w:szCs w:val="20"/>
                <w14:textFill>
                  <w14:solidFill>
                    <w14:schemeClr w14:val="tx1"/>
                  </w14:solidFill>
                </w14:textFill>
              </w:rPr>
              <w:t>%</w:t>
            </w:r>
          </w:p>
        </w:tc>
        <w:tc>
          <w:tcPr>
            <w:tcW w:w="13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2.7</w:t>
            </w:r>
          </w:p>
        </w:tc>
        <w:tc>
          <w:tcPr>
            <w:tcW w:w="14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2.6</w:t>
            </w:r>
          </w:p>
        </w:tc>
        <w:tc>
          <w:tcPr>
            <w:tcW w:w="1222"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96.30</w:t>
            </w:r>
          </w:p>
        </w:tc>
        <w:tc>
          <w:tcPr>
            <w:tcW w:w="904"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exact"/>
          <w:jc w:val="center"/>
        </w:trPr>
        <w:tc>
          <w:tcPr>
            <w:tcW w:w="9162" w:type="dxa"/>
            <w:gridSpan w:val="8"/>
            <w:vAlign w:val="center"/>
          </w:tcPr>
          <w:p>
            <w:pPr>
              <w:spacing w:line="240" w:lineRule="exact"/>
              <w:jc w:val="left"/>
              <w:rPr>
                <w:rFonts w:eastAsia="华文中宋"/>
                <w:color w:val="000000" w:themeColor="text1"/>
                <w:sz w:val="21"/>
                <w:szCs w:val="21"/>
                <w14:textFill>
                  <w14:solidFill>
                    <w14:schemeClr w14:val="tx1"/>
                  </w14:solidFill>
                </w14:textFill>
              </w:rPr>
            </w:pPr>
            <w:r>
              <w:rPr>
                <w:rFonts w:eastAsia="黑体"/>
                <w:color w:val="000000" w:themeColor="text1"/>
                <w:sz w:val="21"/>
                <w:szCs w:val="21"/>
                <w14:textFill>
                  <w14:solidFill>
                    <w14:schemeClr w14:val="tx1"/>
                  </w14:solidFill>
                </w14:textFill>
              </w:rPr>
              <w:t>四、劳动关系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exact"/>
          <w:jc w:val="center"/>
        </w:trPr>
        <w:tc>
          <w:tcPr>
            <w:tcW w:w="596" w:type="dxa"/>
            <w:gridSpan w:val="2"/>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w:t>
            </w:r>
          </w:p>
        </w:tc>
        <w:tc>
          <w:tcPr>
            <w:tcW w:w="3053" w:type="dxa"/>
            <w:vAlign w:val="center"/>
          </w:tcPr>
          <w:p>
            <w:pPr>
              <w:spacing w:line="240" w:lineRule="exact"/>
              <w:jc w:val="left"/>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企业劳动合同签订率</w:t>
            </w:r>
          </w:p>
        </w:tc>
        <w:tc>
          <w:tcPr>
            <w:tcW w:w="641" w:type="dxa"/>
            <w:vAlign w:val="center"/>
          </w:tcPr>
          <w:p>
            <w:pPr>
              <w:spacing w:line="240" w:lineRule="exact"/>
              <w:jc w:val="center"/>
              <w:rPr>
                <w:rFonts w:eastAsia="宋体"/>
                <w:color w:val="000000" w:themeColor="text1"/>
                <w:sz w:val="20"/>
                <w:szCs w:val="20"/>
                <w14:textFill>
                  <w14:solidFill>
                    <w14:schemeClr w14:val="tx1"/>
                  </w14:solidFill>
                </w14:textFill>
              </w:rPr>
            </w:pPr>
            <w:r>
              <w:rPr>
                <w:rFonts w:eastAsia="宋体"/>
                <w:color w:val="000000" w:themeColor="text1"/>
                <w:sz w:val="20"/>
                <w:szCs w:val="20"/>
                <w14:textFill>
                  <w14:solidFill>
                    <w14:schemeClr w14:val="tx1"/>
                  </w14:solidFill>
                </w14:textFill>
              </w:rPr>
              <w:t>%</w:t>
            </w:r>
          </w:p>
        </w:tc>
        <w:tc>
          <w:tcPr>
            <w:tcW w:w="13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96</w:t>
            </w:r>
          </w:p>
        </w:tc>
        <w:tc>
          <w:tcPr>
            <w:tcW w:w="14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98.5</w:t>
            </w:r>
          </w:p>
        </w:tc>
        <w:tc>
          <w:tcPr>
            <w:tcW w:w="1222"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102.60</w:t>
            </w:r>
          </w:p>
        </w:tc>
        <w:tc>
          <w:tcPr>
            <w:tcW w:w="904"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exact"/>
          <w:jc w:val="center"/>
        </w:trPr>
        <w:tc>
          <w:tcPr>
            <w:tcW w:w="596" w:type="dxa"/>
            <w:gridSpan w:val="2"/>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12</w:t>
            </w:r>
          </w:p>
        </w:tc>
        <w:tc>
          <w:tcPr>
            <w:tcW w:w="3053" w:type="dxa"/>
            <w:vAlign w:val="center"/>
          </w:tcPr>
          <w:p>
            <w:pPr>
              <w:spacing w:line="240" w:lineRule="exact"/>
              <w:jc w:val="left"/>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劳动人事争议调解成功率</w:t>
            </w:r>
          </w:p>
        </w:tc>
        <w:tc>
          <w:tcPr>
            <w:tcW w:w="641" w:type="dxa"/>
            <w:vAlign w:val="center"/>
          </w:tcPr>
          <w:p>
            <w:pPr>
              <w:spacing w:line="240" w:lineRule="exact"/>
              <w:jc w:val="center"/>
              <w:rPr>
                <w:rFonts w:eastAsia="宋体"/>
                <w:color w:val="000000" w:themeColor="text1"/>
                <w:sz w:val="20"/>
                <w:szCs w:val="20"/>
                <w14:textFill>
                  <w14:solidFill>
                    <w14:schemeClr w14:val="tx1"/>
                  </w14:solidFill>
                </w14:textFill>
              </w:rPr>
            </w:pPr>
            <w:r>
              <w:rPr>
                <w:rFonts w:eastAsia="宋体"/>
                <w:color w:val="000000" w:themeColor="text1"/>
                <w:sz w:val="20"/>
                <w:szCs w:val="20"/>
                <w14:textFill>
                  <w14:solidFill>
                    <w14:schemeClr w14:val="tx1"/>
                  </w14:solidFill>
                </w14:textFill>
              </w:rPr>
              <w:t>%</w:t>
            </w:r>
          </w:p>
        </w:tc>
        <w:tc>
          <w:tcPr>
            <w:tcW w:w="13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&gt;60</w:t>
            </w:r>
          </w:p>
        </w:tc>
        <w:tc>
          <w:tcPr>
            <w:tcW w:w="14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80.57</w:t>
            </w:r>
          </w:p>
        </w:tc>
        <w:tc>
          <w:tcPr>
            <w:tcW w:w="1222"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134.28</w:t>
            </w:r>
          </w:p>
        </w:tc>
        <w:tc>
          <w:tcPr>
            <w:tcW w:w="904"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exact"/>
          <w:jc w:val="center"/>
        </w:trPr>
        <w:tc>
          <w:tcPr>
            <w:tcW w:w="596" w:type="dxa"/>
            <w:gridSpan w:val="2"/>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13</w:t>
            </w:r>
          </w:p>
        </w:tc>
        <w:tc>
          <w:tcPr>
            <w:tcW w:w="3053" w:type="dxa"/>
            <w:vAlign w:val="center"/>
          </w:tcPr>
          <w:p>
            <w:pPr>
              <w:spacing w:line="240" w:lineRule="exact"/>
              <w:jc w:val="left"/>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劳动人事争议仲裁结案率</w:t>
            </w:r>
          </w:p>
        </w:tc>
        <w:tc>
          <w:tcPr>
            <w:tcW w:w="641" w:type="dxa"/>
            <w:vAlign w:val="center"/>
          </w:tcPr>
          <w:p>
            <w:pPr>
              <w:spacing w:line="240" w:lineRule="exact"/>
              <w:jc w:val="center"/>
              <w:rPr>
                <w:rFonts w:eastAsia="宋体"/>
                <w:color w:val="000000" w:themeColor="text1"/>
                <w:sz w:val="20"/>
                <w:szCs w:val="20"/>
                <w14:textFill>
                  <w14:solidFill>
                    <w14:schemeClr w14:val="tx1"/>
                  </w14:solidFill>
                </w14:textFill>
              </w:rPr>
            </w:pPr>
            <w:r>
              <w:rPr>
                <w:rFonts w:eastAsia="宋体"/>
                <w:color w:val="000000" w:themeColor="text1"/>
                <w:sz w:val="20"/>
                <w:szCs w:val="20"/>
                <w14:textFill>
                  <w14:solidFill>
                    <w14:schemeClr w14:val="tx1"/>
                  </w14:solidFill>
                </w14:textFill>
              </w:rPr>
              <w:t>%</w:t>
            </w:r>
          </w:p>
        </w:tc>
        <w:tc>
          <w:tcPr>
            <w:tcW w:w="13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&gt;90</w:t>
            </w:r>
          </w:p>
        </w:tc>
        <w:tc>
          <w:tcPr>
            <w:tcW w:w="14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100</w:t>
            </w:r>
          </w:p>
        </w:tc>
        <w:tc>
          <w:tcPr>
            <w:tcW w:w="1222"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111</w:t>
            </w:r>
          </w:p>
        </w:tc>
        <w:tc>
          <w:tcPr>
            <w:tcW w:w="904"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jc w:val="center"/>
        </w:trPr>
        <w:tc>
          <w:tcPr>
            <w:tcW w:w="596" w:type="dxa"/>
            <w:gridSpan w:val="2"/>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14</w:t>
            </w:r>
          </w:p>
        </w:tc>
        <w:tc>
          <w:tcPr>
            <w:tcW w:w="3053" w:type="dxa"/>
            <w:vAlign w:val="center"/>
          </w:tcPr>
          <w:p>
            <w:pPr>
              <w:spacing w:line="240" w:lineRule="exact"/>
              <w:jc w:val="left"/>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劳动保障监察举报投诉案件结案率</w:t>
            </w:r>
          </w:p>
        </w:tc>
        <w:tc>
          <w:tcPr>
            <w:tcW w:w="641" w:type="dxa"/>
            <w:vAlign w:val="center"/>
          </w:tcPr>
          <w:p>
            <w:pPr>
              <w:spacing w:line="240" w:lineRule="exact"/>
              <w:jc w:val="center"/>
              <w:rPr>
                <w:rFonts w:eastAsia="宋体"/>
                <w:color w:val="000000" w:themeColor="text1"/>
                <w:sz w:val="20"/>
                <w:szCs w:val="20"/>
                <w14:textFill>
                  <w14:solidFill>
                    <w14:schemeClr w14:val="tx1"/>
                  </w14:solidFill>
                </w14:textFill>
              </w:rPr>
            </w:pPr>
            <w:r>
              <w:rPr>
                <w:rFonts w:eastAsia="宋体"/>
                <w:color w:val="000000" w:themeColor="text1"/>
                <w:sz w:val="20"/>
                <w:szCs w:val="20"/>
                <w14:textFill>
                  <w14:solidFill>
                    <w14:schemeClr w14:val="tx1"/>
                  </w14:solidFill>
                </w14:textFill>
              </w:rPr>
              <w:t>%</w:t>
            </w:r>
          </w:p>
        </w:tc>
        <w:tc>
          <w:tcPr>
            <w:tcW w:w="13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98</w:t>
            </w:r>
          </w:p>
        </w:tc>
        <w:tc>
          <w:tcPr>
            <w:tcW w:w="14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99.67</w:t>
            </w:r>
          </w:p>
        </w:tc>
        <w:tc>
          <w:tcPr>
            <w:tcW w:w="1222"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101.7</w:t>
            </w:r>
          </w:p>
        </w:tc>
        <w:tc>
          <w:tcPr>
            <w:tcW w:w="904"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9162" w:type="dxa"/>
            <w:gridSpan w:val="8"/>
            <w:vAlign w:val="center"/>
          </w:tcPr>
          <w:p>
            <w:pPr>
              <w:spacing w:line="240" w:lineRule="exact"/>
              <w:jc w:val="left"/>
              <w:rPr>
                <w:rFonts w:eastAsia="宋体"/>
                <w:color w:val="000000" w:themeColor="text1"/>
                <w:sz w:val="21"/>
                <w:szCs w:val="21"/>
                <w14:textFill>
                  <w14:solidFill>
                    <w14:schemeClr w14:val="tx1"/>
                  </w14:solidFill>
                </w14:textFill>
              </w:rPr>
            </w:pPr>
            <w:r>
              <w:rPr>
                <w:rFonts w:eastAsia="黑体"/>
                <w:color w:val="000000" w:themeColor="text1"/>
                <w:sz w:val="21"/>
                <w:szCs w:val="21"/>
                <w14:textFill>
                  <w14:solidFill>
                    <w14:schemeClr w14:val="tx1"/>
                  </w14:solidFill>
                </w14:textFill>
              </w:rPr>
              <w:t>五、公共服务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596" w:type="dxa"/>
            <w:gridSpan w:val="2"/>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15</w:t>
            </w:r>
          </w:p>
        </w:tc>
        <w:tc>
          <w:tcPr>
            <w:tcW w:w="3053" w:type="dxa"/>
            <w:vAlign w:val="center"/>
          </w:tcPr>
          <w:p>
            <w:pPr>
              <w:spacing w:line="240" w:lineRule="exact"/>
              <w:jc w:val="left"/>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社会保障卡持卡人口覆盖率</w:t>
            </w:r>
          </w:p>
        </w:tc>
        <w:tc>
          <w:tcPr>
            <w:tcW w:w="641"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0"/>
                <w:szCs w:val="20"/>
                <w14:textFill>
                  <w14:solidFill>
                    <w14:schemeClr w14:val="tx1"/>
                  </w14:solidFill>
                </w14:textFill>
              </w:rPr>
              <w:t>%</w:t>
            </w:r>
          </w:p>
        </w:tc>
        <w:tc>
          <w:tcPr>
            <w:tcW w:w="13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85</w:t>
            </w:r>
          </w:p>
        </w:tc>
        <w:tc>
          <w:tcPr>
            <w:tcW w:w="1423"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85</w:t>
            </w:r>
          </w:p>
        </w:tc>
        <w:tc>
          <w:tcPr>
            <w:tcW w:w="1222"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100</w:t>
            </w:r>
          </w:p>
        </w:tc>
        <w:tc>
          <w:tcPr>
            <w:tcW w:w="904" w:type="dxa"/>
            <w:vAlign w:val="center"/>
          </w:tcPr>
          <w:p>
            <w:pPr>
              <w:spacing w:line="240" w:lineRule="exact"/>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exact"/>
          <w:jc w:val="center"/>
        </w:trPr>
        <w:tc>
          <w:tcPr>
            <w:tcW w:w="9162" w:type="dxa"/>
            <w:gridSpan w:val="8"/>
            <w:tcBorders>
              <w:left w:val="nil"/>
              <w:bottom w:val="nil"/>
              <w:right w:val="nil"/>
            </w:tcBorders>
            <w:vAlign w:val="center"/>
          </w:tcPr>
          <w:p>
            <w:pPr>
              <w:rPr>
                <w:rFonts w:eastAsia="楷体"/>
                <w:color w:val="000000" w:themeColor="text1"/>
                <w:sz w:val="21"/>
                <w:szCs w:val="21"/>
                <w14:textFill>
                  <w14:solidFill>
                    <w14:schemeClr w14:val="tx1"/>
                  </w14:solidFill>
                </w14:textFill>
              </w:rPr>
            </w:pPr>
            <w:r>
              <w:rPr>
                <w:rFonts w:eastAsia="楷体"/>
                <w:color w:val="000000" w:themeColor="text1"/>
                <w:sz w:val="21"/>
                <w:szCs w:val="21"/>
                <w14:textFill>
                  <w14:solidFill>
                    <w14:schemeClr w14:val="tx1"/>
                  </w14:solidFill>
                </w14:textFill>
              </w:rPr>
              <w:t>注：[  ]为5年累计数</w:t>
            </w:r>
          </w:p>
        </w:tc>
      </w:tr>
    </w:tbl>
    <w:p>
      <w:bookmarkStart w:id="6" w:name="_Toc24384"/>
    </w:p>
    <w:p>
      <w:pPr>
        <w:pStyle w:val="2"/>
        <w:spacing w:line="240" w:lineRule="auto"/>
        <w:rPr>
          <w:rFonts w:ascii="黑体" w:hAnsi="黑体" w:eastAsia="黑体" w:cs="黑体"/>
          <w:b w:val="0"/>
          <w:bCs/>
          <w:color w:val="000000" w:themeColor="text1"/>
          <w14:textFill>
            <w14:solidFill>
              <w14:schemeClr w14:val="tx1"/>
            </w14:solidFill>
          </w14:textFill>
        </w:rPr>
      </w:pPr>
      <w:bookmarkStart w:id="7" w:name="_Toc93738248"/>
      <w:r>
        <w:rPr>
          <w:rFonts w:hint="eastAsia" w:ascii="黑体" w:hAnsi="黑体" w:eastAsia="黑体" w:cs="黑体"/>
          <w:b w:val="0"/>
          <w:bCs/>
          <w:color w:val="000000" w:themeColor="text1"/>
          <w14:textFill>
            <w14:solidFill>
              <w14:schemeClr w14:val="tx1"/>
            </w14:solidFill>
          </w14:textFill>
        </w:rPr>
        <w:t>第二节 机遇挑战</w:t>
      </w:r>
      <w:bookmarkEnd w:id="6"/>
      <w:bookmarkEnd w:id="7"/>
    </w:p>
    <w:p>
      <w:pPr>
        <w:spacing w:line="580" w:lineRule="exact"/>
        <w:rPr>
          <w:rFonts w:eastAsia="方正仿宋简体"/>
          <w:color w:val="000000" w:themeColor="text1"/>
          <w14:textFill>
            <w14:solidFill>
              <w14:schemeClr w14:val="tx1"/>
            </w14:solidFill>
          </w14:textFill>
        </w:rPr>
      </w:pPr>
      <w:r>
        <w:rPr>
          <w:rFonts w:eastAsia="方正仿宋简体"/>
          <w:color w:val="000000" w:themeColor="text1"/>
          <w14:textFill>
            <w14:solidFill>
              <w14:schemeClr w14:val="tx1"/>
            </w14:solidFill>
          </w14:textFill>
        </w:rPr>
        <w:t xml:space="preserve">    “十四五”时期，五华</w:t>
      </w:r>
      <w:r>
        <w:rPr>
          <w:rFonts w:hint="eastAsia" w:eastAsia="方正仿宋简体"/>
          <w:color w:val="000000" w:themeColor="text1"/>
          <w14:textFill>
            <w14:solidFill>
              <w14:schemeClr w14:val="tx1"/>
            </w14:solidFill>
          </w14:textFill>
        </w:rPr>
        <w:t>县</w:t>
      </w:r>
      <w:r>
        <w:rPr>
          <w:rFonts w:eastAsia="方正仿宋简体"/>
          <w:color w:val="000000" w:themeColor="text1"/>
          <w14:textFill>
            <w14:solidFill>
              <w14:schemeClr w14:val="tx1"/>
            </w14:solidFill>
          </w14:textFill>
        </w:rPr>
        <w:t>将在全面建成小康社会的基础上，开启全面建设社会主义现代化城市的新征程。在全球格局加快重塑，疫情防控常态化的时代背景下，我县经济社会发展将呈现新的阶段性特征，人力资源和社会保障事业发展环境也在发生变化，新挑战与新机遇并存。</w:t>
      </w:r>
    </w:p>
    <w:p>
      <w:pPr>
        <w:pStyle w:val="55"/>
        <w:spacing w:line="580" w:lineRule="exact"/>
        <w:ind w:firstLine="640" w:firstLineChars="200"/>
        <w:rPr>
          <w:rFonts w:ascii="黑体" w:hAnsi="黑体" w:eastAsia="黑体" w:cs="黑体"/>
          <w:b w:val="0"/>
          <w:bCs/>
          <w:color w:val="000000" w:themeColor="text1"/>
          <w14:textFill>
            <w14:solidFill>
              <w14:schemeClr w14:val="tx1"/>
            </w14:solidFill>
          </w14:textFill>
        </w:rPr>
      </w:pPr>
      <w:bookmarkStart w:id="8" w:name="_Toc30188"/>
      <w:r>
        <w:rPr>
          <w:rFonts w:hint="eastAsia" w:ascii="黑体" w:hAnsi="黑体" w:eastAsia="黑体" w:cs="黑体"/>
          <w:b w:val="0"/>
          <w:bCs/>
          <w:color w:val="000000" w:themeColor="text1"/>
          <w14:textFill>
            <w14:solidFill>
              <w14:schemeClr w14:val="tx1"/>
            </w14:solidFill>
          </w14:textFill>
        </w:rPr>
        <w:t>一、重要机遇</w:t>
      </w:r>
      <w:bookmarkEnd w:id="8"/>
    </w:p>
    <w:p>
      <w:pPr>
        <w:spacing w:line="580" w:lineRule="exact"/>
        <w:ind w:firstLine="640" w:firstLineChars="200"/>
        <w:rPr>
          <w:rFonts w:eastAsia="方正仿宋简体"/>
          <w:color w:val="000000" w:themeColor="text1"/>
          <w14:textFill>
            <w14:solidFill>
              <w14:schemeClr w14:val="tx1"/>
            </w14:solidFill>
          </w14:textFill>
        </w:rPr>
      </w:pPr>
      <w:r>
        <w:rPr>
          <w:rFonts w:eastAsia="方正仿宋简体"/>
          <w:bCs/>
          <w:color w:val="000000" w:themeColor="text1"/>
          <w14:textFill>
            <w14:solidFill>
              <w14:schemeClr w14:val="tx1"/>
            </w14:solidFill>
          </w14:textFill>
        </w:rPr>
        <w:t>中央、省、市、县高度重视，为事业发展提供强大内生动力。党的</w:t>
      </w:r>
      <w:r>
        <w:rPr>
          <w:rFonts w:eastAsia="方正仿宋简体"/>
          <w:color w:val="000000" w:themeColor="text1"/>
          <w14:textFill>
            <w14:solidFill>
              <w14:schemeClr w14:val="tx1"/>
            </w14:solidFill>
          </w14:textFill>
        </w:rPr>
        <w:t>十九大报告把“坚持在发展中保障和改善民生”作为十四条国家发展基本方略之一。2018年和2020年中央政治局会议分别提出“六稳”和“六保”方针，就业均是摆在首要位置。2020年7月中央政治局会议提出“要做好民生保障，做好困难群众基本生活保障工作，采取有效措施缓解疫情对青年人就业影响，强化外出农民工就业服务，引导返乡农民工就近就业”，为疫情防控常态化背景下人社工作指明重点。</w:t>
      </w:r>
      <w:r>
        <w:rPr>
          <w:rFonts w:hint="eastAsia" w:eastAsia="方正仿宋简体"/>
          <w:color w:val="000000" w:themeColor="text1"/>
          <w14:textFill>
            <w14:solidFill>
              <w14:schemeClr w14:val="tx1"/>
            </w14:solidFill>
          </w14:textFill>
        </w:rPr>
        <w:t>按照省委、市委工作部署，立足生态发展区位定位，狠抓发展第一要务，突出实体经济、乡村振兴两大重点，推进重点民生建设，强化人才队伍保障。</w:t>
      </w:r>
      <w:r>
        <w:rPr>
          <w:rFonts w:eastAsia="方正仿宋简体"/>
          <w:color w:val="000000" w:themeColor="text1"/>
          <w14:textFill>
            <w14:solidFill>
              <w14:schemeClr w14:val="tx1"/>
            </w14:solidFill>
          </w14:textFill>
        </w:rPr>
        <w:t>县委提</w:t>
      </w:r>
      <w:r>
        <w:rPr>
          <w:rFonts w:eastAsia="方正仿宋简体"/>
        </w:rPr>
        <w:t>出高质量构建“一城两带四区”发展新格局，打造业兴人和、长治民乐的“工匠之乡</w:t>
      </w:r>
      <w:r>
        <w:rPr>
          <w:rFonts w:hint="eastAsia" w:eastAsia="方正仿宋简体"/>
        </w:rPr>
        <w:t>·</w:t>
      </w:r>
      <w:r>
        <w:rPr>
          <w:rFonts w:eastAsia="方正仿宋简体"/>
        </w:rPr>
        <w:t>宜居五华”的发展思路</w:t>
      </w:r>
      <w:r>
        <w:rPr>
          <w:rFonts w:eastAsia="方正仿宋简体"/>
          <w:color w:val="000000" w:themeColor="text1"/>
          <w14:textFill>
            <w14:solidFill>
              <w14:schemeClr w14:val="tx1"/>
            </w14:solidFill>
          </w14:textFill>
        </w:rPr>
        <w:t>，争当生态发展区建设的先行示范县</w:t>
      </w:r>
      <w:r>
        <w:rPr>
          <w:rFonts w:hint="eastAsia" w:eastAsia="方正仿宋简体"/>
          <w:color w:val="000000" w:themeColor="text1"/>
          <w14:textFill>
            <w14:solidFill>
              <w14:schemeClr w14:val="tx1"/>
            </w14:solidFill>
          </w14:textFill>
        </w:rPr>
        <w:t>，</w:t>
      </w:r>
      <w:r>
        <w:rPr>
          <w:rFonts w:eastAsia="方正仿宋简体"/>
          <w:color w:val="000000" w:themeColor="text1"/>
          <w14:textFill>
            <w14:solidFill>
              <w14:schemeClr w14:val="tx1"/>
            </w14:solidFill>
          </w14:textFill>
        </w:rPr>
        <w:t>为我县人力资源和社会保障事业的发展提供了坚强的政治基础。</w:t>
      </w:r>
    </w:p>
    <w:p>
      <w:pPr>
        <w:spacing w:line="580" w:lineRule="exact"/>
        <w:ind w:firstLine="640" w:firstLineChars="200"/>
        <w:rPr>
          <w:rFonts w:eastAsia="方正仿宋简体"/>
          <w:color w:val="000000" w:themeColor="text1"/>
          <w14:textFill>
            <w14:solidFill>
              <w14:schemeClr w14:val="tx1"/>
            </w14:solidFill>
          </w14:textFill>
        </w:rPr>
      </w:pPr>
      <w:r>
        <w:rPr>
          <w:rFonts w:eastAsia="方正仿宋简体"/>
          <w:bCs/>
          <w:color w:val="000000" w:themeColor="text1"/>
          <w14:textFill>
            <w14:solidFill>
              <w14:schemeClr w14:val="tx1"/>
            </w14:solidFill>
          </w14:textFill>
        </w:rPr>
        <w:t>我省促进区域协调发展面临重大机遇，为事业发展孕育新动力。我省经济总量大、产业体系完备、财政实力雄厚，2019年省委省政府印发《关于构建“一核一带一区”区域发展新格局促进全省区域协调发展的意见》</w:t>
      </w:r>
      <w:r>
        <w:rPr>
          <w:rFonts w:eastAsia="方正仿宋简体"/>
          <w:color w:val="000000" w:themeColor="text1"/>
          <w14:textFill>
            <w14:solidFill>
              <w14:schemeClr w14:val="tx1"/>
            </w14:solidFill>
          </w14:textFill>
        </w:rPr>
        <w:t>，大力实施粤东西北地区振兴发展和区域协调发展战略，同时我们正迎来粤港澳大湾区建设、支持深圳建设先行示范区、支持广州实现老城市新活力的重大历史机遇。全省推动老区苏区振兴发展工作现场会和《广东省促进革命老区发展条例》，以及《广州市对口帮扶梅州市助推老区苏区振兴发展规划（2019—2025年）》</w:t>
      </w:r>
      <w:r>
        <w:rPr>
          <w:rFonts w:hint="eastAsia" w:eastAsia="方正仿宋简体"/>
          <w:color w:val="000000" w:themeColor="text1"/>
          <w14:textFill>
            <w14:solidFill>
              <w14:schemeClr w14:val="tx1"/>
            </w14:solidFill>
          </w14:textFill>
        </w:rPr>
        <w:t>的出台</w:t>
      </w:r>
      <w:r>
        <w:rPr>
          <w:rFonts w:eastAsia="方正仿宋简体"/>
          <w:color w:val="000000" w:themeColor="text1"/>
          <w14:textFill>
            <w14:solidFill>
              <w14:schemeClr w14:val="tx1"/>
            </w14:solidFill>
          </w14:textFill>
        </w:rPr>
        <w:t>，为五华发展提供了有力支持、注入了强大推力。</w:t>
      </w:r>
    </w:p>
    <w:p>
      <w:pPr>
        <w:spacing w:line="580" w:lineRule="exact"/>
        <w:ind w:firstLine="640" w:firstLineChars="200"/>
        <w:rPr>
          <w:rFonts w:eastAsia="方正仿宋简体"/>
          <w:b/>
          <w:color w:val="000000" w:themeColor="text1"/>
          <w14:textFill>
            <w14:solidFill>
              <w14:schemeClr w14:val="tx1"/>
            </w14:solidFill>
          </w14:textFill>
        </w:rPr>
      </w:pPr>
      <w:r>
        <w:rPr>
          <w:rFonts w:eastAsia="方正仿宋简体"/>
          <w:bCs/>
          <w:color w:val="000000" w:themeColor="text1"/>
          <w14:textFill>
            <w14:solidFill>
              <w14:schemeClr w14:val="tx1"/>
            </w14:solidFill>
          </w14:textFill>
        </w:rPr>
        <w:t>人力资源和社会保障政策法规日趋完善，为事业的发展提供稳固的制度基础。从中央到省、市一系列人力资源社会保障政策法规的密集出台</w:t>
      </w:r>
      <w:r>
        <w:rPr>
          <w:rFonts w:eastAsia="方正仿宋简体"/>
          <w:color w:val="000000" w:themeColor="text1"/>
          <w14:textFill>
            <w14:solidFill>
              <w14:schemeClr w14:val="tx1"/>
            </w14:solidFill>
          </w14:textFill>
        </w:rPr>
        <w:t>，人力资源社会保障制度体系结构和职能不断完善，为</w:t>
      </w:r>
      <w:r>
        <w:rPr>
          <w:rFonts w:eastAsia="方正仿宋简体"/>
          <w:color w:val="000000" w:themeColor="text1"/>
          <w:kern w:val="0"/>
          <w14:textFill>
            <w14:solidFill>
              <w14:schemeClr w14:val="tx1"/>
            </w14:solidFill>
          </w14:textFill>
        </w:rPr>
        <w:t>我县人力资源社会保障事业</w:t>
      </w:r>
      <w:r>
        <w:rPr>
          <w:rFonts w:eastAsia="方正仿宋简体"/>
          <w:color w:val="000000" w:themeColor="text1"/>
          <w14:textFill>
            <w14:solidFill>
              <w14:schemeClr w14:val="tx1"/>
            </w14:solidFill>
          </w14:textFill>
        </w:rPr>
        <w:t>的科学发展构建了稳固的制度基础。</w:t>
      </w:r>
      <w:r>
        <w:rPr>
          <w:rFonts w:eastAsia="方正仿宋简体"/>
          <w:color w:val="000000" w:themeColor="text1"/>
          <w:kern w:val="0"/>
          <w14:textFill>
            <w14:solidFill>
              <w14:schemeClr w14:val="tx1"/>
            </w14:solidFill>
          </w14:textFill>
        </w:rPr>
        <w:t>经过多年的探索改革创新，我县人社部门已经建立了一套规范的行政管理体系，练就了一支素质优良、纪律严明、精通业务的工作队伍，能深入理解人社政策和相关法规内涵、能准确把握人社工作发展规律，为我县人力资源社会保障事业健康发展提供了良好的内生保障。</w:t>
      </w:r>
    </w:p>
    <w:p>
      <w:pPr>
        <w:pStyle w:val="55"/>
        <w:spacing w:line="580" w:lineRule="exact"/>
        <w:ind w:firstLine="640" w:firstLineChars="200"/>
        <w:rPr>
          <w:rFonts w:ascii="黑体" w:hAnsi="黑体" w:eastAsia="黑体" w:cs="黑体"/>
          <w:b w:val="0"/>
          <w:bCs/>
          <w:color w:val="000000" w:themeColor="text1"/>
          <w14:textFill>
            <w14:solidFill>
              <w14:schemeClr w14:val="tx1"/>
            </w14:solidFill>
          </w14:textFill>
        </w:rPr>
      </w:pPr>
      <w:bookmarkStart w:id="9" w:name="_Toc22140"/>
      <w:r>
        <w:rPr>
          <w:rFonts w:hint="eastAsia" w:ascii="黑体" w:hAnsi="黑体" w:eastAsia="黑体" w:cs="黑体"/>
          <w:b w:val="0"/>
          <w:bCs/>
          <w:color w:val="000000" w:themeColor="text1"/>
          <w14:textFill>
            <w14:solidFill>
              <w14:schemeClr w14:val="tx1"/>
            </w14:solidFill>
          </w14:textFill>
        </w:rPr>
        <w:t>二、主要挑战</w:t>
      </w:r>
      <w:bookmarkEnd w:id="9"/>
      <w:r>
        <w:rPr>
          <w:rFonts w:hint="eastAsia" w:ascii="黑体" w:hAnsi="黑体" w:eastAsia="黑体" w:cs="黑体"/>
          <w:b w:val="0"/>
          <w:bCs/>
          <w:color w:val="000000" w:themeColor="text1"/>
          <w14:textFill>
            <w14:solidFill>
              <w14:schemeClr w14:val="tx1"/>
            </w14:solidFill>
          </w14:textFill>
        </w:rPr>
        <w:t xml:space="preserve"> </w:t>
      </w:r>
    </w:p>
    <w:p>
      <w:pPr>
        <w:spacing w:line="580" w:lineRule="exact"/>
        <w:ind w:firstLine="648"/>
        <w:rPr>
          <w:rFonts w:eastAsia="方正仿宋简体"/>
          <w:color w:val="000000" w:themeColor="text1"/>
          <w14:textFill>
            <w14:solidFill>
              <w14:schemeClr w14:val="tx1"/>
            </w14:solidFill>
          </w14:textFill>
        </w:rPr>
      </w:pPr>
      <w:r>
        <w:rPr>
          <w:rFonts w:eastAsia="方正仿宋简体"/>
          <w:color w:val="000000" w:themeColor="text1"/>
          <w14:textFill>
            <w14:solidFill>
              <w14:schemeClr w14:val="tx1"/>
            </w14:solidFill>
          </w14:textFill>
        </w:rPr>
        <w:t>“十四五”时期，国内外发展环境更加错综复杂，新冠肺炎疫情全球大流行对世界经济带来巨大冲击。2020年7月中央政治局会议指出“当前经济形势仍然复杂严峻，不稳定性不确定性较大，我们遇到的很多问题是中长期的，必须从持久战的角度加以认识，加快形成以国内大循环为主体、国内国际双循环相互促进的新发展格局”。在国家重大的战略调整期，人力资源和社会保障工作改善民生、维护稳定的责任更加凸显，服务经济社会发展的工作也需要更加积极主动。我县人力资源和社会保障工作面临新形势、新挑战：</w:t>
      </w:r>
    </w:p>
    <w:p>
      <w:pPr>
        <w:spacing w:line="580" w:lineRule="exact"/>
        <w:ind w:firstLine="648"/>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经济社会发展不充分依然是突出的短板。一是</w:t>
      </w:r>
      <w:r>
        <w:rPr>
          <w:rFonts w:eastAsia="方正仿宋简体"/>
          <w:color w:val="000000" w:themeColor="text1"/>
          <w14:textFill>
            <w14:solidFill>
              <w14:schemeClr w14:val="tx1"/>
            </w14:solidFill>
          </w14:textFill>
        </w:rPr>
        <w:t>经济下行压力加大。传统消费进入瓶颈期，固定资产投资增长乏力，传统出口商品受市场冲击较大。</w:t>
      </w:r>
      <w:r>
        <w:rPr>
          <w:rFonts w:eastAsia="方正仿宋简体"/>
          <w:b/>
          <w:color w:val="000000" w:themeColor="text1"/>
          <w14:textFill>
            <w14:solidFill>
              <w14:schemeClr w14:val="tx1"/>
            </w14:solidFill>
          </w14:textFill>
        </w:rPr>
        <w:t>二是</w:t>
      </w:r>
      <w:r>
        <w:rPr>
          <w:rFonts w:eastAsia="方正仿宋简体"/>
          <w:color w:val="000000" w:themeColor="text1"/>
          <w14:textFill>
            <w14:solidFill>
              <w14:schemeClr w14:val="tx1"/>
            </w14:solidFill>
          </w14:textFill>
        </w:rPr>
        <w:t>发展平台和要素保障不足。目前全县尚无国家级发展平台，缺乏优质投资项目。</w:t>
      </w:r>
      <w:r>
        <w:rPr>
          <w:rFonts w:eastAsia="方正仿宋简体"/>
          <w:b/>
          <w:color w:val="000000" w:themeColor="text1"/>
          <w14:textFill>
            <w14:solidFill>
              <w14:schemeClr w14:val="tx1"/>
            </w14:solidFill>
          </w14:textFill>
        </w:rPr>
        <w:t>三是</w:t>
      </w:r>
      <w:r>
        <w:rPr>
          <w:rFonts w:eastAsia="方正仿宋简体"/>
          <w:color w:val="000000" w:themeColor="text1"/>
          <w14:textFill>
            <w14:solidFill>
              <w14:schemeClr w14:val="tx1"/>
            </w14:solidFill>
          </w14:textFill>
        </w:rPr>
        <w:t>财政收支矛盾突出。财政减收因素较多，地方造血型项目不足。农村集体经济收入偏低，城乡基本公共服务水平与群众期望相比仍有不小差距。“十四五”时期，是我县经济结构转型和发展方式转变的关键时期，经济增速放缓与结构优化并存，我县的就业创业工作任务将更加艰巨。</w:t>
      </w:r>
      <w:bookmarkStart w:id="10" w:name="_Toc24638"/>
    </w:p>
    <w:p>
      <w:pPr>
        <w:spacing w:line="580" w:lineRule="exact"/>
        <w:ind w:firstLine="648"/>
        <w:rPr>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人口形势面临老龄化与净流出的双重挑战。</w:t>
      </w:r>
      <w:r>
        <w:rPr>
          <w:rFonts w:eastAsia="方正仿宋简体"/>
          <w:color w:val="000000" w:themeColor="text1"/>
          <w14:textFill>
            <w14:solidFill>
              <w14:schemeClr w14:val="tx1"/>
            </w14:solidFill>
          </w14:textFill>
        </w:rPr>
        <w:t>我县2015年60岁以上人口为16.71万人，人口净流出数为38. 30万人，到2019年60岁以上人口为18.65万人，人口净流出数为43.16万人。从发展趋势看我县老龄化进程加快，一方面年轻劳动力的净流出逐年增加，</w:t>
      </w:r>
      <w:r>
        <w:rPr>
          <w:rFonts w:hint="eastAsia" w:eastAsia="方正仿宋简体"/>
          <w:color w:val="000000" w:themeColor="text1"/>
          <w14:textFill>
            <w14:solidFill>
              <w14:schemeClr w14:val="tx1"/>
            </w14:solidFill>
          </w14:textFill>
        </w:rPr>
        <w:t>导致</w:t>
      </w:r>
      <w:r>
        <w:rPr>
          <w:rFonts w:eastAsia="方正仿宋简体"/>
          <w:color w:val="000000" w:themeColor="text1"/>
          <w14:textFill>
            <w14:solidFill>
              <w14:schemeClr w14:val="tx1"/>
            </w14:solidFill>
          </w14:textFill>
        </w:rPr>
        <w:t>社会保障和公共服务压力</w:t>
      </w:r>
      <w:r>
        <w:rPr>
          <w:rFonts w:hint="eastAsia" w:eastAsia="方正仿宋简体"/>
          <w:color w:val="000000" w:themeColor="text1"/>
          <w14:textFill>
            <w14:solidFill>
              <w14:schemeClr w14:val="tx1"/>
            </w14:solidFill>
          </w14:textFill>
        </w:rPr>
        <w:t>增大；</w:t>
      </w:r>
      <w:r>
        <w:rPr>
          <w:rFonts w:eastAsia="方正仿宋简体"/>
          <w:color w:val="000000" w:themeColor="text1"/>
          <w14:textFill>
            <w14:solidFill>
              <w14:schemeClr w14:val="tx1"/>
            </w14:solidFill>
          </w14:textFill>
        </w:rPr>
        <w:t>另一方面会影响社会活力、创新动力和经济潜在增长力。“十四五”期间，如何促进我县户籍人口本地就业、保障劳动力资源有效供给、引导人才与产业布局有效对接、确保社会保险基金的可持续运行成为人力资源和社会保障事业发展的新挑战。</w:t>
      </w:r>
    </w:p>
    <w:p>
      <w:pPr>
        <w:pStyle w:val="3"/>
        <w:spacing w:line="560" w:lineRule="exact"/>
        <w:rPr>
          <w:rFonts w:ascii="方正小标宋简体" w:hAnsi="方正小标宋简体" w:eastAsia="方正小标宋简体" w:cs="方正小标宋简体"/>
          <w:b w:val="0"/>
          <w:bCs/>
          <w:color w:val="000000" w:themeColor="text1"/>
          <w14:textFill>
            <w14:solidFill>
              <w14:schemeClr w14:val="tx1"/>
            </w14:solidFill>
          </w14:textFill>
        </w:rPr>
      </w:pPr>
      <w:bookmarkStart w:id="11" w:name="_Toc93738249"/>
      <w:r>
        <w:rPr>
          <w:rFonts w:hint="eastAsia" w:ascii="方正小标宋简体" w:hAnsi="方正小标宋简体" w:eastAsia="方正小标宋简体" w:cs="方正小标宋简体"/>
          <w:b w:val="0"/>
          <w:bCs/>
          <w:color w:val="000000" w:themeColor="text1"/>
          <w14:textFill>
            <w14:solidFill>
              <w14:schemeClr w14:val="tx1"/>
            </w14:solidFill>
          </w14:textFill>
        </w:rPr>
        <w:t xml:space="preserve">第二章 </w:t>
      </w:r>
      <w:bookmarkEnd w:id="10"/>
      <w:r>
        <w:rPr>
          <w:rFonts w:hint="eastAsia" w:ascii="方正小标宋简体" w:hAnsi="方正小标宋简体" w:eastAsia="方正小标宋简体" w:cs="方正小标宋简体"/>
          <w:b w:val="0"/>
          <w:bCs/>
          <w:color w:val="000000" w:themeColor="text1"/>
          <w14:textFill>
            <w14:solidFill>
              <w14:schemeClr w14:val="tx1"/>
            </w14:solidFill>
          </w14:textFill>
        </w:rPr>
        <w:t>发展方向与目标</w:t>
      </w:r>
      <w:bookmarkEnd w:id="11"/>
    </w:p>
    <w:p>
      <w:pPr>
        <w:pStyle w:val="2"/>
        <w:spacing w:line="560" w:lineRule="exact"/>
        <w:rPr>
          <w:rFonts w:ascii="黑体" w:hAnsi="黑体" w:eastAsia="黑体" w:cs="黑体"/>
          <w:b w:val="0"/>
          <w:bCs/>
          <w:color w:val="000000" w:themeColor="text1"/>
          <w14:textFill>
            <w14:solidFill>
              <w14:schemeClr w14:val="tx1"/>
            </w14:solidFill>
          </w14:textFill>
        </w:rPr>
      </w:pPr>
      <w:bookmarkStart w:id="12" w:name="_Toc13585"/>
      <w:bookmarkStart w:id="13" w:name="_Toc93738250"/>
      <w:r>
        <w:rPr>
          <w:rFonts w:hint="eastAsia" w:ascii="黑体" w:hAnsi="黑体" w:eastAsia="黑体" w:cs="黑体"/>
          <w:b w:val="0"/>
          <w:bCs/>
          <w:color w:val="000000" w:themeColor="text1"/>
          <w14:textFill>
            <w14:solidFill>
              <w14:schemeClr w14:val="tx1"/>
            </w14:solidFill>
          </w14:textFill>
        </w:rPr>
        <w:t>第一节 指导思想</w:t>
      </w:r>
      <w:bookmarkEnd w:id="12"/>
      <w:bookmarkEnd w:id="13"/>
    </w:p>
    <w:p>
      <w:pPr>
        <w:spacing w:line="580" w:lineRule="exact"/>
        <w:ind w:firstLine="640" w:firstLineChars="200"/>
        <w:rPr>
          <w:color w:val="000000" w:themeColor="text1"/>
          <w14:textFill>
            <w14:solidFill>
              <w14:schemeClr w14:val="tx1"/>
            </w14:solidFill>
          </w14:textFill>
        </w:rPr>
      </w:pPr>
      <w:r>
        <w:rPr>
          <w:rFonts w:eastAsia="方正仿宋简体"/>
          <w:color w:val="000000" w:themeColor="text1"/>
          <w14:textFill>
            <w14:solidFill>
              <w14:schemeClr w14:val="tx1"/>
            </w14:solidFill>
          </w14:textFill>
        </w:rPr>
        <w:t>坚持以习近平新时代中国特色社会主义思想为指导，全面贯彻党的十九大和十九届</w:t>
      </w:r>
      <w:r>
        <w:rPr>
          <w:rFonts w:hint="eastAsia" w:eastAsia="方正仿宋简体"/>
          <w:color w:val="000000" w:themeColor="text1"/>
          <w14:textFill>
            <w14:solidFill>
              <w14:schemeClr w14:val="tx1"/>
            </w14:solidFill>
          </w14:textFill>
        </w:rPr>
        <w:t>历次</w:t>
      </w:r>
      <w:r>
        <w:rPr>
          <w:rFonts w:eastAsia="方正仿宋简体"/>
          <w:color w:val="000000" w:themeColor="text1"/>
          <w14:textFill>
            <w14:solidFill>
              <w14:schemeClr w14:val="tx1"/>
            </w14:solidFill>
          </w14:textFill>
        </w:rPr>
        <w:t>全会精神，深入贯彻习近平总书记对广东重要讲话和重要指示批示精神，统筹推进“五位一体”总体布局，协调推进“四个全面”战略布局</w:t>
      </w:r>
      <w:r>
        <w:rPr>
          <w:rFonts w:hint="eastAsia" w:eastAsia="方正仿宋简体"/>
          <w:color w:val="000000" w:themeColor="text1"/>
          <w14:textFill>
            <w14:solidFill>
              <w14:schemeClr w14:val="tx1"/>
            </w14:solidFill>
          </w14:textFill>
        </w:rPr>
        <w:t>。贯彻落实省委省政府“1+1+9”决策部署，认真落实市委“狠抓发展第一要务，全面激发内生动力，推动梅州苏区加快振兴发展共同富裕”的总目标，</w:t>
      </w:r>
      <w:r>
        <w:rPr>
          <w:rFonts w:eastAsia="方正仿宋简体"/>
          <w:color w:val="000000" w:themeColor="text1"/>
          <w14:textFill>
            <w14:solidFill>
              <w14:schemeClr w14:val="tx1"/>
            </w14:solidFill>
          </w14:textFill>
        </w:rPr>
        <w:t>深入高质量构建全县“一城两带四区”发展新格局，</w:t>
      </w:r>
      <w:r>
        <w:rPr>
          <w:rFonts w:hint="eastAsia" w:eastAsia="方正仿宋简体"/>
          <w:color w:val="000000" w:themeColor="text1"/>
          <w14:textFill>
            <w14:solidFill>
              <w14:schemeClr w14:val="tx1"/>
            </w14:solidFill>
          </w14:textFill>
        </w:rPr>
        <w:t>坚持以人民为中心的发展思想，立足新发展阶段，贯彻新发展理念，积极参与构建新发展格局战略支点，坚持稳中求进工作总基调，以推动高质量发展为主题，以改革创新为根本动力，以满足人民日益增长的美好生活需要为根本目的，</w:t>
      </w:r>
      <w:r>
        <w:rPr>
          <w:rFonts w:eastAsia="方正仿宋简体"/>
          <w:color w:val="000000" w:themeColor="text1"/>
          <w:szCs w:val="40"/>
          <w14:textFill>
            <w14:solidFill>
              <w14:schemeClr w14:val="tx1"/>
            </w14:solidFill>
          </w14:textFill>
        </w:rPr>
        <w:t>以人才为第一资源、民生为第一追求，抓重点、补短板、强弱项、防风险、稳预期，着力促进就业创业，深化社保制度改革，加强人事人才工作，构建和谐劳动关系，提升公共服务能力</w:t>
      </w:r>
      <w:r>
        <w:rPr>
          <w:rFonts w:eastAsia="方正仿宋简体"/>
          <w:color w:val="000000" w:themeColor="text1"/>
          <w14:textFill>
            <w14:solidFill>
              <w14:schemeClr w14:val="tx1"/>
            </w14:solidFill>
          </w14:textFill>
        </w:rPr>
        <w:t>，推进人力资源社会保障基本公共服务均等化，努力实现我县人力资源社会保障事业全面协调可持续发展。</w:t>
      </w:r>
      <w:bookmarkStart w:id="14" w:name="_Toc17150"/>
    </w:p>
    <w:p>
      <w:pPr>
        <w:pStyle w:val="2"/>
        <w:spacing w:line="560" w:lineRule="exact"/>
        <w:rPr>
          <w:rFonts w:ascii="黑体" w:hAnsi="黑体" w:eastAsia="黑体" w:cs="黑体"/>
          <w:b w:val="0"/>
          <w:bCs/>
          <w:color w:val="000000" w:themeColor="text1"/>
          <w14:textFill>
            <w14:solidFill>
              <w14:schemeClr w14:val="tx1"/>
            </w14:solidFill>
          </w14:textFill>
        </w:rPr>
      </w:pPr>
      <w:bookmarkStart w:id="15" w:name="_Toc93738251"/>
      <w:r>
        <w:rPr>
          <w:rFonts w:hint="eastAsia" w:ascii="黑体" w:hAnsi="黑体" w:eastAsia="黑体" w:cs="黑体"/>
          <w:b w:val="0"/>
          <w:bCs/>
          <w:color w:val="000000" w:themeColor="text1"/>
          <w14:textFill>
            <w14:solidFill>
              <w14:schemeClr w14:val="tx1"/>
            </w14:solidFill>
          </w14:textFill>
        </w:rPr>
        <w:t>第二节 基本原则</w:t>
      </w:r>
      <w:bookmarkEnd w:id="14"/>
      <w:bookmarkEnd w:id="15"/>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坚持党的全面领导。</w:t>
      </w:r>
      <w:r>
        <w:rPr>
          <w:rFonts w:eastAsia="方正仿宋简体"/>
          <w:color w:val="000000" w:themeColor="text1"/>
          <w14:textFill>
            <w14:solidFill>
              <w14:schemeClr w14:val="tx1"/>
            </w14:solidFill>
          </w14:textFill>
        </w:rPr>
        <w:t>坚持把党的集中统一领导作为推进人力资源和社会保障事业发展的根本保证，不断提高贯彻新发展理念、构建新发展格局能力和水平，为实现高质量发展提供保证。</w:t>
      </w:r>
    </w:p>
    <w:p>
      <w:pPr>
        <w:autoSpaceDE w:val="0"/>
        <w:autoSpaceDN w:val="0"/>
        <w:adjustRightInd w:val="0"/>
        <w:spacing w:line="580" w:lineRule="exact"/>
        <w:ind w:firstLine="640"/>
        <w:rPr>
          <w:rFonts w:eastAsia="方正仿宋简体"/>
          <w:b/>
          <w:bCs/>
          <w:color w:val="000000" w:themeColor="text1"/>
          <w:sz w:val="36"/>
          <w:szCs w:val="36"/>
          <w14:textFill>
            <w14:solidFill>
              <w14:schemeClr w14:val="tx1"/>
            </w14:solidFill>
          </w14:textFill>
        </w:rPr>
      </w:pPr>
      <w:r>
        <w:rPr>
          <w:rFonts w:eastAsia="方正仿宋简体"/>
          <w:b/>
          <w:bCs/>
          <w:color w:val="000000" w:themeColor="text1"/>
          <w14:textFill>
            <w14:solidFill>
              <w14:schemeClr w14:val="tx1"/>
            </w14:solidFill>
          </w14:textFill>
        </w:rPr>
        <w:t>坚持以人民为中心。</w:t>
      </w:r>
      <w:r>
        <w:rPr>
          <w:rFonts w:eastAsia="方正仿宋简体"/>
          <w:color w:val="000000" w:themeColor="text1"/>
          <w14:textFill>
            <w14:solidFill>
              <w14:schemeClr w14:val="tx1"/>
            </w14:solidFill>
          </w14:textFill>
        </w:rPr>
        <w:t>坚持人民主体地位，坚持共同富裕方向，始终做到发展为了人民、发展依靠人民、发展成果更多更公平惠及全体人民，促进社会公平，增进民生福祉，不断实现人民对美好生活的向往。</w:t>
      </w:r>
    </w:p>
    <w:p>
      <w:pPr>
        <w:spacing w:line="580" w:lineRule="exact"/>
        <w:ind w:firstLine="643" w:firstLineChars="200"/>
        <w:rPr>
          <w:rFonts w:eastAsia="方正仿宋简体"/>
          <w:b/>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坚持新发展理念。</w:t>
      </w:r>
      <w:r>
        <w:rPr>
          <w:rFonts w:eastAsia="方正仿宋简体"/>
          <w:color w:val="000000" w:themeColor="text1"/>
          <w14:textFill>
            <w14:solidFill>
              <w14:schemeClr w14:val="tx1"/>
            </w14:solidFill>
          </w14:textFill>
        </w:rPr>
        <w:t>把新发展理念贯穿到人力资源和社会保障事业发展全过程，充分发挥人力资源和社会保障事业在构建新发展格局中的支撑保障作用，积极适应经济新常态，坚持在发展中保障和改善民生。</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坚持深化改革。</w:t>
      </w:r>
      <w:r>
        <w:rPr>
          <w:rFonts w:eastAsia="方正仿宋简体"/>
          <w:bCs/>
          <w:color w:val="000000" w:themeColor="text1"/>
          <w14:textFill>
            <w14:solidFill>
              <w14:schemeClr w14:val="tx1"/>
            </w14:solidFill>
          </w14:textFill>
        </w:rPr>
        <w:t>按</w:t>
      </w:r>
      <w:r>
        <w:rPr>
          <w:rFonts w:eastAsia="方正仿宋简体"/>
          <w:color w:val="000000" w:themeColor="text1"/>
          <w14:textFill>
            <w14:solidFill>
              <w14:schemeClr w14:val="tx1"/>
            </w14:solidFill>
          </w14:textFill>
        </w:rPr>
        <w:t>照推进治理体系和治理能力现代化的总目标，深化人力资源和社会保障领域制度改革，破除制约高质量发展、高品质生活的体制机制障碍，推动有效市场和有为政府相结合，持续增强发展动力和活力。</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坚持系统观念。</w:t>
      </w:r>
      <w:r>
        <w:rPr>
          <w:rFonts w:eastAsia="方正仿宋简体"/>
          <w:bCs/>
          <w:color w:val="000000" w:themeColor="text1"/>
          <w14:textFill>
            <w14:solidFill>
              <w14:schemeClr w14:val="tx1"/>
            </w14:solidFill>
          </w14:textFill>
        </w:rPr>
        <w:t>加</w:t>
      </w:r>
      <w:r>
        <w:rPr>
          <w:rFonts w:eastAsia="方正仿宋简体"/>
          <w:color w:val="000000" w:themeColor="text1"/>
          <w14:textFill>
            <w14:solidFill>
              <w14:schemeClr w14:val="tx1"/>
            </w14:solidFill>
          </w14:textFill>
        </w:rPr>
        <w:t>强前瞻性思考、全局性谋划、战略性布局、整体性推进，坚决服从全省全市</w:t>
      </w:r>
      <w:r>
        <w:rPr>
          <w:rFonts w:hint="eastAsia" w:eastAsia="方正仿宋简体"/>
          <w:color w:val="000000" w:themeColor="text1"/>
          <w14:textFill>
            <w14:solidFill>
              <w14:schemeClr w14:val="tx1"/>
            </w14:solidFill>
          </w14:textFill>
        </w:rPr>
        <w:t>全县</w:t>
      </w:r>
      <w:r>
        <w:rPr>
          <w:rFonts w:eastAsia="方正仿宋简体"/>
          <w:color w:val="000000" w:themeColor="text1"/>
          <w14:textFill>
            <w14:solidFill>
              <w14:schemeClr w14:val="tx1"/>
            </w14:solidFill>
          </w14:textFill>
        </w:rPr>
        <w:t>发展大局，坚持全</w:t>
      </w:r>
      <w:r>
        <w:rPr>
          <w:rFonts w:hint="eastAsia" w:eastAsia="方正仿宋简体"/>
          <w:color w:val="000000" w:themeColor="text1"/>
          <w14:textFill>
            <w14:solidFill>
              <w14:schemeClr w14:val="tx1"/>
            </w14:solidFill>
          </w14:textFill>
        </w:rPr>
        <w:t>县</w:t>
      </w:r>
      <w:r>
        <w:rPr>
          <w:rFonts w:eastAsia="方正仿宋简体"/>
          <w:color w:val="000000" w:themeColor="text1"/>
          <w14:textFill>
            <w14:solidFill>
              <w14:schemeClr w14:val="tx1"/>
            </w14:solidFill>
          </w14:textFill>
        </w:rPr>
        <w:t>一盘棋，加强人力资源和社会保障事业与各领域协同联动，推动经济发展与民生改善良性互动、相互促进。</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坚持依法行政。</w:t>
      </w:r>
      <w:r>
        <w:rPr>
          <w:rFonts w:eastAsia="方正仿宋简体"/>
          <w:bCs/>
          <w:color w:val="000000" w:themeColor="text1"/>
          <w14:textFill>
            <w14:solidFill>
              <w14:schemeClr w14:val="tx1"/>
            </w14:solidFill>
          </w14:textFill>
        </w:rPr>
        <w:t>深</w:t>
      </w:r>
      <w:r>
        <w:rPr>
          <w:rFonts w:eastAsia="方正仿宋简体"/>
          <w:color w:val="000000" w:themeColor="text1"/>
          <w14:textFill>
            <w14:solidFill>
              <w14:schemeClr w14:val="tx1"/>
            </w14:solidFill>
          </w14:textFill>
        </w:rPr>
        <w:t>入推进依法行政，推动人力资源和社会保障工作全面纳入法治轨道，以制度公平保障群众权利公平，以政策落实保证群众权利实现，合理调节各方面利益关系，促进社会公平公正、稳定和谐。</w:t>
      </w:r>
    </w:p>
    <w:p>
      <w:pPr>
        <w:pStyle w:val="2"/>
        <w:spacing w:line="560" w:lineRule="exact"/>
        <w:rPr>
          <w:rFonts w:ascii="黑体" w:hAnsi="黑体" w:eastAsia="黑体" w:cs="黑体"/>
          <w:b w:val="0"/>
          <w:bCs/>
          <w:color w:val="000000" w:themeColor="text1"/>
          <w14:textFill>
            <w14:solidFill>
              <w14:schemeClr w14:val="tx1"/>
            </w14:solidFill>
          </w14:textFill>
        </w:rPr>
      </w:pPr>
      <w:bookmarkStart w:id="16" w:name="_Toc3065"/>
      <w:bookmarkStart w:id="17" w:name="_Toc93738252"/>
      <w:r>
        <w:rPr>
          <w:rFonts w:hint="eastAsia" w:ascii="黑体" w:hAnsi="黑体" w:eastAsia="黑体" w:cs="黑体"/>
          <w:b w:val="0"/>
          <w:bCs/>
          <w:color w:val="000000" w:themeColor="text1"/>
          <w14:textFill>
            <w14:solidFill>
              <w14:schemeClr w14:val="tx1"/>
            </w14:solidFill>
          </w14:textFill>
        </w:rPr>
        <w:t>第三节 主要目标</w:t>
      </w:r>
      <w:bookmarkEnd w:id="16"/>
      <w:bookmarkEnd w:id="17"/>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实现更加充分和更高质量就业。</w:t>
      </w:r>
      <w:r>
        <w:rPr>
          <w:rFonts w:eastAsia="方正仿宋简体"/>
          <w:color w:val="000000" w:themeColor="text1"/>
          <w14:textFill>
            <w14:solidFill>
              <w14:schemeClr w14:val="tx1"/>
            </w14:solidFill>
          </w14:textFill>
        </w:rPr>
        <w:t>继续坚持就业优先战略，实施更加积极的就业政策，大力推动大众创业、万众创新，实现就业规模不断扩大，就业结构更加合理，劳动者素质整体提升，就业质量明显提高，服务体系更加完善，就业局势保持稳定。“十四五”期间实现城镇新增就业2.5万人</w:t>
      </w:r>
      <w:r>
        <w:rPr>
          <w:rFonts w:hint="eastAsia" w:eastAsia="方正仿宋简体"/>
          <w:color w:val="000000" w:themeColor="text1"/>
          <w14:textFill>
            <w14:solidFill>
              <w14:schemeClr w14:val="tx1"/>
            </w14:solidFill>
          </w14:textFill>
        </w:rPr>
        <w:t>以上</w:t>
      </w:r>
      <w:r>
        <w:rPr>
          <w:rFonts w:eastAsia="方正仿宋简体"/>
          <w:color w:val="000000" w:themeColor="text1"/>
          <w14:textFill>
            <w14:solidFill>
              <w14:schemeClr w14:val="tx1"/>
            </w14:solidFill>
          </w14:textFill>
        </w:rPr>
        <w:t>，城镇登记失业率控制在3%以内。</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建设更加全面和可持续的社会保障体系。</w:t>
      </w:r>
      <w:r>
        <w:rPr>
          <w:rFonts w:eastAsia="方正仿宋简体"/>
          <w:color w:val="000000" w:themeColor="text1"/>
          <w14:textFill>
            <w14:solidFill>
              <w14:schemeClr w14:val="tx1"/>
            </w14:solidFill>
          </w14:textFill>
        </w:rPr>
        <w:t>以保基本、兜底线、促公平、可持续为准则，全面建立公平、制度化、城乡一体、广覆盖、多层次的社会保障体系。进一步扩大基本养老保险、医疗保险、失业保险和工伤保险覆盖面，适时适度提高社会保障待遇水平，</w:t>
      </w:r>
      <w:r>
        <w:rPr>
          <w:rFonts w:hint="eastAsia" w:eastAsia="方正仿宋简体"/>
          <w:color w:val="000000" w:themeColor="text1"/>
          <w14:textFill>
            <w14:solidFill>
              <w14:schemeClr w14:val="tx1"/>
            </w14:solidFill>
          </w14:textFill>
        </w:rPr>
        <w:t>确保社保基金安全可持续运行，</w:t>
      </w:r>
      <w:r>
        <w:rPr>
          <w:rFonts w:eastAsia="方正仿宋简体"/>
          <w:color w:val="000000" w:themeColor="text1"/>
          <w14:textFill>
            <w14:solidFill>
              <w14:schemeClr w14:val="tx1"/>
            </w14:solidFill>
          </w14:textFill>
        </w:rPr>
        <w:t>提升社会保险经办服务能力，全面建成覆盖全民、城乡统筹、权责清晰、保障适度、可持续的多层次社会保障体系。</w:t>
      </w:r>
      <w:r>
        <w:rPr>
          <w:rFonts w:eastAsia="方正仿宋简体"/>
          <w:color w:val="000000" w:themeColor="text1"/>
          <w:highlight w:val="yellow"/>
          <w14:textFill>
            <w14:solidFill>
              <w14:schemeClr w14:val="tx1"/>
            </w14:solidFill>
          </w14:textFill>
        </w:rPr>
        <w:t>“十四五”期末，</w:t>
      </w:r>
      <w:r>
        <w:rPr>
          <w:rFonts w:eastAsia="方正仿宋简体"/>
          <w:color w:val="000000" w:themeColor="text1"/>
          <w14:textFill>
            <w14:solidFill>
              <w14:schemeClr w14:val="tx1"/>
            </w14:solidFill>
          </w14:textFill>
        </w:rPr>
        <w:t>全县</w:t>
      </w:r>
      <w:r>
        <w:rPr>
          <w:rFonts w:hint="eastAsia" w:ascii="方正仿宋简体" w:eastAsia="方正仿宋简体"/>
          <w:bCs/>
        </w:rPr>
        <w:t>基本养老保险</w:t>
      </w:r>
      <w:r>
        <w:rPr>
          <w:rFonts w:eastAsia="方正仿宋简体"/>
          <w:bCs/>
        </w:rPr>
        <w:t>参保率保持在9</w:t>
      </w:r>
      <w:r>
        <w:rPr>
          <w:rFonts w:hint="eastAsia" w:eastAsia="方正仿宋简体"/>
          <w:bCs/>
        </w:rPr>
        <w:t>0</w:t>
      </w:r>
      <w:r>
        <w:rPr>
          <w:rFonts w:eastAsia="方正仿宋简体"/>
          <w:bCs/>
        </w:rPr>
        <w:t>%以上</w:t>
      </w:r>
      <w:r>
        <w:rPr>
          <w:rFonts w:hint="eastAsia" w:eastAsia="方正仿宋简体"/>
          <w:bCs/>
        </w:rPr>
        <w:t>，</w:t>
      </w:r>
      <w:r>
        <w:rPr>
          <w:rFonts w:eastAsia="方正仿宋简体"/>
          <w:bCs/>
          <w:highlight w:val="yellow"/>
        </w:rPr>
        <w:t>基本医疗保险参保率保持在9</w:t>
      </w:r>
      <w:r>
        <w:rPr>
          <w:rFonts w:hint="eastAsia" w:eastAsia="方正仿宋简体"/>
          <w:bCs/>
          <w:highlight w:val="yellow"/>
        </w:rPr>
        <w:t>5</w:t>
      </w:r>
      <w:r>
        <w:rPr>
          <w:rFonts w:eastAsia="方正仿宋简体"/>
          <w:bCs/>
          <w:highlight w:val="yellow"/>
        </w:rPr>
        <w:t>%以上，</w:t>
      </w:r>
      <w:r>
        <w:rPr>
          <w:rFonts w:eastAsia="方正仿宋简体"/>
          <w:color w:val="000000" w:themeColor="text1"/>
          <w14:textFill>
            <w14:solidFill>
              <w14:schemeClr w14:val="tx1"/>
            </w14:solidFill>
          </w14:textFill>
        </w:rPr>
        <w:t>城镇职工基本养老保险、城乡居民基本养老保险、失业保险、工伤保险参保人数分别达到7.82万人、50万人、4.64万人和6.68万人。</w:t>
      </w:r>
    </w:p>
    <w:p>
      <w:pPr>
        <w:spacing w:line="580" w:lineRule="exact"/>
        <w:ind w:firstLine="643" w:firstLineChars="200"/>
        <w:rPr>
          <w:rFonts w:eastAsia="方正仿宋简体"/>
          <w:b/>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建设更高素质和更实用的人才队伍。</w:t>
      </w:r>
      <w:r>
        <w:rPr>
          <w:rFonts w:eastAsia="方正仿宋简体"/>
          <w:color w:val="000000" w:themeColor="text1"/>
          <w14:textFill>
            <w14:solidFill>
              <w14:schemeClr w14:val="tx1"/>
            </w14:solidFill>
          </w14:textFill>
        </w:rPr>
        <w:t>深入实施乡村振兴和人才强县战略，主动围绕区域发展和产业转型升级，聚焦创新型人才和产业发展人才等高端人才队伍建设。瞄准重点产业、重点领域，深入实施人才素质提升工程，重点打造一批具有战略眼光、富有开拓精神的优秀人才。盘活本土人才存量，围绕产业发展需要，加快基础性人才培养，大力开发规模宏大、素质优良的乡土人才、实用人才、技能人才队伍。引导人才向贫困地区和基层一线流动，为乡村振兴注入强大动力。“十四五”期末，全县专业技术人才、技能人才分别达1.8万人、6万人，</w:t>
      </w:r>
      <w:r>
        <w:rPr>
          <w:rFonts w:hint="eastAsia" w:eastAsia="方正仿宋简体"/>
        </w:rPr>
        <w:t>高、中、初级专业技术人员比例达到11.3：29.6：59.1</w:t>
      </w:r>
      <w:r>
        <w:rPr>
          <w:rFonts w:eastAsia="方正仿宋简体"/>
          <w:color w:val="000000" w:themeColor="text1"/>
          <w14:textFill>
            <w14:solidFill>
              <w14:schemeClr w14:val="tx1"/>
            </w14:solidFill>
          </w14:textFill>
        </w:rPr>
        <w:t>，全县高技能人才达800人，技工</w:t>
      </w:r>
      <w:r>
        <w:rPr>
          <w:rFonts w:hint="eastAsia" w:eastAsia="方正仿宋简体"/>
          <w:color w:val="000000" w:themeColor="text1"/>
          <w14:textFill>
            <w14:solidFill>
              <w14:schemeClr w14:val="tx1"/>
            </w14:solidFill>
          </w14:textFill>
        </w:rPr>
        <w:t>学</w:t>
      </w:r>
      <w:r>
        <w:rPr>
          <w:rFonts w:eastAsia="方正仿宋简体"/>
          <w:color w:val="000000" w:themeColor="text1"/>
          <w14:textFill>
            <w14:solidFill>
              <w14:schemeClr w14:val="tx1"/>
            </w14:solidFill>
          </w14:textFill>
        </w:rPr>
        <w:t>校招生总量达0.9万人。十四五期间，开展补贴性职业技能培训总量达</w:t>
      </w:r>
      <w:r>
        <w:rPr>
          <w:rFonts w:hint="eastAsia" w:eastAsia="方正仿宋简体"/>
          <w:color w:val="000000" w:themeColor="text1"/>
          <w14:textFill>
            <w14:solidFill>
              <w14:schemeClr w14:val="tx1"/>
            </w14:solidFill>
          </w14:textFill>
        </w:rPr>
        <w:t>2</w:t>
      </w:r>
      <w:r>
        <w:rPr>
          <w:rFonts w:eastAsia="方正仿宋简体"/>
          <w:color w:val="000000" w:themeColor="text1"/>
          <w14:textFill>
            <w14:solidFill>
              <w14:schemeClr w14:val="tx1"/>
            </w14:solidFill>
          </w14:textFill>
        </w:rPr>
        <w:t>万人，其中开展“南粤家政”培训7500人，“粤菜师傅”培训1500人，“农村电商”培训1000人。</w:t>
      </w:r>
    </w:p>
    <w:p>
      <w:pPr>
        <w:spacing w:line="580" w:lineRule="exact"/>
        <w:ind w:firstLine="643" w:firstLineChars="200"/>
        <w:rPr>
          <w:rFonts w:eastAsia="方正仿宋简体"/>
          <w:b/>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形成更加完善的人事管理和工资收入分配机制。</w:t>
      </w:r>
      <w:r>
        <w:rPr>
          <w:rFonts w:eastAsia="方正仿宋简体"/>
          <w:color w:val="000000" w:themeColor="text1"/>
          <w14:textFill>
            <w14:solidFill>
              <w14:schemeClr w14:val="tx1"/>
            </w14:solidFill>
          </w14:textFill>
        </w:rPr>
        <w:t>健全事业单位人事管理制度，深化职称制度改革，进一步扩大事业单位人事管理自主权，形成更加合理有序的工资收入分配秩序。全面推进企业工资集体协商制度，完善与经济社会发展水平相适应的最低工资标准和城乡居民的收入水平正常增长机制，健全企业工资支付保障机制。</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构建更加和谐的劳动关系。</w:t>
      </w:r>
      <w:r>
        <w:rPr>
          <w:rFonts w:eastAsia="方正仿宋简体"/>
          <w:color w:val="000000" w:themeColor="text1"/>
          <w14:textFill>
            <w14:solidFill>
              <w14:schemeClr w14:val="tx1"/>
            </w14:solidFill>
          </w14:textFill>
        </w:rPr>
        <w:t>以促进企业发展、维护职工权益为出发点和落脚点，以解决企业分配中存在的突出问题为突破口，以建立劳动关系协调机制为重点，以开展和谐劳动关系创建活动为载体，逐步建立规范有序、公正合理、和谐稳定、互利共赢的新型劳动关系。加快形成源头治理、动态管理、应急处置相结合的工作机制，实现劳动用工更加规范，职工工资合理增长，劳动条件不断改善，职工安全健康得到切实保障，有效预防和化解劳动关系矛盾，促进我县经济健康有序发展。“十四五”期末，企业职工劳动合同签订率达到100%，劳动人事争议案件结案率达到95%，调解成功率达到75%，劳动保障监察举报投诉案件结案率达到98%。</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提供更加高效的公共服务。</w:t>
      </w:r>
      <w:r>
        <w:rPr>
          <w:rFonts w:eastAsia="方正仿宋简体"/>
          <w:color w:val="000000" w:themeColor="text1"/>
          <w14:textFill>
            <w14:solidFill>
              <w14:schemeClr w14:val="tx1"/>
            </w14:solidFill>
          </w14:textFill>
        </w:rPr>
        <w:t>以提高我县人社公共服务能力为目标，全面建立统一规范的人力资源市场，进一步完备基层人力资源</w:t>
      </w:r>
      <w:r>
        <w:rPr>
          <w:rFonts w:hint="eastAsia" w:eastAsia="方正仿宋简体"/>
          <w:color w:val="000000" w:themeColor="text1"/>
          <w14:textFill>
            <w14:solidFill>
              <w14:schemeClr w14:val="tx1"/>
            </w14:solidFill>
          </w14:textFill>
        </w:rPr>
        <w:t>和</w:t>
      </w:r>
      <w:r>
        <w:rPr>
          <w:rFonts w:eastAsia="方正仿宋简体"/>
          <w:color w:val="000000" w:themeColor="text1"/>
          <w14:textFill>
            <w14:solidFill>
              <w14:schemeClr w14:val="tx1"/>
            </w14:solidFill>
          </w14:textFill>
        </w:rPr>
        <w:t>社会保障公共服务体系</w:t>
      </w:r>
      <w:r>
        <w:rPr>
          <w:rFonts w:hint="eastAsia" w:eastAsia="方正仿宋简体"/>
          <w:color w:val="000000" w:themeColor="text1"/>
          <w14:textFill>
            <w14:solidFill>
              <w14:schemeClr w14:val="tx1"/>
            </w14:solidFill>
          </w14:textFill>
        </w:rPr>
        <w:t>、医疗保障公共服务体系</w:t>
      </w:r>
      <w:r>
        <w:rPr>
          <w:rFonts w:eastAsia="方正仿宋简体"/>
          <w:color w:val="000000" w:themeColor="text1"/>
          <w14:textFill>
            <w14:solidFill>
              <w14:schemeClr w14:val="tx1"/>
            </w14:solidFill>
          </w14:textFill>
        </w:rPr>
        <w:t>，设施设备更加完善，服务流程更加规范，服务水平显著提升。不断完善人力资源和社会保障平台服务功能，推动公共服务平台建设和公共服务体系标准化、规范化、信息化建设，着力推进人力资源社会保障公共服务均等化，建设符合五华县情、覆盖城乡、更加完善的基本服务体系。</w:t>
      </w:r>
      <w:r>
        <w:rPr>
          <w:rFonts w:eastAsia="方正仿宋简体"/>
          <w:color w:val="000000" w:themeColor="text1"/>
          <w:highlight w:val="yellow"/>
          <w14:textFill>
            <w14:solidFill>
              <w14:schemeClr w14:val="tx1"/>
            </w14:solidFill>
          </w14:textFill>
        </w:rPr>
        <w:t>“十四五”期末，</w:t>
      </w:r>
      <w:r>
        <w:rPr>
          <w:rFonts w:eastAsia="方正仿宋简体"/>
          <w:color w:val="000000" w:themeColor="text1"/>
          <w14:textFill>
            <w14:solidFill>
              <w14:schemeClr w14:val="tx1"/>
            </w14:solidFill>
          </w14:textFill>
        </w:rPr>
        <w:t>“互联网+人社”</w:t>
      </w:r>
      <w:r>
        <w:rPr>
          <w:rFonts w:eastAsia="方正仿宋简体"/>
          <w:color w:val="000000" w:themeColor="text1"/>
          <w:highlight w:val="yellow"/>
          <w14:textFill>
            <w14:solidFill>
              <w14:schemeClr w14:val="tx1"/>
            </w14:solidFill>
          </w14:textFill>
        </w:rPr>
        <w:t>“互联网+医保”服务模式基本普及，</w:t>
      </w:r>
      <w:r>
        <w:rPr>
          <w:rFonts w:eastAsia="方正仿宋简体"/>
          <w:color w:val="000000" w:themeColor="text1"/>
          <w14:textFill>
            <w14:solidFill>
              <w14:schemeClr w14:val="tx1"/>
            </w14:solidFill>
          </w14:textFill>
        </w:rPr>
        <w:t>社会保障卡持卡人数达98万人，常住人口持卡率达100%，申领电子社保卡人口覆盖率达50%，人力资源服务机构数量达</w:t>
      </w:r>
      <w:r>
        <w:rPr>
          <w:rFonts w:hint="eastAsia" w:eastAsia="方正仿宋简体"/>
          <w:color w:val="000000" w:themeColor="text1"/>
          <w14:textFill>
            <w14:solidFill>
              <w14:schemeClr w14:val="tx1"/>
            </w14:solidFill>
          </w14:textFill>
        </w:rPr>
        <w:t>27</w:t>
      </w:r>
      <w:r>
        <w:rPr>
          <w:rFonts w:eastAsia="方正仿宋简体"/>
          <w:color w:val="000000" w:themeColor="text1"/>
          <w14:textFill>
            <w14:solidFill>
              <w14:schemeClr w14:val="tx1"/>
            </w14:solidFill>
          </w14:textFill>
        </w:rPr>
        <w:t>家，人力资源服务从业人员达</w:t>
      </w:r>
      <w:r>
        <w:rPr>
          <w:rFonts w:hint="eastAsia" w:eastAsia="方正仿宋简体"/>
          <w:color w:val="000000" w:themeColor="text1"/>
          <w14:textFill>
            <w14:solidFill>
              <w14:schemeClr w14:val="tx1"/>
            </w14:solidFill>
          </w14:textFill>
        </w:rPr>
        <w:t>180</w:t>
      </w:r>
      <w:r>
        <w:rPr>
          <w:rFonts w:eastAsia="方正仿宋简体"/>
          <w:color w:val="000000" w:themeColor="text1"/>
          <w14:textFill>
            <w14:solidFill>
              <w14:schemeClr w14:val="tx1"/>
            </w14:solidFill>
          </w14:textFill>
        </w:rPr>
        <w:t>人以上。</w:t>
      </w:r>
    </w:p>
    <w:p>
      <w:pPr>
        <w:spacing w:line="580" w:lineRule="exact"/>
        <w:ind w:firstLine="640" w:firstLineChars="200"/>
      </w:pPr>
    </w:p>
    <w:tbl>
      <w:tblPr>
        <w:tblStyle w:val="25"/>
        <w:tblW w:w="9561" w:type="dxa"/>
        <w:jc w:val="center"/>
        <w:tblLayout w:type="autofit"/>
        <w:tblCellMar>
          <w:top w:w="0" w:type="dxa"/>
          <w:left w:w="108" w:type="dxa"/>
          <w:bottom w:w="0" w:type="dxa"/>
          <w:right w:w="108" w:type="dxa"/>
        </w:tblCellMar>
      </w:tblPr>
      <w:tblGrid>
        <w:gridCol w:w="1224"/>
        <w:gridCol w:w="3596"/>
        <w:gridCol w:w="1090"/>
        <w:gridCol w:w="1266"/>
        <w:gridCol w:w="1161"/>
        <w:gridCol w:w="1224"/>
      </w:tblGrid>
      <w:tr>
        <w:tblPrEx>
          <w:tblCellMar>
            <w:top w:w="0" w:type="dxa"/>
            <w:left w:w="108" w:type="dxa"/>
            <w:bottom w:w="0" w:type="dxa"/>
            <w:right w:w="108" w:type="dxa"/>
          </w:tblCellMar>
        </w:tblPrEx>
        <w:trPr>
          <w:trHeight w:val="564" w:hRule="atLeast"/>
          <w:jc w:val="center"/>
        </w:trPr>
        <w:tc>
          <w:tcPr>
            <w:tcW w:w="9561" w:type="dxa"/>
            <w:gridSpan w:val="6"/>
            <w:tcBorders>
              <w:top w:val="single" w:color="auto" w:sz="8" w:space="0"/>
              <w:left w:val="single" w:color="auto" w:sz="8" w:space="0"/>
              <w:bottom w:val="single" w:color="auto" w:sz="8" w:space="0"/>
              <w:right w:val="single" w:color="000000" w:sz="8" w:space="0"/>
            </w:tcBorders>
            <w:shd w:val="clear" w:color="auto" w:fill="FFC000" w:themeFill="accent4"/>
            <w:vAlign w:val="center"/>
          </w:tcPr>
          <w:p>
            <w:pPr>
              <w:widowControl/>
              <w:jc w:val="center"/>
              <w:rPr>
                <w:rFonts w:eastAsia="黑体"/>
                <w:b/>
                <w:bCs/>
                <w:color w:val="000000" w:themeColor="text1"/>
                <w:kern w:val="0"/>
                <w:sz w:val="28"/>
                <w:szCs w:val="28"/>
                <w14:textFill>
                  <w14:solidFill>
                    <w14:schemeClr w14:val="tx1"/>
                  </w14:solidFill>
                </w14:textFill>
              </w:rPr>
            </w:pPr>
            <w:r>
              <w:rPr>
                <w:rFonts w:hint="eastAsia" w:ascii="黑体" w:hAnsi="黑体" w:eastAsia="黑体" w:cs="黑体"/>
                <w:b/>
                <w:bCs/>
                <w:color w:val="000000" w:themeColor="text1"/>
                <w:kern w:val="0"/>
                <w:sz w:val="28"/>
                <w:szCs w:val="28"/>
                <w14:textFill>
                  <w14:solidFill>
                    <w14:schemeClr w14:val="tx1"/>
                  </w14:solidFill>
                </w14:textFill>
              </w:rPr>
              <w:t>专栏二 “十四五”时期主要指标</w:t>
            </w:r>
            <w:r>
              <w:rPr>
                <w:rFonts w:hint="eastAsia" w:eastAsiaTheme="majorEastAsia"/>
                <w:color w:val="000000" w:themeColor="text1"/>
                <w:kern w:val="0"/>
                <w:sz w:val="21"/>
                <w:szCs w:val="21"/>
                <w14:textFill>
                  <w14:solidFill>
                    <w14:schemeClr w14:val="tx1"/>
                  </w14:solidFill>
                </w14:textFill>
              </w:rPr>
              <w:t>（注：</w:t>
            </w:r>
            <w:r>
              <w:rPr>
                <w:rFonts w:eastAsiaTheme="majorEastAsia"/>
                <w:color w:val="000000" w:themeColor="text1"/>
                <w:kern w:val="0"/>
                <w:sz w:val="21"/>
                <w:szCs w:val="21"/>
                <w14:textFill>
                  <w14:solidFill>
                    <w14:schemeClr w14:val="tx1"/>
                  </w14:solidFill>
                </w14:textFill>
              </w:rPr>
              <w:t>[ ]为五年累积数</w:t>
            </w:r>
            <w:r>
              <w:rPr>
                <w:rFonts w:hint="eastAsia" w:eastAsiaTheme="majorEastAsia"/>
                <w:color w:val="000000" w:themeColor="text1"/>
                <w:kern w:val="0"/>
                <w:sz w:val="21"/>
                <w:szCs w:val="21"/>
                <w14:textFill>
                  <w14:solidFill>
                    <w14:schemeClr w14:val="tx1"/>
                  </w14:solidFill>
                </w14:textFill>
              </w:rPr>
              <w:t>）</w:t>
            </w:r>
          </w:p>
        </w:tc>
      </w:tr>
      <w:tr>
        <w:tblPrEx>
          <w:tblCellMar>
            <w:top w:w="0" w:type="dxa"/>
            <w:left w:w="108" w:type="dxa"/>
            <w:bottom w:w="0" w:type="dxa"/>
            <w:right w:w="108" w:type="dxa"/>
          </w:tblCellMar>
        </w:tblPrEx>
        <w:trPr>
          <w:trHeight w:val="297" w:hRule="atLeast"/>
          <w:jc w:val="center"/>
        </w:trPr>
        <w:tc>
          <w:tcPr>
            <w:tcW w:w="1224" w:type="dxa"/>
            <w:vMerge w:val="restart"/>
            <w:tcBorders>
              <w:top w:val="nil"/>
              <w:left w:val="single" w:color="auto" w:sz="8" w:space="0"/>
              <w:bottom w:val="single" w:color="000000"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序号</w:t>
            </w:r>
          </w:p>
        </w:tc>
        <w:tc>
          <w:tcPr>
            <w:tcW w:w="3596" w:type="dxa"/>
            <w:vMerge w:val="restart"/>
            <w:tcBorders>
              <w:top w:val="nil"/>
              <w:left w:val="single" w:color="auto" w:sz="8" w:space="0"/>
              <w:bottom w:val="single" w:color="000000"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指   标</w:t>
            </w:r>
          </w:p>
        </w:tc>
        <w:tc>
          <w:tcPr>
            <w:tcW w:w="1090" w:type="dxa"/>
            <w:vMerge w:val="restart"/>
            <w:tcBorders>
              <w:top w:val="nil"/>
              <w:left w:val="single" w:color="auto" w:sz="8" w:space="0"/>
              <w:bottom w:val="single" w:color="000000"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单位</w:t>
            </w:r>
          </w:p>
        </w:tc>
        <w:tc>
          <w:tcPr>
            <w:tcW w:w="1266" w:type="dxa"/>
            <w:tcBorders>
              <w:top w:val="nil"/>
              <w:left w:val="nil"/>
              <w:bottom w:val="nil"/>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2020年</w:t>
            </w:r>
          </w:p>
        </w:tc>
        <w:tc>
          <w:tcPr>
            <w:tcW w:w="1161" w:type="dxa"/>
            <w:tcBorders>
              <w:top w:val="nil"/>
              <w:left w:val="nil"/>
              <w:bottom w:val="nil"/>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2025年</w:t>
            </w:r>
          </w:p>
        </w:tc>
        <w:tc>
          <w:tcPr>
            <w:tcW w:w="1224" w:type="dxa"/>
            <w:vMerge w:val="restart"/>
            <w:tcBorders>
              <w:top w:val="nil"/>
              <w:left w:val="single" w:color="auto" w:sz="8" w:space="0"/>
              <w:bottom w:val="single" w:color="000000"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属性</w:t>
            </w:r>
          </w:p>
        </w:tc>
      </w:tr>
      <w:tr>
        <w:tblPrEx>
          <w:tblCellMar>
            <w:top w:w="0" w:type="dxa"/>
            <w:left w:w="108" w:type="dxa"/>
            <w:bottom w:w="0" w:type="dxa"/>
            <w:right w:w="108" w:type="dxa"/>
          </w:tblCellMar>
        </w:tblPrEx>
        <w:trPr>
          <w:trHeight w:val="226" w:hRule="atLeast"/>
          <w:jc w:val="center"/>
        </w:trPr>
        <w:tc>
          <w:tcPr>
            <w:tcW w:w="1224" w:type="dxa"/>
            <w:vMerge w:val="continue"/>
            <w:tcBorders>
              <w:top w:val="nil"/>
              <w:left w:val="single" w:color="auto" w:sz="8" w:space="0"/>
              <w:bottom w:val="single" w:color="000000" w:sz="8" w:space="0"/>
              <w:right w:val="single" w:color="auto" w:sz="8" w:space="0"/>
            </w:tcBorders>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p>
        </w:tc>
        <w:tc>
          <w:tcPr>
            <w:tcW w:w="3596" w:type="dxa"/>
            <w:vMerge w:val="continue"/>
            <w:tcBorders>
              <w:top w:val="nil"/>
              <w:left w:val="single" w:color="auto" w:sz="8" w:space="0"/>
              <w:bottom w:val="single" w:color="000000" w:sz="8" w:space="0"/>
              <w:right w:val="single" w:color="auto" w:sz="8" w:space="0"/>
            </w:tcBorders>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p>
        </w:tc>
        <w:tc>
          <w:tcPr>
            <w:tcW w:w="1090" w:type="dxa"/>
            <w:vMerge w:val="continue"/>
            <w:tcBorders>
              <w:top w:val="nil"/>
              <w:left w:val="single" w:color="auto" w:sz="8" w:space="0"/>
              <w:bottom w:val="single" w:color="000000" w:sz="8" w:space="0"/>
              <w:right w:val="single" w:color="auto" w:sz="8" w:space="0"/>
            </w:tcBorders>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基数</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目标</w:t>
            </w:r>
          </w:p>
        </w:tc>
        <w:tc>
          <w:tcPr>
            <w:tcW w:w="1224" w:type="dxa"/>
            <w:vMerge w:val="continue"/>
            <w:tcBorders>
              <w:top w:val="nil"/>
              <w:left w:val="single" w:color="auto" w:sz="8" w:space="0"/>
              <w:bottom w:val="single" w:color="000000" w:sz="8" w:space="0"/>
              <w:right w:val="single" w:color="auto" w:sz="8" w:space="0"/>
            </w:tcBorders>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p>
        </w:tc>
      </w:tr>
      <w:tr>
        <w:tblPrEx>
          <w:tblCellMar>
            <w:top w:w="0" w:type="dxa"/>
            <w:left w:w="108" w:type="dxa"/>
            <w:bottom w:w="0" w:type="dxa"/>
            <w:right w:w="108" w:type="dxa"/>
          </w:tblCellMar>
        </w:tblPrEx>
        <w:trPr>
          <w:trHeight w:val="306" w:hRule="atLeast"/>
          <w:jc w:val="center"/>
        </w:trPr>
        <w:tc>
          <w:tcPr>
            <w:tcW w:w="9561" w:type="dxa"/>
            <w:gridSpan w:val="6"/>
            <w:tcBorders>
              <w:top w:val="single" w:color="auto" w:sz="8" w:space="0"/>
              <w:left w:val="single" w:color="auto" w:sz="8" w:space="0"/>
              <w:bottom w:val="single" w:color="auto" w:sz="8" w:space="0"/>
              <w:right w:val="single" w:color="000000" w:sz="8" w:space="0"/>
            </w:tcBorders>
            <w:shd w:val="clear" w:color="auto" w:fill="auto"/>
            <w:vAlign w:val="center"/>
          </w:tcPr>
          <w:p>
            <w:pPr>
              <w:widowControl/>
              <w:spacing w:line="240" w:lineRule="exact"/>
              <w:jc w:val="left"/>
              <w:rPr>
                <w:rFonts w:eastAsiaTheme="majorEastAsia"/>
                <w:b/>
                <w:bCs/>
                <w:color w:val="000000" w:themeColor="text1"/>
                <w:kern w:val="0"/>
                <w:sz w:val="21"/>
                <w:szCs w:val="21"/>
                <w14:textFill>
                  <w14:solidFill>
                    <w14:schemeClr w14:val="tx1"/>
                  </w14:solidFill>
                </w14:textFill>
              </w:rPr>
            </w:pPr>
            <w:r>
              <w:rPr>
                <w:rFonts w:eastAsiaTheme="majorEastAsia"/>
                <w:b/>
                <w:bCs/>
                <w:color w:val="000000" w:themeColor="text1"/>
                <w:kern w:val="0"/>
                <w:sz w:val="21"/>
                <w:szCs w:val="21"/>
                <w14:textFill>
                  <w14:solidFill>
                    <w14:schemeClr w14:val="tx1"/>
                  </w14:solidFill>
                </w14:textFill>
              </w:rPr>
              <w:t>一、就业</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1</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城镇新增就业人数</w:t>
            </w:r>
          </w:p>
        </w:tc>
        <w:tc>
          <w:tcPr>
            <w:tcW w:w="1090"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万人</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[2.7642]</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[2.5]</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预期性</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2</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城镇登记失业率</w:t>
            </w:r>
          </w:p>
        </w:tc>
        <w:tc>
          <w:tcPr>
            <w:tcW w:w="1090"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3.5以内</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3以内</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预期性</w:t>
            </w:r>
          </w:p>
        </w:tc>
      </w:tr>
      <w:tr>
        <w:tblPrEx>
          <w:tblCellMar>
            <w:top w:w="0" w:type="dxa"/>
            <w:left w:w="108" w:type="dxa"/>
            <w:bottom w:w="0" w:type="dxa"/>
            <w:right w:w="108" w:type="dxa"/>
          </w:tblCellMar>
        </w:tblPrEx>
        <w:trPr>
          <w:trHeight w:val="278" w:hRule="atLeast"/>
          <w:jc w:val="center"/>
        </w:trPr>
        <w:tc>
          <w:tcPr>
            <w:tcW w:w="9561" w:type="dxa"/>
            <w:gridSpan w:val="6"/>
            <w:tcBorders>
              <w:top w:val="single" w:color="auto" w:sz="8" w:space="0"/>
              <w:left w:val="single" w:color="auto" w:sz="8" w:space="0"/>
              <w:bottom w:val="single" w:color="auto" w:sz="8" w:space="0"/>
              <w:right w:val="single" w:color="000000" w:sz="8" w:space="0"/>
            </w:tcBorders>
            <w:shd w:val="clear" w:color="auto" w:fill="auto"/>
            <w:vAlign w:val="center"/>
          </w:tcPr>
          <w:p>
            <w:pPr>
              <w:widowControl/>
              <w:spacing w:line="240" w:lineRule="exact"/>
              <w:jc w:val="left"/>
              <w:rPr>
                <w:rFonts w:eastAsiaTheme="majorEastAsia"/>
                <w:b/>
                <w:bCs/>
                <w:color w:val="000000" w:themeColor="text1"/>
                <w:kern w:val="0"/>
                <w:sz w:val="21"/>
                <w:szCs w:val="21"/>
                <w14:textFill>
                  <w14:solidFill>
                    <w14:schemeClr w14:val="tx1"/>
                  </w14:solidFill>
                </w14:textFill>
              </w:rPr>
            </w:pPr>
            <w:r>
              <w:rPr>
                <w:rFonts w:eastAsiaTheme="majorEastAsia"/>
                <w:b/>
                <w:bCs/>
                <w:color w:val="000000" w:themeColor="text1"/>
                <w:kern w:val="0"/>
                <w:sz w:val="21"/>
                <w:szCs w:val="21"/>
                <w14:textFill>
                  <w14:solidFill>
                    <w14:schemeClr w14:val="tx1"/>
                  </w14:solidFill>
                </w14:textFill>
              </w:rPr>
              <w:t>二、社会保险</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3</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基本养老保险参保率</w:t>
            </w:r>
          </w:p>
        </w:tc>
        <w:tc>
          <w:tcPr>
            <w:tcW w:w="1090"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85</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90</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预期性</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highlight w:val="yellow"/>
                <w14:textFill>
                  <w14:solidFill>
                    <w14:schemeClr w14:val="tx1"/>
                  </w14:solidFill>
                </w14:textFill>
              </w:rPr>
            </w:pPr>
            <w:r>
              <w:rPr>
                <w:rFonts w:eastAsiaTheme="majorEastAsia"/>
                <w:color w:val="000000" w:themeColor="text1"/>
                <w:kern w:val="0"/>
                <w:sz w:val="21"/>
                <w:szCs w:val="21"/>
                <w:highlight w:val="yellow"/>
                <w14:textFill>
                  <w14:solidFill>
                    <w14:schemeClr w14:val="tx1"/>
                  </w14:solidFill>
                </w14:textFill>
              </w:rPr>
              <w:t>4</w:t>
            </w:r>
          </w:p>
        </w:tc>
        <w:tc>
          <w:tcPr>
            <w:tcW w:w="3596" w:type="dxa"/>
            <w:tcBorders>
              <w:top w:val="nil"/>
              <w:left w:val="nil"/>
              <w:bottom w:val="single" w:color="auto" w:sz="8" w:space="0"/>
              <w:right w:val="single" w:color="auto" w:sz="8" w:space="0"/>
            </w:tcBorders>
            <w:shd w:val="clear" w:color="auto" w:fill="auto"/>
            <w:vAlign w:val="center"/>
          </w:tcPr>
          <w:p>
            <w:pPr>
              <w:spacing w:line="240" w:lineRule="exact"/>
              <w:jc w:val="left"/>
              <w:rPr>
                <w:rFonts w:eastAsiaTheme="majorEastAsia"/>
                <w:color w:val="000000" w:themeColor="text1"/>
                <w:kern w:val="0"/>
                <w:sz w:val="21"/>
                <w:szCs w:val="21"/>
                <w:highlight w:val="yellow"/>
                <w14:textFill>
                  <w14:solidFill>
                    <w14:schemeClr w14:val="tx1"/>
                  </w14:solidFill>
                </w14:textFill>
              </w:rPr>
            </w:pPr>
            <w:r>
              <w:rPr>
                <w:rFonts w:eastAsia="宋体"/>
                <w:kern w:val="0"/>
                <w:sz w:val="21"/>
                <w:szCs w:val="21"/>
                <w:highlight w:val="yellow"/>
              </w:rPr>
              <w:t>基本医疗保险参保率</w:t>
            </w:r>
          </w:p>
        </w:tc>
        <w:tc>
          <w:tcPr>
            <w:tcW w:w="1090" w:type="dxa"/>
            <w:tcBorders>
              <w:top w:val="nil"/>
              <w:left w:val="nil"/>
              <w:bottom w:val="single" w:color="auto" w:sz="8" w:space="0"/>
              <w:right w:val="single" w:color="auto" w:sz="8" w:space="0"/>
            </w:tcBorders>
            <w:shd w:val="clear" w:color="auto" w:fill="auto"/>
            <w:vAlign w:val="center"/>
          </w:tcPr>
          <w:p>
            <w:pPr>
              <w:spacing w:line="240" w:lineRule="exact"/>
              <w:jc w:val="center"/>
              <w:rPr>
                <w:rFonts w:eastAsiaTheme="majorEastAsia"/>
                <w:color w:val="000000" w:themeColor="text1"/>
                <w:kern w:val="0"/>
                <w:sz w:val="21"/>
                <w:szCs w:val="21"/>
                <w:highlight w:val="yellow"/>
                <w14:textFill>
                  <w14:solidFill>
                    <w14:schemeClr w14:val="tx1"/>
                  </w14:solidFill>
                </w14:textFill>
              </w:rPr>
            </w:pPr>
            <w:r>
              <w:rPr>
                <w:rFonts w:eastAsia="宋体"/>
                <w:kern w:val="0"/>
                <w:sz w:val="21"/>
                <w:szCs w:val="21"/>
                <w:highlight w:val="yellow"/>
              </w:rPr>
              <w:t>%</w:t>
            </w:r>
          </w:p>
        </w:tc>
        <w:tc>
          <w:tcPr>
            <w:tcW w:w="1266" w:type="dxa"/>
            <w:tcBorders>
              <w:top w:val="nil"/>
              <w:left w:val="nil"/>
              <w:bottom w:val="single" w:color="auto" w:sz="8" w:space="0"/>
              <w:right w:val="single" w:color="auto" w:sz="8" w:space="0"/>
            </w:tcBorders>
            <w:shd w:val="clear" w:color="auto" w:fill="auto"/>
            <w:vAlign w:val="center"/>
          </w:tcPr>
          <w:p>
            <w:pPr>
              <w:spacing w:line="240" w:lineRule="exact"/>
              <w:jc w:val="center"/>
              <w:rPr>
                <w:rFonts w:eastAsiaTheme="majorEastAsia"/>
                <w:color w:val="000000" w:themeColor="text1"/>
                <w:kern w:val="0"/>
                <w:sz w:val="21"/>
                <w:szCs w:val="21"/>
                <w:highlight w:val="yellow"/>
                <w14:textFill>
                  <w14:solidFill>
                    <w14:schemeClr w14:val="tx1"/>
                  </w14:solidFill>
                </w14:textFill>
              </w:rPr>
            </w:pPr>
            <w:r>
              <w:rPr>
                <w:rFonts w:eastAsiaTheme="majorEastAsia"/>
                <w:color w:val="000000" w:themeColor="text1"/>
                <w:kern w:val="0"/>
                <w:sz w:val="21"/>
                <w:szCs w:val="21"/>
                <w:highlight w:val="yellow"/>
                <w14:textFill>
                  <w14:solidFill>
                    <w14:schemeClr w14:val="tx1"/>
                  </w14:solidFill>
                </w14:textFill>
              </w:rPr>
              <w:t>98</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等线"/>
                <w:color w:val="000000" w:themeColor="text1"/>
                <w:kern w:val="0"/>
                <w:sz w:val="21"/>
                <w:szCs w:val="21"/>
                <w:highlight w:val="yellow"/>
                <w14:textFill>
                  <w14:solidFill>
                    <w14:schemeClr w14:val="tx1"/>
                  </w14:solidFill>
                </w14:textFill>
              </w:rPr>
            </w:pPr>
            <w:r>
              <w:rPr>
                <w:rFonts w:eastAsia="等线"/>
                <w:color w:val="000000"/>
                <w:kern w:val="0"/>
                <w:sz w:val="21"/>
                <w:szCs w:val="21"/>
                <w:highlight w:val="yellow"/>
              </w:rPr>
              <w:t>＞95</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highlight w:val="yellow"/>
                <w14:textFill>
                  <w14:solidFill>
                    <w14:schemeClr w14:val="tx1"/>
                  </w14:solidFill>
                </w14:textFill>
              </w:rPr>
            </w:pPr>
            <w:r>
              <w:rPr>
                <w:rFonts w:eastAsia="宋体"/>
                <w:kern w:val="0"/>
                <w:sz w:val="21"/>
                <w:szCs w:val="21"/>
                <w:highlight w:val="yellow"/>
              </w:rPr>
              <w:t>约束性</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5</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城镇职工基本养老保险参保人数</w:t>
            </w:r>
          </w:p>
        </w:tc>
        <w:tc>
          <w:tcPr>
            <w:tcW w:w="1090"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万人</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7.1</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7.82</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约束性</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6</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城乡居民养老保险参保人数</w:t>
            </w:r>
          </w:p>
        </w:tc>
        <w:tc>
          <w:tcPr>
            <w:tcW w:w="1090"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万人</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45.22</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50</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约束性</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7</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失业保险参保人数</w:t>
            </w:r>
          </w:p>
        </w:tc>
        <w:tc>
          <w:tcPr>
            <w:tcW w:w="1090"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万人</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3.91</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4.64</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约束性</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8</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工伤保险参保人数</w:t>
            </w:r>
          </w:p>
        </w:tc>
        <w:tc>
          <w:tcPr>
            <w:tcW w:w="1090"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万人</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4.49</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6.68</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约束性</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highlight w:val="yellow"/>
                <w14:textFill>
                  <w14:solidFill>
                    <w14:schemeClr w14:val="tx1"/>
                  </w14:solidFill>
                </w14:textFill>
              </w:rPr>
            </w:pPr>
            <w:r>
              <w:rPr>
                <w:rFonts w:eastAsiaTheme="majorEastAsia"/>
                <w:color w:val="000000" w:themeColor="text1"/>
                <w:kern w:val="0"/>
                <w:sz w:val="21"/>
                <w:szCs w:val="21"/>
                <w:highlight w:val="yellow"/>
                <w14:textFill>
                  <w14:solidFill>
                    <w14:schemeClr w14:val="tx1"/>
                  </w14:solidFill>
                </w14:textFill>
              </w:rPr>
              <w:t>9</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highlight w:val="yellow"/>
                <w14:textFill>
                  <w14:solidFill>
                    <w14:schemeClr w14:val="tx1"/>
                  </w14:solidFill>
                </w14:textFill>
              </w:rPr>
            </w:pPr>
            <w:r>
              <w:rPr>
                <w:rFonts w:hint="eastAsia" w:eastAsiaTheme="majorEastAsia"/>
                <w:color w:val="000000" w:themeColor="text1"/>
                <w:kern w:val="0"/>
                <w:sz w:val="21"/>
                <w:szCs w:val="21"/>
                <w:highlight w:val="yellow"/>
                <w14:textFill>
                  <w14:solidFill>
                    <w14:schemeClr w14:val="tx1"/>
                  </w14:solidFill>
                </w14:textFill>
              </w:rPr>
              <w:t>职工</w:t>
            </w:r>
            <w:r>
              <w:rPr>
                <w:rFonts w:hint="eastAsia" w:eastAsiaTheme="majorEastAsia"/>
                <w:color w:val="000000" w:themeColor="text1"/>
                <w:kern w:val="0"/>
                <w:sz w:val="21"/>
                <w:szCs w:val="21"/>
                <w:highlight w:val="yellow"/>
                <w:lang w:eastAsia="zh-CN"/>
                <w14:textFill>
                  <w14:solidFill>
                    <w14:schemeClr w14:val="tx1"/>
                  </w14:solidFill>
                </w14:textFill>
              </w:rPr>
              <w:t>基本养老保险</w:t>
            </w:r>
            <w:r>
              <w:rPr>
                <w:rFonts w:hint="eastAsia" w:eastAsiaTheme="majorEastAsia"/>
                <w:color w:val="000000" w:themeColor="text1"/>
                <w:kern w:val="0"/>
                <w:sz w:val="21"/>
                <w:szCs w:val="21"/>
                <w:highlight w:val="yellow"/>
                <w14:textFill>
                  <w14:solidFill>
                    <w14:schemeClr w14:val="tx1"/>
                  </w14:solidFill>
                </w14:textFill>
              </w:rPr>
              <w:t>政策范围内住院</w:t>
            </w:r>
            <w:r>
              <w:rPr>
                <w:rFonts w:hint="eastAsia" w:eastAsiaTheme="majorEastAsia"/>
                <w:color w:val="000000" w:themeColor="text1"/>
                <w:kern w:val="0"/>
                <w:sz w:val="21"/>
                <w:szCs w:val="21"/>
                <w:highlight w:val="yellow"/>
                <w:lang w:eastAsia="zh-CN"/>
                <w14:textFill>
                  <w14:solidFill>
                    <w14:schemeClr w14:val="tx1"/>
                  </w14:solidFill>
                </w14:textFill>
              </w:rPr>
              <w:t>费用基金支付</w:t>
            </w:r>
            <w:r>
              <w:rPr>
                <w:rFonts w:hint="eastAsia" w:eastAsiaTheme="majorEastAsia"/>
                <w:color w:val="000000" w:themeColor="text1"/>
                <w:kern w:val="0"/>
                <w:sz w:val="21"/>
                <w:szCs w:val="21"/>
                <w:highlight w:val="yellow"/>
                <w14:textFill>
                  <w14:solidFill>
                    <w14:schemeClr w14:val="tx1"/>
                  </w14:solidFill>
                </w14:textFill>
              </w:rPr>
              <w:t>比例</w:t>
            </w:r>
          </w:p>
        </w:tc>
        <w:tc>
          <w:tcPr>
            <w:tcW w:w="1090" w:type="dxa"/>
            <w:tcBorders>
              <w:top w:val="nil"/>
              <w:left w:val="nil"/>
              <w:bottom w:val="single" w:color="auto" w:sz="8" w:space="0"/>
              <w:right w:val="single" w:color="auto" w:sz="8" w:space="0"/>
            </w:tcBorders>
            <w:shd w:val="clear" w:color="auto" w:fill="auto"/>
            <w:vAlign w:val="center"/>
          </w:tcPr>
          <w:p>
            <w:pPr>
              <w:spacing w:line="240" w:lineRule="exact"/>
              <w:jc w:val="center"/>
              <w:rPr>
                <w:rFonts w:eastAsiaTheme="majorEastAsia"/>
                <w:color w:val="000000" w:themeColor="text1"/>
                <w:kern w:val="0"/>
                <w:sz w:val="21"/>
                <w:szCs w:val="21"/>
                <w:highlight w:val="yellow"/>
                <w14:textFill>
                  <w14:solidFill>
                    <w14:schemeClr w14:val="tx1"/>
                  </w14:solidFill>
                </w14:textFill>
              </w:rPr>
            </w:pPr>
            <w:r>
              <w:rPr>
                <w:sz w:val="21"/>
                <w:szCs w:val="21"/>
                <w:highlight w:val="yellow"/>
              </w:rPr>
              <w:t>%</w:t>
            </w:r>
          </w:p>
        </w:tc>
        <w:tc>
          <w:tcPr>
            <w:tcW w:w="1266" w:type="dxa"/>
            <w:tcBorders>
              <w:top w:val="nil"/>
              <w:left w:val="nil"/>
              <w:bottom w:val="single" w:color="auto" w:sz="8" w:space="0"/>
              <w:right w:val="single" w:color="auto" w:sz="8" w:space="0"/>
            </w:tcBorders>
            <w:shd w:val="clear" w:color="auto" w:fill="auto"/>
            <w:vAlign w:val="center"/>
          </w:tcPr>
          <w:p>
            <w:pPr>
              <w:spacing w:line="240" w:lineRule="exact"/>
              <w:jc w:val="center"/>
              <w:rPr>
                <w:rFonts w:eastAsia="等线"/>
                <w:color w:val="000000" w:themeColor="text1"/>
                <w:kern w:val="0"/>
                <w:sz w:val="21"/>
                <w:szCs w:val="21"/>
                <w:highlight w:val="yellow"/>
                <w14:textFill>
                  <w14:solidFill>
                    <w14:schemeClr w14:val="tx1"/>
                  </w14:solidFill>
                </w14:textFill>
              </w:rPr>
            </w:pPr>
            <w:r>
              <w:rPr>
                <w:rFonts w:eastAsia="等线"/>
                <w:kern w:val="0"/>
                <w:sz w:val="21"/>
                <w:szCs w:val="21"/>
                <w:highlight w:val="yellow"/>
              </w:rPr>
              <w:t>&gt;</w:t>
            </w:r>
            <w:r>
              <w:rPr>
                <w:rFonts w:hint="eastAsia" w:eastAsia="等线"/>
                <w:kern w:val="0"/>
                <w:sz w:val="21"/>
                <w:szCs w:val="21"/>
                <w:highlight w:val="yellow"/>
              </w:rPr>
              <w:t>85</w:t>
            </w:r>
          </w:p>
        </w:tc>
        <w:tc>
          <w:tcPr>
            <w:tcW w:w="1161" w:type="dxa"/>
            <w:tcBorders>
              <w:top w:val="nil"/>
              <w:left w:val="nil"/>
              <w:bottom w:val="single" w:color="auto" w:sz="8" w:space="0"/>
              <w:right w:val="single" w:color="auto" w:sz="8" w:space="0"/>
            </w:tcBorders>
            <w:shd w:val="clear" w:color="auto" w:fill="auto"/>
            <w:vAlign w:val="center"/>
          </w:tcPr>
          <w:p>
            <w:pPr>
              <w:spacing w:line="240" w:lineRule="exact"/>
              <w:jc w:val="center"/>
              <w:rPr>
                <w:rFonts w:eastAsia="等线"/>
                <w:color w:val="000000" w:themeColor="text1"/>
                <w:kern w:val="0"/>
                <w:sz w:val="21"/>
                <w:szCs w:val="21"/>
                <w:highlight w:val="yellow"/>
                <w14:textFill>
                  <w14:solidFill>
                    <w14:schemeClr w14:val="tx1"/>
                  </w14:solidFill>
                </w14:textFill>
              </w:rPr>
            </w:pPr>
            <w:r>
              <w:rPr>
                <w:rFonts w:eastAsia="等线"/>
                <w:color w:val="000000"/>
                <w:kern w:val="0"/>
                <w:sz w:val="21"/>
                <w:szCs w:val="21"/>
                <w:highlight w:val="yellow"/>
              </w:rPr>
              <w:t>＞</w:t>
            </w:r>
            <w:r>
              <w:rPr>
                <w:rFonts w:hint="eastAsia" w:eastAsia="等线"/>
                <w:color w:val="000000"/>
                <w:kern w:val="0"/>
                <w:sz w:val="21"/>
                <w:szCs w:val="21"/>
                <w:highlight w:val="yellow"/>
              </w:rPr>
              <w:t>85</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highlight w:val="yellow"/>
                <w14:textFill>
                  <w14:solidFill>
                    <w14:schemeClr w14:val="tx1"/>
                  </w14:solidFill>
                </w14:textFill>
              </w:rPr>
            </w:pPr>
            <w:r>
              <w:rPr>
                <w:rFonts w:eastAsia="宋体"/>
                <w:kern w:val="0"/>
                <w:sz w:val="21"/>
                <w:szCs w:val="21"/>
                <w:highlight w:val="yellow"/>
              </w:rPr>
              <w:t>预期性</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highlight w:val="yellow"/>
                <w14:textFill>
                  <w14:solidFill>
                    <w14:schemeClr w14:val="tx1"/>
                  </w14:solidFill>
                </w14:textFill>
              </w:rPr>
            </w:pPr>
            <w:r>
              <w:rPr>
                <w:rFonts w:eastAsiaTheme="majorEastAsia"/>
                <w:color w:val="000000" w:themeColor="text1"/>
                <w:kern w:val="0"/>
                <w:sz w:val="21"/>
                <w:szCs w:val="21"/>
                <w:highlight w:val="yellow"/>
                <w14:textFill>
                  <w14:solidFill>
                    <w14:schemeClr w14:val="tx1"/>
                  </w14:solidFill>
                </w14:textFill>
              </w:rPr>
              <w:t>10</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highlight w:val="yellow"/>
                <w14:textFill>
                  <w14:solidFill>
                    <w14:schemeClr w14:val="tx1"/>
                  </w14:solidFill>
                </w14:textFill>
              </w:rPr>
            </w:pPr>
            <w:r>
              <w:rPr>
                <w:rFonts w:hint="eastAsia" w:eastAsia="宋体"/>
                <w:kern w:val="0"/>
                <w:sz w:val="21"/>
                <w:szCs w:val="21"/>
                <w:highlight w:val="yellow"/>
                <w:lang w:eastAsia="zh-CN"/>
              </w:rPr>
              <w:t>城乡</w:t>
            </w:r>
            <w:r>
              <w:rPr>
                <w:rFonts w:eastAsia="宋体"/>
                <w:kern w:val="0"/>
                <w:sz w:val="21"/>
                <w:szCs w:val="21"/>
                <w:highlight w:val="yellow"/>
              </w:rPr>
              <w:t>居民</w:t>
            </w:r>
            <w:r>
              <w:rPr>
                <w:rFonts w:hint="eastAsia" w:eastAsiaTheme="majorEastAsia"/>
                <w:color w:val="000000" w:themeColor="text1"/>
                <w:kern w:val="0"/>
                <w:sz w:val="21"/>
                <w:szCs w:val="21"/>
                <w:highlight w:val="yellow"/>
                <w:lang w:eastAsia="zh-CN"/>
                <w14:textFill>
                  <w14:solidFill>
                    <w14:schemeClr w14:val="tx1"/>
                  </w14:solidFill>
                </w14:textFill>
              </w:rPr>
              <w:t>基本养老保险</w:t>
            </w:r>
            <w:r>
              <w:rPr>
                <w:rFonts w:hint="eastAsia" w:eastAsiaTheme="majorEastAsia"/>
                <w:color w:val="000000" w:themeColor="text1"/>
                <w:kern w:val="0"/>
                <w:sz w:val="21"/>
                <w:szCs w:val="21"/>
                <w:highlight w:val="yellow"/>
                <w14:textFill>
                  <w14:solidFill>
                    <w14:schemeClr w14:val="tx1"/>
                  </w14:solidFill>
                </w14:textFill>
              </w:rPr>
              <w:t>政策范围内住院</w:t>
            </w:r>
            <w:r>
              <w:rPr>
                <w:rFonts w:hint="eastAsia" w:eastAsiaTheme="majorEastAsia"/>
                <w:color w:val="000000" w:themeColor="text1"/>
                <w:kern w:val="0"/>
                <w:sz w:val="21"/>
                <w:szCs w:val="21"/>
                <w:highlight w:val="yellow"/>
                <w:lang w:eastAsia="zh-CN"/>
                <w14:textFill>
                  <w14:solidFill>
                    <w14:schemeClr w14:val="tx1"/>
                  </w14:solidFill>
                </w14:textFill>
              </w:rPr>
              <w:t>费用基金支付</w:t>
            </w:r>
            <w:r>
              <w:rPr>
                <w:rFonts w:hint="eastAsia" w:eastAsiaTheme="majorEastAsia"/>
                <w:color w:val="000000" w:themeColor="text1"/>
                <w:kern w:val="0"/>
                <w:sz w:val="21"/>
                <w:szCs w:val="21"/>
                <w:highlight w:val="yellow"/>
                <w14:textFill>
                  <w14:solidFill>
                    <w14:schemeClr w14:val="tx1"/>
                  </w14:solidFill>
                </w14:textFill>
              </w:rPr>
              <w:t>比例</w:t>
            </w:r>
            <w:r>
              <w:rPr>
                <w:rFonts w:eastAsia="宋体"/>
                <w:kern w:val="0"/>
                <w:sz w:val="21"/>
                <w:szCs w:val="21"/>
                <w:highlight w:val="yellow"/>
              </w:rPr>
              <w:t>（含大病保险）</w:t>
            </w:r>
          </w:p>
        </w:tc>
        <w:tc>
          <w:tcPr>
            <w:tcW w:w="1090" w:type="dxa"/>
            <w:tcBorders>
              <w:top w:val="nil"/>
              <w:left w:val="nil"/>
              <w:bottom w:val="single" w:color="auto" w:sz="8" w:space="0"/>
              <w:right w:val="single" w:color="auto" w:sz="8" w:space="0"/>
            </w:tcBorders>
            <w:shd w:val="clear" w:color="auto" w:fill="auto"/>
            <w:vAlign w:val="center"/>
          </w:tcPr>
          <w:p>
            <w:pPr>
              <w:spacing w:line="240" w:lineRule="exact"/>
              <w:jc w:val="center"/>
              <w:rPr>
                <w:rFonts w:eastAsiaTheme="majorEastAsia"/>
                <w:color w:val="000000" w:themeColor="text1"/>
                <w:kern w:val="0"/>
                <w:sz w:val="21"/>
                <w:szCs w:val="21"/>
                <w:highlight w:val="yellow"/>
                <w14:textFill>
                  <w14:solidFill>
                    <w14:schemeClr w14:val="tx1"/>
                  </w14:solidFill>
                </w14:textFill>
              </w:rPr>
            </w:pPr>
            <w:r>
              <w:rPr>
                <w:sz w:val="21"/>
                <w:szCs w:val="21"/>
                <w:highlight w:val="yellow"/>
              </w:rPr>
              <w:t>%</w:t>
            </w:r>
          </w:p>
        </w:tc>
        <w:tc>
          <w:tcPr>
            <w:tcW w:w="1266" w:type="dxa"/>
            <w:tcBorders>
              <w:top w:val="nil"/>
              <w:left w:val="nil"/>
              <w:bottom w:val="single" w:color="auto" w:sz="8" w:space="0"/>
              <w:right w:val="single" w:color="auto" w:sz="8" w:space="0"/>
            </w:tcBorders>
            <w:shd w:val="clear" w:color="auto" w:fill="auto"/>
            <w:vAlign w:val="center"/>
          </w:tcPr>
          <w:p>
            <w:pPr>
              <w:spacing w:line="240" w:lineRule="exact"/>
              <w:jc w:val="center"/>
              <w:rPr>
                <w:rFonts w:eastAsia="等线"/>
                <w:color w:val="000000" w:themeColor="text1"/>
                <w:kern w:val="0"/>
                <w:sz w:val="21"/>
                <w:szCs w:val="21"/>
                <w:highlight w:val="yellow"/>
                <w14:textFill>
                  <w14:solidFill>
                    <w14:schemeClr w14:val="tx1"/>
                  </w14:solidFill>
                </w14:textFill>
              </w:rPr>
            </w:pPr>
            <w:r>
              <w:rPr>
                <w:rFonts w:eastAsia="等线"/>
                <w:kern w:val="0"/>
                <w:sz w:val="21"/>
                <w:szCs w:val="21"/>
                <w:highlight w:val="yellow"/>
              </w:rPr>
              <w:t>&gt;</w:t>
            </w:r>
            <w:r>
              <w:rPr>
                <w:rFonts w:hint="eastAsia" w:eastAsia="等线"/>
                <w:sz w:val="21"/>
                <w:szCs w:val="21"/>
                <w:highlight w:val="yellow"/>
              </w:rPr>
              <w:t>70</w:t>
            </w:r>
          </w:p>
        </w:tc>
        <w:tc>
          <w:tcPr>
            <w:tcW w:w="1161" w:type="dxa"/>
            <w:tcBorders>
              <w:top w:val="nil"/>
              <w:left w:val="nil"/>
              <w:bottom w:val="single" w:color="auto" w:sz="8" w:space="0"/>
              <w:right w:val="single" w:color="auto" w:sz="8" w:space="0"/>
            </w:tcBorders>
            <w:shd w:val="clear" w:color="auto" w:fill="auto"/>
            <w:vAlign w:val="center"/>
          </w:tcPr>
          <w:p>
            <w:pPr>
              <w:spacing w:line="240" w:lineRule="exact"/>
              <w:jc w:val="center"/>
              <w:rPr>
                <w:rFonts w:eastAsiaTheme="majorEastAsia"/>
                <w:color w:val="000000" w:themeColor="text1"/>
                <w:kern w:val="0"/>
                <w:sz w:val="21"/>
                <w:szCs w:val="21"/>
                <w:highlight w:val="yellow"/>
                <w14:textFill>
                  <w14:solidFill>
                    <w14:schemeClr w14:val="tx1"/>
                  </w14:solidFill>
                </w14:textFill>
              </w:rPr>
            </w:pPr>
            <w:r>
              <w:rPr>
                <w:rFonts w:hint="eastAsia"/>
                <w:sz w:val="21"/>
                <w:szCs w:val="21"/>
                <w:highlight w:val="yellow"/>
              </w:rPr>
              <w:t>70</w:t>
            </w:r>
            <w:r>
              <w:rPr>
                <w:rFonts w:eastAsia="宋体"/>
                <w:sz w:val="21"/>
                <w:szCs w:val="21"/>
                <w:highlight w:val="yellow"/>
              </w:rPr>
              <w:t>左右</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highlight w:val="yellow"/>
                <w14:textFill>
                  <w14:solidFill>
                    <w14:schemeClr w14:val="tx1"/>
                  </w14:solidFill>
                </w14:textFill>
              </w:rPr>
            </w:pPr>
            <w:r>
              <w:rPr>
                <w:rFonts w:eastAsia="宋体"/>
                <w:kern w:val="0"/>
                <w:sz w:val="21"/>
                <w:szCs w:val="21"/>
                <w:highlight w:val="yellow"/>
              </w:rPr>
              <w:t>预期性</w:t>
            </w:r>
          </w:p>
        </w:tc>
      </w:tr>
      <w:tr>
        <w:tblPrEx>
          <w:tblCellMar>
            <w:top w:w="0" w:type="dxa"/>
            <w:left w:w="108" w:type="dxa"/>
            <w:bottom w:w="0" w:type="dxa"/>
            <w:right w:w="108" w:type="dxa"/>
          </w:tblCellMar>
        </w:tblPrEx>
        <w:trPr>
          <w:trHeight w:val="292" w:hRule="atLeast"/>
          <w:jc w:val="center"/>
        </w:trPr>
        <w:tc>
          <w:tcPr>
            <w:tcW w:w="9561" w:type="dxa"/>
            <w:gridSpan w:val="6"/>
            <w:tcBorders>
              <w:top w:val="single" w:color="auto" w:sz="8" w:space="0"/>
              <w:left w:val="single" w:color="auto" w:sz="8" w:space="0"/>
              <w:bottom w:val="single" w:color="auto" w:sz="8" w:space="0"/>
              <w:right w:val="single" w:color="000000" w:sz="8" w:space="0"/>
            </w:tcBorders>
            <w:shd w:val="clear" w:color="auto" w:fill="auto"/>
            <w:vAlign w:val="center"/>
          </w:tcPr>
          <w:p>
            <w:pPr>
              <w:widowControl/>
              <w:spacing w:line="240" w:lineRule="exact"/>
              <w:jc w:val="left"/>
              <w:rPr>
                <w:rFonts w:eastAsiaTheme="majorEastAsia"/>
                <w:b/>
                <w:bCs/>
                <w:color w:val="000000" w:themeColor="text1"/>
                <w:kern w:val="0"/>
                <w:sz w:val="21"/>
                <w:szCs w:val="21"/>
                <w14:textFill>
                  <w14:solidFill>
                    <w14:schemeClr w14:val="tx1"/>
                  </w14:solidFill>
                </w14:textFill>
              </w:rPr>
            </w:pPr>
            <w:r>
              <w:rPr>
                <w:rFonts w:eastAsiaTheme="majorEastAsia"/>
                <w:b/>
                <w:bCs/>
                <w:color w:val="000000" w:themeColor="text1"/>
                <w:kern w:val="0"/>
                <w:sz w:val="21"/>
                <w:szCs w:val="21"/>
                <w14:textFill>
                  <w14:solidFill>
                    <w14:schemeClr w14:val="tx1"/>
                  </w14:solidFill>
                </w14:textFill>
              </w:rPr>
              <w:t>三、人才队伍建设</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11</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专业技术人才总量</w:t>
            </w:r>
          </w:p>
        </w:tc>
        <w:tc>
          <w:tcPr>
            <w:tcW w:w="1090"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万人</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1.57</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1.8</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预期性</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12</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其中：高级职称人才数量</w:t>
            </w:r>
          </w:p>
        </w:tc>
        <w:tc>
          <w:tcPr>
            <w:tcW w:w="1090"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万人</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0.012</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0.05</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预期性</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13</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新增取得专业技术人员职业资格证书人数</w:t>
            </w:r>
          </w:p>
        </w:tc>
        <w:tc>
          <w:tcPr>
            <w:tcW w:w="1090"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万人</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exac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 xml:space="preserve"> [ 0.0271 ]</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[ 0.115 ]</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预期性</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14</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新增取得职业资格证书或职业技能等级证书人数</w:t>
            </w:r>
          </w:p>
        </w:tc>
        <w:tc>
          <w:tcPr>
            <w:tcW w:w="1090"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万人</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hint="eastAsia" w:eastAsiaTheme="majorEastAsia"/>
                <w:color w:val="000000" w:themeColor="text1"/>
                <w:kern w:val="0"/>
                <w:sz w:val="21"/>
                <w:szCs w:val="21"/>
                <w14:textFill>
                  <w14:solidFill>
                    <w14:schemeClr w14:val="tx1"/>
                  </w14:solidFill>
                </w14:textFill>
              </w:rPr>
              <w:t>0.15</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w:t>
            </w:r>
            <w:r>
              <w:rPr>
                <w:rFonts w:hint="eastAsia" w:eastAsiaTheme="majorEastAsia"/>
                <w:color w:val="000000" w:themeColor="text1"/>
                <w:kern w:val="0"/>
                <w:sz w:val="21"/>
                <w:szCs w:val="21"/>
                <w14:textFill>
                  <w14:solidFill>
                    <w14:schemeClr w14:val="tx1"/>
                  </w14:solidFill>
                </w14:textFill>
              </w:rPr>
              <w:t>1</w:t>
            </w:r>
            <w:r>
              <w:rPr>
                <w:rFonts w:eastAsiaTheme="majorEastAsia"/>
                <w:color w:val="000000" w:themeColor="text1"/>
                <w:kern w:val="0"/>
                <w:sz w:val="21"/>
                <w:szCs w:val="21"/>
                <w14:textFill>
                  <w14:solidFill>
                    <w14:schemeClr w14:val="tx1"/>
                  </w14:solidFill>
                </w14:textFill>
              </w:rPr>
              <w:t xml:space="preserve"> ]</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预期性</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15</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其中：新增取得高级工以上职业资格证书或职业技能等级证书人数</w:t>
            </w:r>
          </w:p>
        </w:tc>
        <w:tc>
          <w:tcPr>
            <w:tcW w:w="1090"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万人</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hint="eastAsia" w:eastAsiaTheme="majorEastAsia"/>
                <w:color w:val="000000" w:themeColor="text1"/>
                <w:kern w:val="0"/>
                <w:sz w:val="21"/>
                <w:szCs w:val="21"/>
                <w14:textFill>
                  <w14:solidFill>
                    <w14:schemeClr w14:val="tx1"/>
                  </w14:solidFill>
                </w14:textFill>
              </w:rPr>
              <w:t>0.016</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[ 0.</w:t>
            </w:r>
            <w:r>
              <w:rPr>
                <w:rFonts w:hint="eastAsia" w:eastAsiaTheme="majorEastAsia"/>
                <w:color w:val="000000" w:themeColor="text1"/>
                <w:kern w:val="0"/>
                <w:sz w:val="21"/>
                <w:szCs w:val="21"/>
                <w14:textFill>
                  <w14:solidFill>
                    <w14:schemeClr w14:val="tx1"/>
                  </w14:solidFill>
                </w14:textFill>
              </w:rPr>
              <w:t>08</w:t>
            </w:r>
            <w:r>
              <w:rPr>
                <w:rFonts w:eastAsiaTheme="majorEastAsia"/>
                <w:color w:val="000000" w:themeColor="text1"/>
                <w:kern w:val="0"/>
                <w:sz w:val="21"/>
                <w:szCs w:val="21"/>
                <w14:textFill>
                  <w14:solidFill>
                    <w14:schemeClr w14:val="tx1"/>
                  </w14:solidFill>
                </w14:textFill>
              </w:rPr>
              <w:t xml:space="preserve"> ]</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预期性</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16</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技工</w:t>
            </w:r>
            <w:r>
              <w:rPr>
                <w:rFonts w:hint="eastAsia" w:eastAsiaTheme="majorEastAsia"/>
                <w:color w:val="000000" w:themeColor="text1"/>
                <w:kern w:val="0"/>
                <w:sz w:val="21"/>
                <w:szCs w:val="21"/>
                <w14:textFill>
                  <w14:solidFill>
                    <w14:schemeClr w14:val="tx1"/>
                  </w14:solidFill>
                </w14:textFill>
              </w:rPr>
              <w:t>学</w:t>
            </w:r>
            <w:r>
              <w:rPr>
                <w:rFonts w:eastAsiaTheme="majorEastAsia"/>
                <w:color w:val="000000" w:themeColor="text1"/>
                <w:kern w:val="0"/>
                <w:sz w:val="21"/>
                <w:szCs w:val="21"/>
                <w14:textFill>
                  <w14:solidFill>
                    <w14:schemeClr w14:val="tx1"/>
                  </w14:solidFill>
                </w14:textFill>
              </w:rPr>
              <w:t>校年招生人数</w:t>
            </w:r>
          </w:p>
        </w:tc>
        <w:tc>
          <w:tcPr>
            <w:tcW w:w="1090"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万人</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[0.15]</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FF0000"/>
                <w:kern w:val="0"/>
                <w:sz w:val="21"/>
                <w:szCs w:val="21"/>
              </w:rPr>
            </w:pPr>
            <w:r>
              <w:rPr>
                <w:rFonts w:eastAsiaTheme="majorEastAsia"/>
                <w:kern w:val="0"/>
                <w:sz w:val="21"/>
                <w:szCs w:val="21"/>
              </w:rPr>
              <w:t>[0.9]</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预期性</w:t>
            </w:r>
          </w:p>
        </w:tc>
      </w:tr>
      <w:tr>
        <w:tblPrEx>
          <w:tblCellMar>
            <w:top w:w="0" w:type="dxa"/>
            <w:left w:w="108" w:type="dxa"/>
            <w:bottom w:w="0" w:type="dxa"/>
            <w:right w:w="108" w:type="dxa"/>
          </w:tblCellMar>
        </w:tblPrEx>
        <w:trPr>
          <w:trHeight w:val="339" w:hRule="atLeast"/>
          <w:jc w:val="center"/>
        </w:trPr>
        <w:tc>
          <w:tcPr>
            <w:tcW w:w="9561" w:type="dxa"/>
            <w:gridSpan w:val="6"/>
            <w:tcBorders>
              <w:top w:val="single" w:color="auto" w:sz="8" w:space="0"/>
              <w:left w:val="single" w:color="auto" w:sz="8" w:space="0"/>
              <w:bottom w:val="single" w:color="auto" w:sz="8" w:space="0"/>
              <w:right w:val="single" w:color="000000" w:sz="8" w:space="0"/>
            </w:tcBorders>
            <w:shd w:val="clear" w:color="auto" w:fill="auto"/>
            <w:vAlign w:val="center"/>
          </w:tcPr>
          <w:p>
            <w:pPr>
              <w:widowControl/>
              <w:spacing w:line="240" w:lineRule="exact"/>
              <w:jc w:val="left"/>
              <w:rPr>
                <w:rFonts w:eastAsiaTheme="majorEastAsia"/>
                <w:b/>
                <w:bCs/>
                <w:color w:val="000000" w:themeColor="text1"/>
                <w:kern w:val="0"/>
                <w:sz w:val="21"/>
                <w:szCs w:val="21"/>
                <w14:textFill>
                  <w14:solidFill>
                    <w14:schemeClr w14:val="tx1"/>
                  </w14:solidFill>
                </w14:textFill>
              </w:rPr>
            </w:pPr>
            <w:r>
              <w:rPr>
                <w:rFonts w:eastAsiaTheme="majorEastAsia"/>
                <w:b/>
                <w:bCs/>
                <w:color w:val="000000" w:themeColor="text1"/>
                <w:kern w:val="0"/>
                <w:sz w:val="21"/>
                <w:szCs w:val="21"/>
                <w14:textFill>
                  <w14:solidFill>
                    <w14:schemeClr w14:val="tx1"/>
                  </w14:solidFill>
                </w14:textFill>
              </w:rPr>
              <w:t>四、职业技能培训</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17</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开展补贴性职业技能培训人次</w:t>
            </w:r>
          </w:p>
        </w:tc>
        <w:tc>
          <w:tcPr>
            <w:tcW w:w="1090"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万人次</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hint="eastAsia" w:eastAsiaTheme="majorEastAsia"/>
                <w:color w:val="000000" w:themeColor="text1"/>
                <w:kern w:val="0"/>
                <w:sz w:val="21"/>
                <w:szCs w:val="21"/>
                <w14:textFill>
                  <w14:solidFill>
                    <w14:schemeClr w14:val="tx1"/>
                  </w14:solidFill>
                </w14:textFill>
              </w:rPr>
              <w:t>0.398</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w:t>
            </w:r>
            <w:r>
              <w:rPr>
                <w:rFonts w:hint="eastAsia" w:eastAsiaTheme="majorEastAsia"/>
                <w:color w:val="000000" w:themeColor="text1"/>
                <w:kern w:val="0"/>
                <w:sz w:val="21"/>
                <w:szCs w:val="21"/>
                <w14:textFill>
                  <w14:solidFill>
                    <w14:schemeClr w14:val="tx1"/>
                  </w14:solidFill>
                </w14:textFill>
              </w:rPr>
              <w:t>2</w:t>
            </w:r>
            <w:r>
              <w:rPr>
                <w:rFonts w:eastAsiaTheme="majorEastAsia"/>
                <w:color w:val="000000" w:themeColor="text1"/>
                <w:kern w:val="0"/>
                <w:sz w:val="21"/>
                <w:szCs w:val="21"/>
                <w14:textFill>
                  <w14:solidFill>
                    <w14:schemeClr w14:val="tx1"/>
                  </w14:solidFill>
                </w14:textFill>
              </w:rPr>
              <w:t xml:space="preserve"> ]</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预期性</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18</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农民工参加职业技能培训人次</w:t>
            </w:r>
          </w:p>
        </w:tc>
        <w:tc>
          <w:tcPr>
            <w:tcW w:w="1090"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万人次</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hint="eastAsia" w:eastAsiaTheme="majorEastAsia"/>
                <w:color w:val="000000" w:themeColor="text1"/>
                <w:kern w:val="0"/>
                <w:sz w:val="21"/>
                <w:szCs w:val="21"/>
                <w14:textFill>
                  <w14:solidFill>
                    <w14:schemeClr w14:val="tx1"/>
                  </w14:solidFill>
                </w14:textFill>
              </w:rPr>
              <w:t>0.25</w:t>
            </w:r>
            <w:r>
              <w:rPr>
                <w:rFonts w:eastAsiaTheme="majorEastAsia"/>
                <w:color w:val="000000" w:themeColor="text1"/>
                <w:kern w:val="0"/>
                <w:sz w:val="21"/>
                <w:szCs w:val="21"/>
                <w14:textFill>
                  <w14:solidFill>
                    <w14:schemeClr w14:val="tx1"/>
                  </w14:solidFill>
                </w14:textFill>
              </w:rPr>
              <w:t>　</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w:t>
            </w:r>
            <w:r>
              <w:rPr>
                <w:rFonts w:hint="eastAsia" w:eastAsiaTheme="majorEastAsia"/>
                <w:color w:val="000000" w:themeColor="text1"/>
                <w:kern w:val="0"/>
                <w:sz w:val="21"/>
                <w:szCs w:val="21"/>
                <w14:textFill>
                  <w14:solidFill>
                    <w14:schemeClr w14:val="tx1"/>
                  </w14:solidFill>
                </w14:textFill>
              </w:rPr>
              <w:t>1</w:t>
            </w:r>
            <w:r>
              <w:rPr>
                <w:rFonts w:eastAsiaTheme="majorEastAsia"/>
                <w:color w:val="000000" w:themeColor="text1"/>
                <w:kern w:val="0"/>
                <w:sz w:val="21"/>
                <w:szCs w:val="21"/>
                <w14:textFill>
                  <w14:solidFill>
                    <w14:schemeClr w14:val="tx1"/>
                  </w14:solidFill>
                </w14:textFill>
              </w:rPr>
              <w:t xml:space="preserve"> ]　</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预期性</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19</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“粤菜师傅”培训人次</w:t>
            </w:r>
          </w:p>
        </w:tc>
        <w:tc>
          <w:tcPr>
            <w:tcW w:w="1090"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万人次</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[0.0725]</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u w:val="single"/>
                <w14:textFill>
                  <w14:solidFill>
                    <w14:schemeClr w14:val="tx1"/>
                  </w14:solidFill>
                </w14:textFill>
              </w:rPr>
            </w:pPr>
            <w:r>
              <w:rPr>
                <w:rFonts w:eastAsiaTheme="majorEastAsia"/>
                <w:color w:val="000000" w:themeColor="text1"/>
                <w:kern w:val="0"/>
                <w:sz w:val="21"/>
                <w:szCs w:val="21"/>
                <w:u w:val="single"/>
                <w14:textFill>
                  <w14:solidFill>
                    <w14:schemeClr w14:val="tx1"/>
                  </w14:solidFill>
                </w14:textFill>
              </w:rPr>
              <w:t>[0.15]</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预期性</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20</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“南粤家政”培训人次</w:t>
            </w:r>
          </w:p>
        </w:tc>
        <w:tc>
          <w:tcPr>
            <w:tcW w:w="1090"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万人次</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[0.6175]</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[0.75]</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预期性</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hint="eastAsia" w:eastAsiaTheme="majorEastAsia"/>
                <w:color w:val="000000" w:themeColor="text1"/>
                <w:kern w:val="0"/>
                <w:sz w:val="21"/>
                <w:szCs w:val="21"/>
                <w14:textFill>
                  <w14:solidFill>
                    <w14:schemeClr w14:val="tx1"/>
                  </w14:solidFill>
                </w14:textFill>
              </w:rPr>
              <w:t>21</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cs="宋体" w:asciiTheme="majorEastAsia" w:hAnsiTheme="majorEastAsia" w:eastAsiaTheme="majorEastAsia"/>
                <w:color w:val="000000" w:themeColor="text1"/>
                <w:kern w:val="0"/>
                <w:sz w:val="21"/>
                <w:szCs w:val="21"/>
                <w14:textFill>
                  <w14:solidFill>
                    <w14:schemeClr w14:val="tx1"/>
                  </w14:solidFill>
                </w14:textFill>
              </w:rPr>
            </w:pPr>
            <w:r>
              <w:rPr>
                <w:rFonts w:hint="eastAsia" w:cs="宋体" w:asciiTheme="majorEastAsia" w:hAnsiTheme="majorEastAsia" w:eastAsiaTheme="majorEastAsia"/>
                <w:color w:val="000000" w:themeColor="text1"/>
                <w:kern w:val="0"/>
                <w:sz w:val="21"/>
                <w:szCs w:val="21"/>
                <w14:textFill>
                  <w14:solidFill>
                    <w14:schemeClr w14:val="tx1"/>
                  </w14:solidFill>
                </w14:textFill>
              </w:rPr>
              <w:t>“农村电商”培训人次</w:t>
            </w:r>
          </w:p>
        </w:tc>
        <w:tc>
          <w:tcPr>
            <w:tcW w:w="1090"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cs="宋体" w:asciiTheme="majorEastAsia" w:hAnsiTheme="majorEastAsia" w:eastAsiaTheme="majorEastAsia"/>
                <w:color w:val="000000" w:themeColor="text1"/>
                <w:kern w:val="0"/>
                <w:sz w:val="21"/>
                <w:szCs w:val="21"/>
                <w14:textFill>
                  <w14:solidFill>
                    <w14:schemeClr w14:val="tx1"/>
                  </w14:solidFill>
                </w14:textFill>
              </w:rPr>
            </w:pPr>
            <w:r>
              <w:rPr>
                <w:rFonts w:hint="eastAsia" w:cs="宋体" w:asciiTheme="majorEastAsia" w:hAnsiTheme="majorEastAsia" w:eastAsiaTheme="majorEastAsia"/>
                <w:color w:val="000000" w:themeColor="text1"/>
                <w:kern w:val="0"/>
                <w:sz w:val="21"/>
                <w:szCs w:val="21"/>
                <w14:textFill>
                  <w14:solidFill>
                    <w14:schemeClr w14:val="tx1"/>
                  </w14:solidFill>
                </w14:textFill>
              </w:rPr>
              <w:t>万人次</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方正仿宋简体"/>
                <w:color w:val="000000" w:themeColor="text1"/>
                <w:kern w:val="0"/>
                <w:sz w:val="21"/>
                <w:szCs w:val="21"/>
                <w14:textFill>
                  <w14:solidFill>
                    <w14:schemeClr w14:val="tx1"/>
                  </w14:solidFill>
                </w14:textFill>
              </w:rPr>
            </w:pPr>
            <w:r>
              <w:rPr>
                <w:rFonts w:eastAsia="方正仿宋简体"/>
                <w:color w:val="000000" w:themeColor="text1"/>
                <w:kern w:val="0"/>
                <w:sz w:val="21"/>
                <w:szCs w:val="21"/>
                <w14:textFill>
                  <w14:solidFill>
                    <w14:schemeClr w14:val="tx1"/>
                  </w14:solidFill>
                </w14:textFill>
              </w:rPr>
              <w:t>[0.024]</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方正仿宋简体"/>
                <w:color w:val="000000" w:themeColor="text1"/>
                <w:kern w:val="0"/>
                <w:sz w:val="21"/>
                <w:szCs w:val="21"/>
                <w14:textFill>
                  <w14:solidFill>
                    <w14:schemeClr w14:val="tx1"/>
                  </w14:solidFill>
                </w14:textFill>
              </w:rPr>
            </w:pPr>
            <w:r>
              <w:rPr>
                <w:rFonts w:eastAsia="方正仿宋简体"/>
                <w:color w:val="000000" w:themeColor="text1"/>
                <w:kern w:val="0"/>
                <w:sz w:val="21"/>
                <w:szCs w:val="21"/>
                <w14:textFill>
                  <w14:solidFill>
                    <w14:schemeClr w14:val="tx1"/>
                  </w14:solidFill>
                </w14:textFill>
              </w:rPr>
              <w:t>[0.1]</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cs="宋体" w:asciiTheme="majorEastAsia" w:hAnsiTheme="majorEastAsia" w:eastAsiaTheme="majorEastAsia"/>
                <w:color w:val="000000" w:themeColor="text1"/>
                <w:kern w:val="0"/>
                <w:sz w:val="21"/>
                <w:szCs w:val="21"/>
                <w14:textFill>
                  <w14:solidFill>
                    <w14:schemeClr w14:val="tx1"/>
                  </w14:solidFill>
                </w14:textFill>
              </w:rPr>
            </w:pPr>
            <w:r>
              <w:rPr>
                <w:rFonts w:hint="eastAsia" w:cs="宋体" w:asciiTheme="majorEastAsia" w:hAnsiTheme="majorEastAsia" w:eastAsiaTheme="majorEastAsia"/>
                <w:color w:val="000000" w:themeColor="text1"/>
                <w:kern w:val="0"/>
                <w:sz w:val="21"/>
                <w:szCs w:val="21"/>
                <w14:textFill>
                  <w14:solidFill>
                    <w14:schemeClr w14:val="tx1"/>
                  </w14:solidFill>
                </w14:textFill>
              </w:rPr>
              <w:t>预期性</w:t>
            </w:r>
          </w:p>
        </w:tc>
      </w:tr>
      <w:tr>
        <w:tblPrEx>
          <w:tblCellMar>
            <w:top w:w="0" w:type="dxa"/>
            <w:left w:w="108" w:type="dxa"/>
            <w:bottom w:w="0" w:type="dxa"/>
            <w:right w:w="108" w:type="dxa"/>
          </w:tblCellMar>
        </w:tblPrEx>
        <w:trPr>
          <w:trHeight w:val="339" w:hRule="atLeast"/>
          <w:jc w:val="center"/>
        </w:trPr>
        <w:tc>
          <w:tcPr>
            <w:tcW w:w="9561" w:type="dxa"/>
            <w:gridSpan w:val="6"/>
            <w:tcBorders>
              <w:top w:val="single" w:color="auto" w:sz="8" w:space="0"/>
              <w:left w:val="single" w:color="auto" w:sz="8" w:space="0"/>
              <w:bottom w:val="single" w:color="auto" w:sz="8" w:space="0"/>
              <w:right w:val="single" w:color="000000" w:sz="8" w:space="0"/>
            </w:tcBorders>
            <w:shd w:val="clear" w:color="auto" w:fill="auto"/>
            <w:vAlign w:val="center"/>
          </w:tcPr>
          <w:p>
            <w:pPr>
              <w:widowControl/>
              <w:spacing w:line="240" w:lineRule="exact"/>
              <w:jc w:val="left"/>
              <w:rPr>
                <w:rFonts w:eastAsiaTheme="majorEastAsia"/>
                <w:b/>
                <w:bCs/>
                <w:color w:val="000000" w:themeColor="text1"/>
                <w:kern w:val="0"/>
                <w:sz w:val="21"/>
                <w:szCs w:val="21"/>
                <w14:textFill>
                  <w14:solidFill>
                    <w14:schemeClr w14:val="tx1"/>
                  </w14:solidFill>
                </w14:textFill>
              </w:rPr>
            </w:pPr>
            <w:r>
              <w:rPr>
                <w:rFonts w:eastAsiaTheme="majorEastAsia"/>
                <w:b/>
                <w:bCs/>
                <w:color w:val="000000" w:themeColor="text1"/>
                <w:kern w:val="0"/>
                <w:sz w:val="21"/>
                <w:szCs w:val="21"/>
                <w14:textFill>
                  <w14:solidFill>
                    <w14:schemeClr w14:val="tx1"/>
                  </w14:solidFill>
                </w14:textFill>
              </w:rPr>
              <w:t>五、劳动关系协调</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2</w:t>
            </w:r>
            <w:r>
              <w:rPr>
                <w:rFonts w:hint="eastAsia" w:eastAsiaTheme="majorEastAsia"/>
                <w:color w:val="000000" w:themeColor="text1"/>
                <w:kern w:val="0"/>
                <w:sz w:val="21"/>
                <w:szCs w:val="21"/>
                <w14:textFill>
                  <w14:solidFill>
                    <w14:schemeClr w14:val="tx1"/>
                  </w14:solidFill>
                </w14:textFill>
              </w:rPr>
              <w:t>2</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劳动人事争议调解成功率</w:t>
            </w:r>
          </w:p>
        </w:tc>
        <w:tc>
          <w:tcPr>
            <w:tcW w:w="1090"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60</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75</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约束性</w:t>
            </w:r>
          </w:p>
        </w:tc>
      </w:tr>
      <w:tr>
        <w:tblPrEx>
          <w:tblCellMar>
            <w:top w:w="0" w:type="dxa"/>
            <w:left w:w="108" w:type="dxa"/>
            <w:bottom w:w="0" w:type="dxa"/>
            <w:right w:w="108" w:type="dxa"/>
          </w:tblCellMar>
        </w:tblPrEx>
        <w:trPr>
          <w:trHeight w:val="339" w:hRule="atLeast"/>
          <w:jc w:val="center"/>
        </w:trPr>
        <w:tc>
          <w:tcPr>
            <w:tcW w:w="1224" w:type="dxa"/>
            <w:tcBorders>
              <w:top w:val="nil"/>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2</w:t>
            </w:r>
            <w:r>
              <w:rPr>
                <w:rFonts w:hint="eastAsia" w:eastAsiaTheme="majorEastAsia"/>
                <w:color w:val="000000" w:themeColor="text1"/>
                <w:kern w:val="0"/>
                <w:sz w:val="21"/>
                <w:szCs w:val="21"/>
                <w14:textFill>
                  <w14:solidFill>
                    <w14:schemeClr w14:val="tx1"/>
                  </w14:solidFill>
                </w14:textFill>
              </w:rPr>
              <w:t>3</w:t>
            </w:r>
          </w:p>
        </w:tc>
        <w:tc>
          <w:tcPr>
            <w:tcW w:w="3596" w:type="dxa"/>
            <w:tcBorders>
              <w:top w:val="nil"/>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劳动人事争议仲裁结案率</w:t>
            </w:r>
          </w:p>
        </w:tc>
        <w:tc>
          <w:tcPr>
            <w:tcW w:w="1090"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w:t>
            </w:r>
          </w:p>
        </w:tc>
        <w:tc>
          <w:tcPr>
            <w:tcW w:w="1266"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90</w:t>
            </w:r>
          </w:p>
        </w:tc>
        <w:tc>
          <w:tcPr>
            <w:tcW w:w="1161"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95</w:t>
            </w:r>
          </w:p>
        </w:tc>
        <w:tc>
          <w:tcPr>
            <w:tcW w:w="1224" w:type="dxa"/>
            <w:tcBorders>
              <w:top w:val="nil"/>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约束性</w:t>
            </w:r>
          </w:p>
        </w:tc>
      </w:tr>
      <w:tr>
        <w:tblPrEx>
          <w:tblCellMar>
            <w:top w:w="0" w:type="dxa"/>
            <w:left w:w="108" w:type="dxa"/>
            <w:bottom w:w="0" w:type="dxa"/>
            <w:right w:w="108" w:type="dxa"/>
          </w:tblCellMar>
        </w:tblPrEx>
        <w:trPr>
          <w:trHeight w:val="339" w:hRule="atLeast"/>
          <w:jc w:val="center"/>
        </w:trPr>
        <w:tc>
          <w:tcPr>
            <w:tcW w:w="1224"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2</w:t>
            </w:r>
            <w:r>
              <w:rPr>
                <w:rFonts w:hint="eastAsia" w:eastAsiaTheme="majorEastAsia"/>
                <w:color w:val="000000" w:themeColor="text1"/>
                <w:kern w:val="0"/>
                <w:sz w:val="21"/>
                <w:szCs w:val="21"/>
                <w14:textFill>
                  <w14:solidFill>
                    <w14:schemeClr w14:val="tx1"/>
                  </w14:solidFill>
                </w14:textFill>
              </w:rPr>
              <w:t>4</w:t>
            </w:r>
          </w:p>
        </w:tc>
        <w:tc>
          <w:tcPr>
            <w:tcW w:w="3596"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劳动保障监察举报投诉案件结案率</w:t>
            </w:r>
          </w:p>
        </w:tc>
        <w:tc>
          <w:tcPr>
            <w:tcW w:w="1090"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w:t>
            </w:r>
          </w:p>
        </w:tc>
        <w:tc>
          <w:tcPr>
            <w:tcW w:w="1266"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99.67</w:t>
            </w:r>
          </w:p>
        </w:tc>
        <w:tc>
          <w:tcPr>
            <w:tcW w:w="1161"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98</w:t>
            </w:r>
          </w:p>
        </w:tc>
        <w:tc>
          <w:tcPr>
            <w:tcW w:w="1224"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约束性</w:t>
            </w:r>
          </w:p>
        </w:tc>
      </w:tr>
      <w:tr>
        <w:tblPrEx>
          <w:tblCellMar>
            <w:top w:w="0" w:type="dxa"/>
            <w:left w:w="108" w:type="dxa"/>
            <w:bottom w:w="0" w:type="dxa"/>
            <w:right w:w="108" w:type="dxa"/>
          </w:tblCellMar>
        </w:tblPrEx>
        <w:trPr>
          <w:trHeight w:val="339" w:hRule="atLeast"/>
          <w:jc w:val="center"/>
        </w:trPr>
        <w:tc>
          <w:tcPr>
            <w:tcW w:w="9561"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line="240" w:lineRule="exact"/>
              <w:jc w:val="left"/>
              <w:rPr>
                <w:rFonts w:eastAsiaTheme="majorEastAsia"/>
                <w:b/>
                <w:color w:val="000000" w:themeColor="text1"/>
                <w:kern w:val="0"/>
                <w:sz w:val="21"/>
                <w:szCs w:val="21"/>
                <w14:textFill>
                  <w14:solidFill>
                    <w14:schemeClr w14:val="tx1"/>
                  </w14:solidFill>
                </w14:textFill>
              </w:rPr>
            </w:pPr>
            <w:r>
              <w:rPr>
                <w:rFonts w:eastAsiaTheme="majorEastAsia"/>
                <w:b/>
                <w:color w:val="000000" w:themeColor="text1"/>
                <w:kern w:val="0"/>
                <w:sz w:val="21"/>
                <w:szCs w:val="21"/>
                <w14:textFill>
                  <w14:solidFill>
                    <w14:schemeClr w14:val="tx1"/>
                  </w14:solidFill>
                </w14:textFill>
              </w:rPr>
              <w:t>六、公共服务</w:t>
            </w:r>
          </w:p>
        </w:tc>
      </w:tr>
      <w:tr>
        <w:tblPrEx>
          <w:tblCellMar>
            <w:top w:w="0" w:type="dxa"/>
            <w:left w:w="108" w:type="dxa"/>
            <w:bottom w:w="0" w:type="dxa"/>
            <w:right w:w="108" w:type="dxa"/>
          </w:tblCellMar>
        </w:tblPrEx>
        <w:trPr>
          <w:trHeight w:val="339" w:hRule="atLeast"/>
          <w:jc w:val="center"/>
        </w:trPr>
        <w:tc>
          <w:tcPr>
            <w:tcW w:w="1224"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2</w:t>
            </w:r>
            <w:r>
              <w:rPr>
                <w:rFonts w:hint="eastAsia" w:eastAsiaTheme="majorEastAsia"/>
                <w:color w:val="000000" w:themeColor="text1"/>
                <w:kern w:val="0"/>
                <w:sz w:val="21"/>
                <w:szCs w:val="21"/>
                <w14:textFill>
                  <w14:solidFill>
                    <w14:schemeClr w14:val="tx1"/>
                  </w14:solidFill>
                </w14:textFill>
              </w:rPr>
              <w:t>5</w:t>
            </w:r>
          </w:p>
        </w:tc>
        <w:tc>
          <w:tcPr>
            <w:tcW w:w="3596"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社会保障卡持卡人数</w:t>
            </w:r>
          </w:p>
        </w:tc>
        <w:tc>
          <w:tcPr>
            <w:tcW w:w="1090"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exac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 xml:space="preserve">   万人</w:t>
            </w:r>
          </w:p>
        </w:tc>
        <w:tc>
          <w:tcPr>
            <w:tcW w:w="1266"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80　</w:t>
            </w:r>
          </w:p>
        </w:tc>
        <w:tc>
          <w:tcPr>
            <w:tcW w:w="1161"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98　</w:t>
            </w:r>
          </w:p>
        </w:tc>
        <w:tc>
          <w:tcPr>
            <w:tcW w:w="1224" w:type="dxa"/>
            <w:tcBorders>
              <w:top w:val="single" w:color="auto" w:sz="8" w:space="0"/>
              <w:left w:val="nil"/>
              <w:bottom w:val="single" w:color="auto" w:sz="8"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约束性</w:t>
            </w:r>
          </w:p>
        </w:tc>
      </w:tr>
      <w:tr>
        <w:tblPrEx>
          <w:tblCellMar>
            <w:top w:w="0" w:type="dxa"/>
            <w:left w:w="108" w:type="dxa"/>
            <w:bottom w:w="0" w:type="dxa"/>
            <w:right w:w="108" w:type="dxa"/>
          </w:tblCellMar>
        </w:tblPrEx>
        <w:trPr>
          <w:trHeight w:val="339" w:hRule="atLeast"/>
          <w:jc w:val="center"/>
        </w:trPr>
        <w:tc>
          <w:tcPr>
            <w:tcW w:w="1224" w:type="dxa"/>
            <w:tcBorders>
              <w:top w:val="single" w:color="auto" w:sz="8" w:space="0"/>
              <w:left w:val="single" w:color="auto" w:sz="8" w:space="0"/>
              <w:bottom w:val="single" w:color="auto" w:sz="4"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2</w:t>
            </w:r>
            <w:r>
              <w:rPr>
                <w:rFonts w:hint="eastAsia" w:eastAsiaTheme="majorEastAsia"/>
                <w:color w:val="000000" w:themeColor="text1"/>
                <w:kern w:val="0"/>
                <w:sz w:val="21"/>
                <w:szCs w:val="21"/>
                <w14:textFill>
                  <w14:solidFill>
                    <w14:schemeClr w14:val="tx1"/>
                  </w14:solidFill>
                </w14:textFill>
              </w:rPr>
              <w:t>6</w:t>
            </w:r>
          </w:p>
        </w:tc>
        <w:tc>
          <w:tcPr>
            <w:tcW w:w="3596" w:type="dxa"/>
            <w:tcBorders>
              <w:top w:val="single" w:color="auto" w:sz="8" w:space="0"/>
              <w:left w:val="nil"/>
              <w:bottom w:val="single" w:color="auto" w:sz="4" w:space="0"/>
              <w:right w:val="single" w:color="auto" w:sz="8" w:space="0"/>
            </w:tcBorders>
            <w:shd w:val="clear" w:color="auto" w:fill="auto"/>
            <w:vAlign w:val="center"/>
          </w:tcPr>
          <w:p>
            <w:pPr>
              <w:widowControl/>
              <w:spacing w:line="240" w:lineRule="exact"/>
              <w:jc w:val="left"/>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其中：申领电子社保卡人口覆盖率</w:t>
            </w:r>
          </w:p>
        </w:tc>
        <w:tc>
          <w:tcPr>
            <w:tcW w:w="1090" w:type="dxa"/>
            <w:tcBorders>
              <w:top w:val="single" w:color="auto" w:sz="8" w:space="0"/>
              <w:left w:val="nil"/>
              <w:bottom w:val="single" w:color="auto" w:sz="4"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w:t>
            </w:r>
          </w:p>
        </w:tc>
        <w:tc>
          <w:tcPr>
            <w:tcW w:w="1266" w:type="dxa"/>
            <w:tcBorders>
              <w:top w:val="single" w:color="auto" w:sz="8" w:space="0"/>
              <w:left w:val="nil"/>
              <w:bottom w:val="single" w:color="auto" w:sz="4"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10</w:t>
            </w:r>
          </w:p>
        </w:tc>
        <w:tc>
          <w:tcPr>
            <w:tcW w:w="1161" w:type="dxa"/>
            <w:tcBorders>
              <w:top w:val="single" w:color="auto" w:sz="8" w:space="0"/>
              <w:left w:val="nil"/>
              <w:bottom w:val="single" w:color="auto" w:sz="4"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50</w:t>
            </w:r>
          </w:p>
        </w:tc>
        <w:tc>
          <w:tcPr>
            <w:tcW w:w="1224" w:type="dxa"/>
            <w:tcBorders>
              <w:top w:val="single" w:color="auto" w:sz="8" w:space="0"/>
              <w:left w:val="nil"/>
              <w:bottom w:val="single" w:color="auto" w:sz="4" w:space="0"/>
              <w:right w:val="single" w:color="auto" w:sz="8" w:space="0"/>
            </w:tcBorders>
            <w:shd w:val="clear" w:color="auto" w:fill="auto"/>
            <w:vAlign w:val="center"/>
          </w:tcPr>
          <w:p>
            <w:pPr>
              <w:widowControl/>
              <w:spacing w:line="240" w:lineRule="exact"/>
              <w:jc w:val="center"/>
              <w:rPr>
                <w:rFonts w:eastAsiaTheme="majorEastAsia"/>
                <w:color w:val="000000" w:themeColor="text1"/>
                <w:kern w:val="0"/>
                <w:sz w:val="21"/>
                <w:szCs w:val="21"/>
                <w14:textFill>
                  <w14:solidFill>
                    <w14:schemeClr w14:val="tx1"/>
                  </w14:solidFill>
                </w14:textFill>
              </w:rPr>
            </w:pPr>
            <w:r>
              <w:rPr>
                <w:rFonts w:eastAsiaTheme="majorEastAsia"/>
                <w:color w:val="000000" w:themeColor="text1"/>
                <w:kern w:val="0"/>
                <w:sz w:val="21"/>
                <w:szCs w:val="21"/>
                <w14:textFill>
                  <w14:solidFill>
                    <w14:schemeClr w14:val="tx1"/>
                  </w14:solidFill>
                </w14:textFill>
              </w:rPr>
              <w:t>预期性</w:t>
            </w:r>
          </w:p>
        </w:tc>
      </w:tr>
    </w:tbl>
    <w:p>
      <w:pPr>
        <w:pStyle w:val="3"/>
        <w:spacing w:line="580" w:lineRule="exact"/>
        <w:rPr>
          <w:rFonts w:ascii="方正小标宋简体" w:hAnsi="方正小标宋简体" w:eastAsia="方正小标宋简体" w:cs="方正小标宋简体"/>
          <w:b w:val="0"/>
          <w:bCs/>
          <w:color w:val="000000" w:themeColor="text1"/>
          <w14:textFill>
            <w14:solidFill>
              <w14:schemeClr w14:val="tx1"/>
            </w14:solidFill>
          </w14:textFill>
        </w:rPr>
      </w:pPr>
      <w:r>
        <w:fldChar w:fldCharType="begin"/>
      </w:r>
      <w:r>
        <w:instrText xml:space="preserve"> HYPERLINK \l "_Toc23013" </w:instrText>
      </w:r>
      <w:r>
        <w:fldChar w:fldCharType="separate"/>
      </w:r>
      <w:r>
        <w:rPr>
          <w:rFonts w:hint="eastAsia" w:ascii="方正小标宋简体" w:hAnsi="方正小标宋简体" w:eastAsia="方正小标宋简体" w:cs="方正小标宋简体"/>
          <w:b w:val="0"/>
          <w:bCs/>
          <w:color w:val="000000" w:themeColor="text1"/>
          <w14:textFill>
            <w14:solidFill>
              <w14:schemeClr w14:val="tx1"/>
            </w14:solidFill>
          </w14:textFill>
        </w:rPr>
        <w:t>第三章 用好人社政策促进城乡协调发展</w:t>
      </w:r>
      <w:r>
        <w:rPr>
          <w:rFonts w:hint="eastAsia" w:ascii="方正小标宋简体" w:hAnsi="方正小标宋简体" w:eastAsia="方正小标宋简体" w:cs="方正小标宋简体"/>
          <w:b w:val="0"/>
          <w:bCs/>
          <w:color w:val="000000" w:themeColor="text1"/>
          <w14:textFill>
            <w14:solidFill>
              <w14:schemeClr w14:val="tx1"/>
            </w14:solidFill>
          </w14:textFill>
        </w:rPr>
        <w:fldChar w:fldCharType="end"/>
      </w:r>
    </w:p>
    <w:p>
      <w:pPr>
        <w:pStyle w:val="23"/>
        <w:widowControl/>
        <w:spacing w:line="580" w:lineRule="exact"/>
        <w:ind w:firstLine="640" w:firstLineChars="200"/>
        <w:rPr>
          <w:rFonts w:ascii="Times New Roman" w:hAnsi="Times New Roman" w:eastAsia="方正仿宋简体" w:cs="Times New Roman"/>
          <w:color w:val="000000" w:themeColor="text1"/>
          <w:kern w:val="0"/>
          <w:sz w:val="32"/>
          <w14:textFill>
            <w14:solidFill>
              <w14:schemeClr w14:val="tx1"/>
            </w14:solidFill>
          </w14:textFill>
        </w:rPr>
      </w:pPr>
      <w:r>
        <w:rPr>
          <w:rFonts w:ascii="Times New Roman" w:hAnsi="Times New Roman" w:eastAsia="方正仿宋简体" w:cs="Times New Roman"/>
          <w:color w:val="000000" w:themeColor="text1"/>
          <w:sz w:val="32"/>
          <w14:textFill>
            <w14:solidFill>
              <w14:schemeClr w14:val="tx1"/>
            </w14:solidFill>
          </w14:textFill>
        </w:rPr>
        <w:t>充分利用粤港澳大湾区和深圳先行示范区的“双区驱动”效应，以及</w:t>
      </w:r>
      <w:r>
        <w:rPr>
          <w:rFonts w:ascii="Times New Roman" w:hAnsi="Times New Roman" w:eastAsia="方正仿宋简体" w:cs="Times New Roman"/>
          <w:color w:val="000000" w:themeColor="text1"/>
          <w:kern w:val="0"/>
          <w:sz w:val="32"/>
          <w14:textFill>
            <w14:solidFill>
              <w14:schemeClr w14:val="tx1"/>
            </w14:solidFill>
          </w14:textFill>
        </w:rPr>
        <w:t>省促进老区苏区振兴发展、省构建“一核一带一区”区域发展格局及乡村振兴等诸多重大机遇和利好政策的叠加。</w:t>
      </w:r>
      <w:r>
        <w:rPr>
          <w:rFonts w:ascii="Times New Roman" w:hAnsi="Times New Roman" w:eastAsia="方正仿宋简体" w:cs="Times New Roman"/>
          <w:bCs/>
          <w:color w:val="000000" w:themeColor="text1"/>
          <w:kern w:val="0"/>
          <w:sz w:val="32"/>
          <w14:textFill>
            <w14:solidFill>
              <w14:schemeClr w14:val="tx1"/>
            </w14:solidFill>
          </w14:textFill>
        </w:rPr>
        <w:t>长期坚持“人社工作为人民”的工作理念，</w:t>
      </w:r>
      <w:r>
        <w:rPr>
          <w:rFonts w:ascii="Times New Roman" w:hAnsi="Times New Roman" w:eastAsia="方正仿宋简体" w:cs="Times New Roman"/>
          <w:color w:val="000000" w:themeColor="text1"/>
          <w:kern w:val="0"/>
          <w:sz w:val="32"/>
          <w14:textFill>
            <w14:solidFill>
              <w14:schemeClr w14:val="tx1"/>
            </w14:solidFill>
          </w14:textFill>
        </w:rPr>
        <w:t>用好人力资源和社会保障政策，提升政策实施的精准性、有效性、协同性，全力服务融入粤港澳大湾区和深圳先行示范区</w:t>
      </w:r>
      <w:r>
        <w:rPr>
          <w:rFonts w:hint="eastAsia" w:ascii="Times New Roman" w:hAnsi="Times New Roman" w:eastAsia="方正仿宋简体" w:cs="Times New Roman"/>
          <w:color w:val="000000" w:themeColor="text1"/>
          <w:kern w:val="0"/>
          <w:sz w:val="32"/>
          <w14:textFill>
            <w14:solidFill>
              <w14:schemeClr w14:val="tx1"/>
            </w14:solidFill>
          </w14:textFill>
        </w:rPr>
        <w:t>人社领域</w:t>
      </w:r>
      <w:r>
        <w:rPr>
          <w:rFonts w:ascii="Times New Roman" w:hAnsi="Times New Roman" w:eastAsia="方正仿宋简体" w:cs="Times New Roman"/>
          <w:color w:val="000000" w:themeColor="text1"/>
          <w:kern w:val="0"/>
          <w:sz w:val="32"/>
          <w14:textFill>
            <w14:solidFill>
              <w14:schemeClr w14:val="tx1"/>
            </w14:solidFill>
          </w14:textFill>
        </w:rPr>
        <w:t>建设、助力老区苏区振兴发展和促进城乡区域协调发展的新格局。</w:t>
      </w:r>
    </w:p>
    <w:p>
      <w:pPr>
        <w:pStyle w:val="2"/>
        <w:spacing w:line="560" w:lineRule="exact"/>
        <w:rPr>
          <w:rFonts w:ascii="黑体" w:hAnsi="黑体" w:eastAsia="黑体" w:cs="黑体"/>
          <w:b w:val="0"/>
          <w:bCs/>
          <w:color w:val="000000" w:themeColor="text1"/>
          <w14:textFill>
            <w14:solidFill>
              <w14:schemeClr w14:val="tx1"/>
            </w14:solidFill>
          </w14:textFill>
        </w:rPr>
      </w:pPr>
      <w:r>
        <w:fldChar w:fldCharType="begin"/>
      </w:r>
      <w:r>
        <w:instrText xml:space="preserve"> HYPERLINK \l "_Toc5123" </w:instrText>
      </w:r>
      <w:r>
        <w:fldChar w:fldCharType="separate"/>
      </w:r>
      <w:r>
        <w:rPr>
          <w:rFonts w:hint="eastAsia" w:ascii="黑体" w:hAnsi="黑体" w:eastAsia="黑体" w:cs="黑体"/>
          <w:b w:val="0"/>
          <w:bCs/>
          <w:color w:val="000000" w:themeColor="text1"/>
          <w14:textFill>
            <w14:solidFill>
              <w14:schemeClr w14:val="tx1"/>
            </w14:solidFill>
          </w14:textFill>
        </w:rPr>
        <w:t>第一节 融入“双区”人社领域合作</w:t>
      </w:r>
      <w:r>
        <w:rPr>
          <w:rFonts w:hint="eastAsia" w:ascii="黑体" w:hAnsi="黑体" w:eastAsia="黑体" w:cs="黑体"/>
          <w:b w:val="0"/>
          <w:bCs/>
          <w:color w:val="000000" w:themeColor="text1"/>
          <w14:textFill>
            <w14:solidFill>
              <w14:schemeClr w14:val="tx1"/>
            </w14:solidFill>
          </w14:textFill>
        </w:rPr>
        <w:fldChar w:fldCharType="end"/>
      </w:r>
    </w:p>
    <w:p>
      <w:pPr>
        <w:spacing w:line="580" w:lineRule="exact"/>
        <w:ind w:firstLine="643" w:firstLineChars="200"/>
        <w:rPr>
          <w:rFonts w:eastAsia="方正仿宋简体"/>
          <w:bCs/>
          <w:color w:val="000000" w:themeColor="text1"/>
          <w:kern w:val="0"/>
          <w:szCs w:val="28"/>
          <w14:textFill>
            <w14:solidFill>
              <w14:schemeClr w14:val="tx1"/>
            </w14:solidFill>
          </w14:textFill>
        </w:rPr>
      </w:pPr>
      <w:r>
        <w:rPr>
          <w:rFonts w:eastAsia="方正仿宋简体"/>
          <w:b/>
          <w:bCs/>
          <w:color w:val="000000" w:themeColor="text1"/>
          <w14:textFill>
            <w14:solidFill>
              <w14:schemeClr w14:val="tx1"/>
            </w14:solidFill>
          </w14:textFill>
        </w:rPr>
        <w:t>深化“双区”人才交流合作。</w:t>
      </w:r>
      <w:r>
        <w:rPr>
          <w:rFonts w:eastAsia="方正仿宋简体"/>
          <w:color w:val="000000" w:themeColor="text1"/>
          <w14:textFill>
            <w14:solidFill>
              <w14:schemeClr w14:val="tx1"/>
            </w14:solidFill>
          </w14:textFill>
        </w:rPr>
        <w:t>全面落实梅州市人才新政“20条”和我县《</w:t>
      </w:r>
      <w:r>
        <w:rPr>
          <w:rFonts w:hint="eastAsia" w:eastAsia="方正仿宋简体"/>
          <w:color w:val="000000" w:themeColor="text1"/>
          <w14:textFill>
            <w14:solidFill>
              <w14:schemeClr w14:val="tx1"/>
            </w14:solidFill>
          </w14:textFill>
        </w:rPr>
        <w:t>关于加快</w:t>
      </w:r>
      <w:r>
        <w:rPr>
          <w:rFonts w:eastAsia="方正仿宋简体"/>
          <w:color w:val="000000" w:themeColor="text1"/>
          <w14:textFill>
            <w14:solidFill>
              <w14:schemeClr w14:val="tx1"/>
            </w14:solidFill>
          </w14:textFill>
        </w:rPr>
        <w:t>人才发展的实施意见（试行）》，着力抓好引才、聚才、育才、用才工作。</w:t>
      </w:r>
      <w:r>
        <w:rPr>
          <w:rFonts w:eastAsia="方正仿宋简体"/>
          <w:bCs/>
          <w:color w:val="000000" w:themeColor="text1"/>
          <w14:textFill>
            <w14:solidFill>
              <w14:schemeClr w14:val="tx1"/>
            </w14:solidFill>
          </w14:textFill>
        </w:rPr>
        <w:t>充分发挥我县省级人力资源服务产业园作用，</w:t>
      </w:r>
      <w:r>
        <w:rPr>
          <w:rFonts w:eastAsia="方正仿宋简体"/>
          <w:bCs/>
          <w:color w:val="000000" w:themeColor="text1"/>
          <w:kern w:val="0"/>
          <w:szCs w:val="28"/>
          <w14:textFill>
            <w14:solidFill>
              <w14:schemeClr w14:val="tx1"/>
            </w14:solidFill>
          </w14:textFill>
        </w:rPr>
        <w:t>着力打造</w:t>
      </w:r>
      <w:r>
        <w:rPr>
          <w:rFonts w:eastAsia="方正仿宋简体"/>
          <w:bCs/>
          <w:color w:val="000000" w:themeColor="text1"/>
          <w:kern w:val="0"/>
          <w:szCs w:val="28"/>
          <w:lang w:eastAsia="zh-TW"/>
          <w14:textFill>
            <w14:solidFill>
              <w14:schemeClr w14:val="tx1"/>
            </w14:solidFill>
          </w14:textFill>
        </w:rPr>
        <w:t>柔性引才的公共服务平台</w:t>
      </w:r>
      <w:r>
        <w:rPr>
          <w:rFonts w:eastAsia="方正仿宋简体"/>
          <w:bCs/>
          <w:color w:val="000000" w:themeColor="text1"/>
          <w:kern w:val="0"/>
          <w:szCs w:val="28"/>
          <w14:textFill>
            <w14:solidFill>
              <w14:schemeClr w14:val="tx1"/>
            </w14:solidFill>
          </w14:textFill>
        </w:rPr>
        <w:t>。</w:t>
      </w:r>
      <w:r>
        <w:rPr>
          <w:rFonts w:eastAsia="方正仿宋简体"/>
          <w:color w:val="000000" w:themeColor="text1"/>
          <w14:textFill>
            <w14:solidFill>
              <w14:schemeClr w14:val="tx1"/>
            </w14:solidFill>
          </w14:textFill>
        </w:rPr>
        <w:t>致力于引进高层次人才，</w:t>
      </w:r>
      <w:r>
        <w:rPr>
          <w:rFonts w:eastAsia="方正仿宋简体"/>
          <w:bCs/>
          <w:color w:val="000000" w:themeColor="text1"/>
          <w:kern w:val="0"/>
          <w:szCs w:val="28"/>
          <w:lang w:eastAsia="zh-TW"/>
          <w14:textFill>
            <w14:solidFill>
              <w14:schemeClr w14:val="tx1"/>
            </w14:solidFill>
          </w14:textFill>
        </w:rPr>
        <w:t>促进</w:t>
      </w:r>
      <w:r>
        <w:rPr>
          <w:rFonts w:eastAsia="方正仿宋简体"/>
          <w:bCs/>
          <w:color w:val="000000" w:themeColor="text1"/>
          <w:kern w:val="0"/>
          <w:szCs w:val="28"/>
          <w14:textFill>
            <w14:solidFill>
              <w14:schemeClr w14:val="tx1"/>
            </w14:solidFill>
          </w14:textFill>
        </w:rPr>
        <w:t>全县人才与大湾区建设交流</w:t>
      </w:r>
      <w:r>
        <w:rPr>
          <w:rFonts w:eastAsia="方正仿宋简体"/>
          <w:bCs/>
          <w:color w:val="000000" w:themeColor="text1"/>
          <w:kern w:val="0"/>
          <w:szCs w:val="28"/>
          <w:lang w:eastAsia="zh-TW"/>
          <w14:textFill>
            <w14:solidFill>
              <w14:schemeClr w14:val="tx1"/>
            </w14:solidFill>
          </w14:textFill>
        </w:rPr>
        <w:t>融合</w:t>
      </w:r>
      <w:r>
        <w:rPr>
          <w:rFonts w:eastAsia="方正仿宋简体"/>
          <w:bCs/>
          <w:color w:val="000000" w:themeColor="text1"/>
          <w:kern w:val="0"/>
          <w:szCs w:val="28"/>
          <w14:textFill>
            <w14:solidFill>
              <w14:schemeClr w14:val="tx1"/>
            </w14:solidFill>
          </w14:textFill>
        </w:rPr>
        <w:t>，</w:t>
      </w:r>
      <w:r>
        <w:rPr>
          <w:rFonts w:eastAsia="方正仿宋简体"/>
          <w:color w:val="000000" w:themeColor="text1"/>
          <w14:textFill>
            <w14:solidFill>
              <w14:schemeClr w14:val="tx1"/>
            </w14:solidFill>
          </w14:textFill>
        </w:rPr>
        <w:t>加强跨区域人才交流，助推粤港澳大湾区建设工作。</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做好“双区”产业合作人社服务工作。</w:t>
      </w:r>
      <w:r>
        <w:rPr>
          <w:rFonts w:eastAsia="方正仿宋简体"/>
          <w:bCs/>
          <w:color w:val="000000" w:themeColor="text1"/>
          <w14:textFill>
            <w14:solidFill>
              <w14:schemeClr w14:val="tx1"/>
            </w14:solidFill>
          </w14:textFill>
        </w:rPr>
        <w:t>立</w:t>
      </w:r>
      <w:r>
        <w:rPr>
          <w:rFonts w:eastAsia="方正仿宋简体"/>
          <w:color w:val="000000" w:themeColor="text1"/>
          <w14:textFill>
            <w14:solidFill>
              <w14:schemeClr w14:val="tx1"/>
            </w14:solidFill>
          </w14:textFill>
        </w:rPr>
        <w:t>足广东重要生态功能区的定位，发扬精雕细琢、精益求精、追求质量的五华工匠精神，积极谋划推进“3+3”产业发展模式，推动产业加快建设与粤港澳大湾区对接的绿色工业基地，打造市域新型工业优化示范区的要求，做好人社的服务和保障工作。针对“企业总部在大湾区、生产基地在五华”的产业合作模式，主动为广州企业做好在</w:t>
      </w:r>
      <w:r>
        <w:rPr>
          <w:rFonts w:hint="eastAsia" w:eastAsia="方正仿宋简体"/>
          <w:color w:val="000000" w:themeColor="text1"/>
          <w14:textFill>
            <w14:solidFill>
              <w14:schemeClr w14:val="tx1"/>
            </w14:solidFill>
          </w14:textFill>
        </w:rPr>
        <w:t>五华</w:t>
      </w:r>
      <w:r>
        <w:rPr>
          <w:rFonts w:eastAsia="方正仿宋简体"/>
          <w:color w:val="000000" w:themeColor="text1"/>
          <w14:textFill>
            <w14:solidFill>
              <w14:schemeClr w14:val="tx1"/>
            </w14:solidFill>
          </w14:textFill>
        </w:rPr>
        <w:t>各项人社服务工作。针对“企业总部在五华、研发孵化在大湾区”的产业合作模式，积极为</w:t>
      </w:r>
      <w:r>
        <w:rPr>
          <w:rFonts w:hint="eastAsia" w:eastAsia="方正仿宋简体"/>
          <w:color w:val="000000" w:themeColor="text1"/>
          <w14:textFill>
            <w14:solidFill>
              <w14:schemeClr w14:val="tx1"/>
            </w14:solidFill>
          </w14:textFill>
        </w:rPr>
        <w:t>五华</w:t>
      </w:r>
      <w:r>
        <w:rPr>
          <w:rFonts w:eastAsia="方正仿宋简体"/>
          <w:color w:val="000000" w:themeColor="text1"/>
          <w14:textFill>
            <w14:solidFill>
              <w14:schemeClr w14:val="tx1"/>
            </w14:solidFill>
          </w14:textFill>
        </w:rPr>
        <w:t>本地企业做好在人才和创新创业等方面的人社服务工作。针对“生产基地在五华、消费市场在大湾区”的产业合作模式，提前做好就业、技能培训等人社服务工作。与大湾区各地共建劳动保障维权信息沟通制度、劳动保障违法及争议案件协同处理制度。推动实施养老、失业等社保关系跨区域顺畅转移接续。</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开展“双区”劳务交流合作。</w:t>
      </w:r>
      <w:r>
        <w:rPr>
          <w:rFonts w:eastAsia="方正仿宋简体"/>
          <w:bCs/>
          <w:color w:val="000000" w:themeColor="text1"/>
          <w14:textFill>
            <w14:solidFill>
              <w14:schemeClr w14:val="tx1"/>
            </w14:solidFill>
          </w14:textFill>
        </w:rPr>
        <w:t>不</w:t>
      </w:r>
      <w:r>
        <w:rPr>
          <w:rFonts w:eastAsia="方正仿宋简体"/>
          <w:color w:val="000000" w:themeColor="text1"/>
          <w14:textFill>
            <w14:solidFill>
              <w14:schemeClr w14:val="tx1"/>
            </w14:solidFill>
          </w14:textFill>
        </w:rPr>
        <w:t>断扩大与粤港澳大湾区珠三角地市的劳务交流合作范围，建立健全信息互通制度，促进区域劳动供求信息共享。按照“搭建一个平台、营造一种氛围、探索一条新路的模式，促进区域性协调发展”的原则，加强岗位信息与就业信息的有效对接，加大与珠三角地市联动举办劳务对接专场招聘会的力度，在向珠三角地区输出劳动力的同时，吸引返乡劳动力就地就近实现就业，有序引导劳动力双向流动，扩大就业。</w:t>
      </w:r>
    </w:p>
    <w:p>
      <w:pPr>
        <w:pStyle w:val="2"/>
        <w:spacing w:line="560" w:lineRule="exact"/>
        <w:rPr>
          <w:rFonts w:ascii="黑体" w:hAnsi="黑体" w:eastAsia="黑体" w:cs="黑体"/>
          <w:b w:val="0"/>
          <w:bCs/>
          <w:color w:val="000000" w:themeColor="text1"/>
          <w14:textFill>
            <w14:solidFill>
              <w14:schemeClr w14:val="tx1"/>
            </w14:solidFill>
          </w14:textFill>
        </w:rPr>
      </w:pPr>
      <w:r>
        <w:fldChar w:fldCharType="begin"/>
      </w:r>
      <w:r>
        <w:instrText xml:space="preserve"> HYPERLINK \l "_Toc20446" </w:instrText>
      </w:r>
      <w:r>
        <w:fldChar w:fldCharType="separate"/>
      </w:r>
      <w:r>
        <w:rPr>
          <w:rFonts w:hint="eastAsia" w:ascii="黑体" w:hAnsi="黑体" w:eastAsia="黑体" w:cs="黑体"/>
          <w:b w:val="0"/>
          <w:bCs/>
          <w:color w:val="000000" w:themeColor="text1"/>
          <w14:textFill>
            <w14:solidFill>
              <w14:schemeClr w14:val="tx1"/>
            </w14:solidFill>
          </w14:textFill>
        </w:rPr>
        <w:t>第二节 推动我县苏区振兴发展建设</w:t>
      </w:r>
      <w:r>
        <w:rPr>
          <w:rFonts w:hint="eastAsia" w:ascii="黑体" w:hAnsi="黑体" w:eastAsia="黑体" w:cs="黑体"/>
          <w:b w:val="0"/>
          <w:bCs/>
          <w:color w:val="000000" w:themeColor="text1"/>
          <w14:textFill>
            <w14:solidFill>
              <w14:schemeClr w14:val="tx1"/>
            </w14:solidFill>
          </w14:textFill>
        </w:rPr>
        <w:fldChar w:fldCharType="end"/>
      </w:r>
    </w:p>
    <w:p>
      <w:pPr>
        <w:pStyle w:val="23"/>
        <w:widowControl/>
        <w:spacing w:before="0" w:beforeAutospacing="0" w:after="0" w:afterAutospacing="0" w:line="580" w:lineRule="exact"/>
        <w:ind w:firstLine="643" w:firstLineChars="200"/>
        <w:rPr>
          <w:rStyle w:val="28"/>
          <w:rFonts w:ascii="Times New Roman" w:hAnsi="Times New Roman" w:eastAsia="方正仿宋简体" w:cs="Times New Roman"/>
          <w:b w:val="0"/>
          <w:color w:val="000000" w:themeColor="text1"/>
          <w:sz w:val="32"/>
          <w:szCs w:val="22"/>
          <w14:textFill>
            <w14:solidFill>
              <w14:schemeClr w14:val="tx1"/>
            </w14:solidFill>
          </w14:textFill>
        </w:rPr>
      </w:pPr>
      <w:r>
        <w:rPr>
          <w:rStyle w:val="28"/>
          <w:rFonts w:ascii="Times New Roman" w:hAnsi="Times New Roman" w:eastAsia="方正仿宋简体" w:cs="Times New Roman"/>
          <w:bCs w:val="0"/>
          <w:color w:val="000000" w:themeColor="text1"/>
          <w:sz w:val="32"/>
          <w:szCs w:val="22"/>
          <w14:textFill>
            <w14:solidFill>
              <w14:schemeClr w14:val="tx1"/>
            </w14:solidFill>
          </w14:textFill>
        </w:rPr>
        <w:t>补足社会保障短板。</w:t>
      </w:r>
      <w:r>
        <w:rPr>
          <w:rStyle w:val="28"/>
          <w:rFonts w:hint="eastAsia" w:ascii="方正仿宋简体" w:hAnsi="Times New Roman" w:eastAsia="方正仿宋简体" w:cs="Times New Roman"/>
          <w:b w:val="0"/>
          <w:color w:val="000000" w:themeColor="text1"/>
          <w:sz w:val="32"/>
          <w:szCs w:val="22"/>
          <w:highlight w:val="yellow"/>
          <w14:textFill>
            <w14:solidFill>
              <w14:schemeClr w14:val="tx1"/>
            </w14:solidFill>
          </w14:textFill>
        </w:rPr>
        <w:t>用足用好国家、省、市对老区苏区扶持政策，结合本县实际，查漏补缺、提标扩围，实现应保尽保。</w:t>
      </w:r>
      <w:r>
        <w:rPr>
          <w:rStyle w:val="28"/>
          <w:rFonts w:hint="eastAsia" w:ascii="方正仿宋简体" w:hAnsi="Times New Roman" w:eastAsia="方正仿宋简体" w:cs="Times New Roman"/>
          <w:b w:val="0"/>
          <w:color w:val="000000" w:themeColor="text1"/>
          <w:sz w:val="32"/>
          <w:szCs w:val="22"/>
          <w14:textFill>
            <w14:solidFill>
              <w14:schemeClr w14:val="tx1"/>
            </w14:solidFill>
          </w14:textFill>
        </w:rPr>
        <w:t>用好国家、省、市、县各级财政支出补助力度，确保重点老区苏区的城乡居民基本养老保险基础养老金、中等职业教育国家助学金和免学费补助发放到位，</w:t>
      </w:r>
      <w:r>
        <w:rPr>
          <w:rFonts w:hint="eastAsia" w:ascii="方正仿宋简体" w:eastAsia="方正仿宋简体" w:cs="Times New Roman"/>
          <w:bCs/>
          <w:sz w:val="32"/>
          <w:highlight w:val="yellow"/>
        </w:rPr>
        <w:t>争取城乡居民基本医疗保险、医疗救助资金倾斜政策，</w:t>
      </w:r>
      <w:r>
        <w:rPr>
          <w:rFonts w:hint="eastAsia" w:ascii="方正仿宋简体" w:eastAsia="方正仿宋简体" w:cs="Times New Roman"/>
          <w:bCs/>
          <w:sz w:val="32"/>
        </w:rPr>
        <w:t>逐步补齐公共就业、社会保障、人才服务短板。</w:t>
      </w:r>
    </w:p>
    <w:p>
      <w:pPr>
        <w:pStyle w:val="23"/>
        <w:widowControl/>
        <w:spacing w:before="0" w:beforeAutospacing="0" w:after="0" w:afterAutospacing="0" w:line="580" w:lineRule="exact"/>
        <w:ind w:firstLine="643" w:firstLineChars="200"/>
        <w:rPr>
          <w:rStyle w:val="28"/>
          <w:rFonts w:ascii="Times New Roman" w:hAnsi="Times New Roman" w:eastAsia="方正仿宋简体" w:cs="Times New Roman"/>
          <w:b w:val="0"/>
          <w:color w:val="000000" w:themeColor="text1"/>
          <w:sz w:val="32"/>
          <w:szCs w:val="22"/>
          <w14:textFill>
            <w14:solidFill>
              <w14:schemeClr w14:val="tx1"/>
            </w14:solidFill>
          </w14:textFill>
        </w:rPr>
      </w:pPr>
      <w:r>
        <w:rPr>
          <w:rStyle w:val="28"/>
          <w:rFonts w:ascii="Times New Roman" w:hAnsi="Times New Roman" w:eastAsia="方正仿宋简体" w:cs="Times New Roman"/>
          <w:bCs w:val="0"/>
          <w:color w:val="000000" w:themeColor="text1"/>
          <w:sz w:val="32"/>
          <w:szCs w:val="22"/>
          <w14:textFill>
            <w14:solidFill>
              <w14:schemeClr w14:val="tx1"/>
            </w14:solidFill>
          </w14:textFill>
        </w:rPr>
        <w:t>做好人社帮扶工作。</w:t>
      </w:r>
      <w:r>
        <w:rPr>
          <w:rStyle w:val="28"/>
          <w:rFonts w:ascii="Times New Roman" w:hAnsi="Times New Roman" w:eastAsia="方正仿宋简体" w:cs="Times New Roman"/>
          <w:b w:val="0"/>
          <w:color w:val="000000" w:themeColor="text1"/>
          <w:sz w:val="32"/>
          <w:szCs w:val="22"/>
          <w14:textFill>
            <w14:solidFill>
              <w14:schemeClr w14:val="tx1"/>
            </w14:solidFill>
          </w14:textFill>
        </w:rPr>
        <w:t>充分利用国家和省对老区苏区倾斜扶持政策，大力支持</w:t>
      </w:r>
      <w:r>
        <w:rPr>
          <w:rStyle w:val="28"/>
          <w:rFonts w:hint="eastAsia" w:ascii="Times New Roman" w:hAnsi="Times New Roman" w:eastAsia="方正仿宋简体" w:cs="Times New Roman"/>
          <w:b w:val="0"/>
          <w:color w:val="000000" w:themeColor="text1"/>
          <w:sz w:val="32"/>
          <w:szCs w:val="22"/>
          <w14:textFill>
            <w14:solidFill>
              <w14:schemeClr w14:val="tx1"/>
            </w14:solidFill>
          </w14:textFill>
        </w:rPr>
        <w:t>本县</w:t>
      </w:r>
      <w:r>
        <w:rPr>
          <w:rStyle w:val="28"/>
          <w:rFonts w:ascii="Times New Roman" w:hAnsi="Times New Roman" w:eastAsia="方正仿宋简体" w:cs="Times New Roman"/>
          <w:b w:val="0"/>
          <w:color w:val="000000" w:themeColor="text1"/>
          <w:sz w:val="32"/>
          <w:szCs w:val="22"/>
          <w14:textFill>
            <w14:solidFill>
              <w14:schemeClr w14:val="tx1"/>
            </w14:solidFill>
          </w14:textFill>
        </w:rPr>
        <w:t>发展技工教育，切实解决</w:t>
      </w:r>
      <w:r>
        <w:rPr>
          <w:rStyle w:val="28"/>
          <w:rFonts w:hint="eastAsia" w:ascii="Times New Roman" w:hAnsi="Times New Roman" w:eastAsia="方正仿宋简体" w:cs="Times New Roman"/>
          <w:b w:val="0"/>
          <w:color w:val="000000" w:themeColor="text1"/>
          <w:sz w:val="32"/>
          <w:szCs w:val="22"/>
          <w14:textFill>
            <w14:solidFill>
              <w14:schemeClr w14:val="tx1"/>
            </w14:solidFill>
          </w14:textFill>
        </w:rPr>
        <w:t>本县</w:t>
      </w:r>
      <w:r>
        <w:rPr>
          <w:rStyle w:val="28"/>
          <w:rFonts w:ascii="Times New Roman" w:hAnsi="Times New Roman" w:eastAsia="方正仿宋简体" w:cs="Times New Roman"/>
          <w:b w:val="0"/>
          <w:color w:val="000000" w:themeColor="text1"/>
          <w:sz w:val="32"/>
          <w:szCs w:val="22"/>
          <w14:textFill>
            <w14:solidFill>
              <w14:schemeClr w14:val="tx1"/>
            </w14:solidFill>
          </w14:textFill>
        </w:rPr>
        <w:t>苏区技能型人才短缺问题。精准实施“南粤家政”工程，培训和组织一批</w:t>
      </w:r>
      <w:r>
        <w:rPr>
          <w:rStyle w:val="28"/>
          <w:rFonts w:hint="eastAsia" w:ascii="Times New Roman" w:hAnsi="Times New Roman" w:eastAsia="方正仿宋简体" w:cs="Times New Roman"/>
          <w:b w:val="0"/>
          <w:color w:val="000000" w:themeColor="text1"/>
          <w:sz w:val="32"/>
          <w:szCs w:val="22"/>
          <w14:textFill>
            <w14:solidFill>
              <w14:schemeClr w14:val="tx1"/>
            </w14:solidFill>
          </w14:textFill>
        </w:rPr>
        <w:t>本县</w:t>
      </w:r>
      <w:r>
        <w:rPr>
          <w:rStyle w:val="28"/>
          <w:rFonts w:ascii="Times New Roman" w:hAnsi="Times New Roman" w:eastAsia="方正仿宋简体" w:cs="Times New Roman"/>
          <w:b w:val="0"/>
          <w:color w:val="000000" w:themeColor="text1"/>
          <w:sz w:val="32"/>
          <w:szCs w:val="22"/>
          <w14:textFill>
            <w14:solidFill>
              <w14:schemeClr w14:val="tx1"/>
            </w14:solidFill>
          </w14:textFill>
        </w:rPr>
        <w:t>农民到珠三角从事家政服务。利用省向苏区倾斜招募“三支一扶”人员政策，搭建</w:t>
      </w:r>
      <w:r>
        <w:rPr>
          <w:rStyle w:val="28"/>
          <w:rFonts w:hint="eastAsia" w:ascii="Times New Roman" w:hAnsi="Times New Roman" w:eastAsia="方正仿宋简体" w:cs="Times New Roman"/>
          <w:b w:val="0"/>
          <w:color w:val="000000" w:themeColor="text1"/>
          <w:sz w:val="32"/>
          <w:szCs w:val="22"/>
          <w14:textFill>
            <w14:solidFill>
              <w14:schemeClr w14:val="tx1"/>
            </w14:solidFill>
          </w14:textFill>
        </w:rPr>
        <w:t>本县</w:t>
      </w:r>
      <w:r>
        <w:rPr>
          <w:rStyle w:val="28"/>
          <w:rFonts w:ascii="Times New Roman" w:hAnsi="Times New Roman" w:eastAsia="方正仿宋简体" w:cs="Times New Roman"/>
          <w:b w:val="0"/>
          <w:color w:val="000000" w:themeColor="text1"/>
          <w:sz w:val="32"/>
          <w:szCs w:val="22"/>
          <w14:textFill>
            <w14:solidFill>
              <w14:schemeClr w14:val="tx1"/>
            </w14:solidFill>
          </w14:textFill>
        </w:rPr>
        <w:t>人才、科技、产业精准对接融合平台，助力加快振兴发展。</w:t>
      </w:r>
    </w:p>
    <w:p>
      <w:pPr>
        <w:pStyle w:val="23"/>
        <w:widowControl/>
        <w:spacing w:before="0" w:beforeAutospacing="0" w:after="0" w:afterAutospacing="0" w:line="580" w:lineRule="exact"/>
        <w:ind w:firstLine="643" w:firstLineChars="200"/>
        <w:rPr>
          <w:rStyle w:val="28"/>
          <w:rFonts w:ascii="Times New Roman" w:hAnsi="Times New Roman" w:eastAsia="方正仿宋简体" w:cs="Times New Roman"/>
          <w:b w:val="0"/>
          <w:color w:val="000000" w:themeColor="text1"/>
          <w:sz w:val="32"/>
          <w:szCs w:val="22"/>
          <w14:textFill>
            <w14:solidFill>
              <w14:schemeClr w14:val="tx1"/>
            </w14:solidFill>
          </w14:textFill>
        </w:rPr>
      </w:pPr>
      <w:r>
        <w:rPr>
          <w:rStyle w:val="28"/>
          <w:rFonts w:ascii="Times New Roman" w:hAnsi="Times New Roman" w:eastAsia="方正仿宋简体" w:cs="Times New Roman"/>
          <w:bCs w:val="0"/>
          <w:color w:val="000000" w:themeColor="text1"/>
          <w:sz w:val="32"/>
          <w:szCs w:val="22"/>
          <w14:textFill>
            <w14:solidFill>
              <w14:schemeClr w14:val="tx1"/>
            </w14:solidFill>
          </w14:textFill>
        </w:rPr>
        <w:t>落实人才政策到位。</w:t>
      </w:r>
      <w:r>
        <w:rPr>
          <w:rStyle w:val="28"/>
          <w:rFonts w:ascii="Times New Roman" w:hAnsi="Times New Roman" w:eastAsia="方正仿宋简体" w:cs="Times New Roman"/>
          <w:b w:val="0"/>
          <w:color w:val="000000" w:themeColor="text1"/>
          <w:sz w:val="32"/>
          <w:szCs w:val="22"/>
          <w14:textFill>
            <w14:solidFill>
              <w14:schemeClr w14:val="tx1"/>
            </w14:solidFill>
          </w14:textFill>
        </w:rPr>
        <w:t>用好苏区政策，主动加强与省有关部门对接，积极争取资金和项目。苏区的振兴发展，需要更多各类优秀人才的支撑，进一步落实梅州市“人才新政20条”和我县《</w:t>
      </w:r>
      <w:r>
        <w:rPr>
          <w:rStyle w:val="28"/>
          <w:rFonts w:hint="eastAsia" w:ascii="Times New Roman" w:hAnsi="Times New Roman" w:eastAsia="方正仿宋简体" w:cs="Times New Roman"/>
          <w:b w:val="0"/>
          <w:color w:val="000000" w:themeColor="text1"/>
          <w:sz w:val="32"/>
          <w:szCs w:val="22"/>
          <w14:textFill>
            <w14:solidFill>
              <w14:schemeClr w14:val="tx1"/>
            </w14:solidFill>
          </w14:textFill>
        </w:rPr>
        <w:t>关于加快</w:t>
      </w:r>
      <w:r>
        <w:rPr>
          <w:rStyle w:val="28"/>
          <w:rFonts w:ascii="Times New Roman" w:hAnsi="Times New Roman" w:eastAsia="方正仿宋简体" w:cs="Times New Roman"/>
          <w:b w:val="0"/>
          <w:color w:val="000000" w:themeColor="text1"/>
          <w:sz w:val="32"/>
          <w:szCs w:val="22"/>
          <w14:textFill>
            <w14:solidFill>
              <w14:schemeClr w14:val="tx1"/>
            </w14:solidFill>
          </w14:textFill>
        </w:rPr>
        <w:t>人才发展的实施意见（试行）》，推动基础人才、高级研发人才和管理人才向企业、高新园区流动和集聚上积极有为。</w:t>
      </w:r>
    </w:p>
    <w:p>
      <w:pPr>
        <w:pStyle w:val="23"/>
        <w:widowControl/>
        <w:spacing w:before="0" w:beforeAutospacing="0" w:after="0" w:afterAutospacing="0" w:line="580" w:lineRule="exact"/>
        <w:ind w:firstLine="643" w:firstLineChars="200"/>
        <w:rPr>
          <w:rStyle w:val="28"/>
          <w:rFonts w:ascii="Times New Roman" w:hAnsi="Times New Roman" w:eastAsia="方正仿宋简体" w:cs="Times New Roman"/>
          <w:color w:val="000000" w:themeColor="text1"/>
          <w:sz w:val="32"/>
          <w:szCs w:val="22"/>
          <w14:textFill>
            <w14:solidFill>
              <w14:schemeClr w14:val="tx1"/>
            </w14:solidFill>
          </w14:textFill>
        </w:rPr>
      </w:pPr>
      <w:r>
        <w:rPr>
          <w:rStyle w:val="28"/>
          <w:rFonts w:ascii="Times New Roman" w:hAnsi="Times New Roman" w:eastAsia="方正仿宋简体" w:cs="Times New Roman"/>
          <w:bCs w:val="0"/>
          <w:color w:val="000000" w:themeColor="text1"/>
          <w:sz w:val="32"/>
          <w:szCs w:val="22"/>
          <w14:textFill>
            <w14:solidFill>
              <w14:schemeClr w14:val="tx1"/>
            </w14:solidFill>
          </w14:textFill>
        </w:rPr>
        <w:t>做好就业重点工作。</w:t>
      </w:r>
      <w:r>
        <w:rPr>
          <w:rStyle w:val="28"/>
          <w:rFonts w:ascii="Times New Roman" w:hAnsi="Times New Roman" w:eastAsia="方正仿宋简体" w:cs="Times New Roman"/>
          <w:b w:val="0"/>
          <w:color w:val="000000" w:themeColor="text1"/>
          <w:sz w:val="32"/>
          <w:szCs w:val="22"/>
          <w14:textFill>
            <w14:solidFill>
              <w14:schemeClr w14:val="tx1"/>
            </w14:solidFill>
          </w14:textFill>
        </w:rPr>
        <w:t>做好稳就业、保就业、促就业的高质量就业工作。突出抓好重点群体就业，支持企业发展稳定就业，鼓励创业创新带动就业，积极做好全方位就业服务。强化监测新增就业持续下滑、失业率快速攀升、规模性裁员企业增多的地区，加强督促指导，加大支持力度，防范失业风险。创新完善劳资矛盾纠纷多元化化解机制，让我县苏区振兴发展有稳定和谐的就业环境。</w:t>
      </w:r>
    </w:p>
    <w:p>
      <w:pPr>
        <w:pStyle w:val="23"/>
        <w:widowControl/>
        <w:spacing w:before="0" w:beforeAutospacing="0" w:after="0" w:afterAutospacing="0" w:line="580" w:lineRule="exact"/>
        <w:ind w:firstLine="643" w:firstLineChars="200"/>
        <w:rPr>
          <w:rStyle w:val="28"/>
          <w:rFonts w:ascii="Times New Roman" w:hAnsi="Times New Roman" w:eastAsia="方正仿宋简体" w:cs="Times New Roman"/>
          <w:b w:val="0"/>
          <w:color w:val="000000" w:themeColor="text1"/>
          <w:sz w:val="32"/>
          <w:szCs w:val="22"/>
          <w14:textFill>
            <w14:solidFill>
              <w14:schemeClr w14:val="tx1"/>
            </w14:solidFill>
          </w14:textFill>
        </w:rPr>
      </w:pPr>
      <w:r>
        <w:rPr>
          <w:rStyle w:val="28"/>
          <w:rFonts w:ascii="Times New Roman" w:hAnsi="Times New Roman" w:eastAsia="方正仿宋简体" w:cs="Times New Roman"/>
          <w:bCs w:val="0"/>
          <w:color w:val="000000" w:themeColor="text1"/>
          <w:sz w:val="32"/>
          <w:szCs w:val="22"/>
          <w14:textFill>
            <w14:solidFill>
              <w14:schemeClr w14:val="tx1"/>
            </w14:solidFill>
          </w14:textFill>
        </w:rPr>
        <w:t>推进人社制度创新。</w:t>
      </w:r>
      <w:r>
        <w:rPr>
          <w:rStyle w:val="28"/>
          <w:rFonts w:ascii="Times New Roman" w:hAnsi="Times New Roman" w:eastAsia="方正仿宋简体" w:cs="Times New Roman"/>
          <w:b w:val="0"/>
          <w:color w:val="000000" w:themeColor="text1"/>
          <w:sz w:val="32"/>
          <w:szCs w:val="22"/>
          <w14:textFill>
            <w14:solidFill>
              <w14:schemeClr w14:val="tx1"/>
            </w14:solidFill>
          </w14:textFill>
        </w:rPr>
        <w:t>围绕创新就业创业、社保衔接、人才流动、协调劳动关系等政策，促进人才等创新要素自由流动。继续深化推进人社领域“放管服”改革，努力推动全县人才制度创新实现突破，有力推动我县城乡区域协调发展。</w:t>
      </w:r>
    </w:p>
    <w:p>
      <w:pPr>
        <w:pStyle w:val="2"/>
        <w:spacing w:line="560" w:lineRule="exact"/>
        <w:rPr>
          <w:rFonts w:ascii="黑体" w:hAnsi="黑体" w:eastAsia="黑体" w:cs="黑体"/>
          <w:b w:val="0"/>
          <w:bCs/>
          <w:color w:val="000000" w:themeColor="text1"/>
          <w14:textFill>
            <w14:solidFill>
              <w14:schemeClr w14:val="tx1"/>
            </w14:solidFill>
          </w14:textFill>
        </w:rPr>
      </w:pPr>
      <w:r>
        <w:fldChar w:fldCharType="begin"/>
      </w:r>
      <w:r>
        <w:instrText xml:space="preserve"> HYPERLINK \l "_Toc16409" </w:instrText>
      </w:r>
      <w:r>
        <w:fldChar w:fldCharType="separate"/>
      </w:r>
      <w:r>
        <w:rPr>
          <w:rFonts w:hint="eastAsia" w:ascii="黑体" w:hAnsi="黑体" w:eastAsia="黑体" w:cs="黑体"/>
          <w:b w:val="0"/>
          <w:bCs/>
          <w:color w:val="000000" w:themeColor="text1"/>
          <w14:textFill>
            <w14:solidFill>
              <w14:schemeClr w14:val="tx1"/>
            </w14:solidFill>
          </w14:textFill>
        </w:rPr>
        <w:t>第三节  促进乡村振兴与城乡发展</w:t>
      </w:r>
      <w:r>
        <w:rPr>
          <w:rFonts w:hint="eastAsia" w:ascii="黑体" w:hAnsi="黑体" w:eastAsia="黑体" w:cs="黑体"/>
          <w:b w:val="0"/>
          <w:bCs/>
          <w:color w:val="000000" w:themeColor="text1"/>
          <w14:textFill>
            <w14:solidFill>
              <w14:schemeClr w14:val="tx1"/>
            </w14:solidFill>
          </w14:textFill>
        </w:rPr>
        <w:fldChar w:fldCharType="end"/>
      </w:r>
    </w:p>
    <w:p>
      <w:pPr>
        <w:pStyle w:val="23"/>
        <w:widowControl/>
        <w:spacing w:before="0" w:beforeAutospacing="0" w:after="0" w:afterAutospacing="0" w:line="580" w:lineRule="exact"/>
        <w:ind w:firstLine="643" w:firstLineChars="200"/>
        <w:jc w:val="left"/>
        <w:rPr>
          <w:rFonts w:ascii="Times New Roman" w:hAnsi="Times New Roman" w:eastAsia="方正仿宋简体" w:cs="Times New Roman"/>
          <w:bCs/>
          <w:color w:val="000000" w:themeColor="text1"/>
          <w:kern w:val="0"/>
          <w:sz w:val="32"/>
          <w14:textFill>
            <w14:solidFill>
              <w14:schemeClr w14:val="tx1"/>
            </w14:solidFill>
          </w14:textFill>
        </w:rPr>
      </w:pPr>
      <w:r>
        <w:rPr>
          <w:rFonts w:ascii="Times New Roman" w:hAnsi="Times New Roman" w:eastAsia="方正仿宋简体" w:cs="Times New Roman"/>
          <w:b/>
          <w:bCs/>
          <w:color w:val="000000" w:themeColor="text1"/>
          <w:sz w:val="32"/>
          <w14:textFill>
            <w14:solidFill>
              <w14:schemeClr w14:val="tx1"/>
            </w14:solidFill>
          </w14:textFill>
        </w:rPr>
        <w:t>推动就业增强内生发展动力</w:t>
      </w:r>
      <w:r>
        <w:rPr>
          <w:rFonts w:ascii="Times New Roman" w:hAnsi="Times New Roman" w:eastAsia="方正仿宋简体" w:cs="Times New Roman"/>
          <w:b/>
          <w:bCs/>
          <w:color w:val="000000" w:themeColor="text1"/>
          <w:kern w:val="0"/>
          <w:sz w:val="32"/>
          <w14:textFill>
            <w14:solidFill>
              <w14:schemeClr w14:val="tx1"/>
            </w14:solidFill>
          </w14:textFill>
        </w:rPr>
        <w:t>。</w:t>
      </w:r>
      <w:r>
        <w:rPr>
          <w:rFonts w:ascii="Times New Roman" w:hAnsi="Times New Roman" w:eastAsia="方正仿宋简体" w:cs="Times New Roman"/>
          <w:color w:val="000000" w:themeColor="text1"/>
          <w:sz w:val="32"/>
          <w14:textFill>
            <w14:solidFill>
              <w14:schemeClr w14:val="tx1"/>
            </w14:solidFill>
          </w14:textFill>
        </w:rPr>
        <w:t>深入推进城乡协调发展，要坚持以习近平新时代中国特色社会主义思想为指导，切实增强城乡内生发展动力，塑造要素有序自由流动。</w:t>
      </w:r>
      <w:r>
        <w:rPr>
          <w:rFonts w:ascii="Times New Roman" w:hAnsi="Times New Roman" w:eastAsia="方正仿宋简体" w:cs="Times New Roman"/>
          <w:bCs/>
          <w:color w:val="000000" w:themeColor="text1"/>
          <w:kern w:val="0"/>
          <w:sz w:val="32"/>
          <w14:textFill>
            <w14:solidFill>
              <w14:schemeClr w14:val="tx1"/>
            </w14:solidFill>
          </w14:textFill>
        </w:rPr>
        <w:t>就业是民生之本，通过创业带动就业、项目拉动就业、落实政策促进就业、转移输出扩大就业等多措并举，广开就业门路，统筹城乡就业，形成政府鼓励、引导、扶持、服务劳动者创业就业，劳动者自主创业、自主择业的市场导向的就业机制。</w:t>
      </w:r>
      <w:r>
        <w:rPr>
          <w:rFonts w:hint="eastAsia" w:ascii="Times New Roman" w:hAnsi="Times New Roman" w:eastAsia="方正仿宋简体" w:cs="Times New Roman"/>
          <w:bCs/>
          <w:color w:val="000000" w:themeColor="text1"/>
          <w:kern w:val="0"/>
          <w:sz w:val="32"/>
          <w14:textFill>
            <w14:solidFill>
              <w14:schemeClr w14:val="tx1"/>
            </w14:solidFill>
          </w14:textFill>
        </w:rPr>
        <w:t>推动巩固脱贫攻坚成果与乡村振兴有效衔接，大力推进就业技能社保精准帮扶。</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发挥人力资源在重点地区重点产业的支撑作用。</w:t>
      </w:r>
      <w:r>
        <w:rPr>
          <w:rFonts w:eastAsia="方正仿宋简体"/>
          <w:color w:val="000000" w:themeColor="text1"/>
          <w14:textFill>
            <w14:solidFill>
              <w14:schemeClr w14:val="tx1"/>
            </w14:solidFill>
          </w14:textFill>
        </w:rPr>
        <w:t>重点做强广州番禺（五华）产业转移园和河东绿色生态工业小镇融合发展的工业制造和技术创新核心，</w:t>
      </w:r>
      <w:r>
        <w:rPr>
          <w:rFonts w:hint="eastAsia" w:eastAsia="方正仿宋简体"/>
          <w:color w:val="000000" w:themeColor="text1"/>
          <w14:textFill>
            <w14:solidFill>
              <w14:schemeClr w14:val="tx1"/>
            </w14:solidFill>
          </w14:textFill>
        </w:rPr>
        <w:t>做</w:t>
      </w:r>
      <w:r>
        <w:rPr>
          <w:rFonts w:eastAsia="方正仿宋简体"/>
          <w:color w:val="000000" w:themeColor="text1"/>
          <w14:textFill>
            <w14:solidFill>
              <w14:schemeClr w14:val="tx1"/>
            </w14:solidFill>
          </w14:textFill>
        </w:rPr>
        <w:t>优产城人文旅融合发展的五华河绿色产业聚集带，做大产城乡融合发展的琴江河绿色聚集带，加快建设以商贸物流等为重点领域的华城工业片区，大力形成以新材料、新能源、农产品</w:t>
      </w:r>
      <w:r>
        <w:rPr>
          <w:rFonts w:eastAsia="方正仿宋简体"/>
        </w:rPr>
        <w:t>精</w:t>
      </w:r>
      <w:r>
        <w:rPr>
          <w:rFonts w:hint="eastAsia" w:eastAsia="方正仿宋简体"/>
        </w:rPr>
        <w:t>深</w:t>
      </w:r>
      <w:r>
        <w:rPr>
          <w:rFonts w:eastAsia="方正仿宋简体"/>
          <w:color w:val="000000" w:themeColor="text1"/>
          <w14:textFill>
            <w14:solidFill>
              <w14:schemeClr w14:val="tx1"/>
            </w14:solidFill>
          </w14:textFill>
        </w:rPr>
        <w:t>加工、竹木手工艺品加工为主导产业的安流生态产业片区</w:t>
      </w:r>
      <w:r>
        <w:rPr>
          <w:rFonts w:hint="eastAsia" w:eastAsia="方正仿宋简体"/>
          <w:color w:val="000000" w:themeColor="text1"/>
          <w14:textFill>
            <w14:solidFill>
              <w14:schemeClr w14:val="tx1"/>
            </w14:solidFill>
          </w14:textFill>
        </w:rPr>
        <w:t>，龙村清洁能源产业园重点发展绿色能源、生态观光旅游等产业</w:t>
      </w:r>
      <w:r>
        <w:rPr>
          <w:rFonts w:eastAsia="方正仿宋简体"/>
          <w:color w:val="000000" w:themeColor="text1"/>
          <w14:textFill>
            <w14:solidFill>
              <w14:schemeClr w14:val="tx1"/>
            </w14:solidFill>
          </w14:textFill>
        </w:rPr>
        <w:t>。绿色工业聚集发展，形成了电子信息、制药制酒、红木家居、智能家电、农产品加工、智慧物流等六大产业。围绕六大产业的结构新优化，打造大健康产业，发展体育产业、建设“足球特区”，做强文旅产业，壮大特色现代农业等重点产业，大力推动技工教育高质量发展，大力培育产业人才。</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深入实施“粤菜师傅”工程，助力乡村振兴发展。</w:t>
      </w:r>
      <w:r>
        <w:rPr>
          <w:rFonts w:eastAsia="方正仿宋简体"/>
          <w:color w:val="000000" w:themeColor="text1"/>
          <w14:textFill>
            <w14:solidFill>
              <w14:schemeClr w14:val="tx1"/>
            </w14:solidFill>
          </w14:textFill>
        </w:rPr>
        <w:t>高质量实施“粤菜师傅”工程。把“粤菜师傅”工程作为一把手工程，与乡村振兴、文化旅游和产业发展相融合，大力开展人才培养行动，建设一批粤菜师傅培训平台、工作室和创业孵化基地。要加强监督检查，推动“粤菜师傅”工程列入党委政府督办事项。县技工学校要认真</w:t>
      </w:r>
      <w:r>
        <w:rPr>
          <w:rFonts w:eastAsia="方正仿宋简体"/>
          <w:bCs/>
          <w:color w:val="000000" w:themeColor="text1"/>
          <w14:textFill>
            <w14:solidFill>
              <w14:schemeClr w14:val="tx1"/>
            </w14:solidFill>
          </w14:textFill>
        </w:rPr>
        <w:t>提升</w:t>
      </w:r>
      <w:r>
        <w:rPr>
          <w:rFonts w:eastAsia="方正仿宋简体"/>
          <w:color w:val="000000" w:themeColor="text1"/>
          <w14:textFill>
            <w14:solidFill>
              <w14:schemeClr w14:val="tx1"/>
            </w14:solidFill>
          </w14:textFill>
        </w:rPr>
        <w:t>好以客家菜为主的中式烹饪专业。</w:t>
      </w:r>
    </w:p>
    <w:p>
      <w:pPr>
        <w:pStyle w:val="3"/>
        <w:spacing w:line="580" w:lineRule="exact"/>
        <w:rPr>
          <w:color w:val="000000" w:themeColor="text1"/>
          <w14:textFill>
            <w14:solidFill>
              <w14:schemeClr w14:val="tx1"/>
            </w14:solidFill>
          </w14:textFill>
        </w:rPr>
      </w:pPr>
      <w:r>
        <w:fldChar w:fldCharType="begin"/>
      </w:r>
      <w:r>
        <w:instrText xml:space="preserve"> HYPERLINK \l "_Toc1573" </w:instrText>
      </w:r>
      <w:r>
        <w:fldChar w:fldCharType="separate"/>
      </w:r>
      <w:bookmarkStart w:id="18" w:name="_Toc93738253"/>
      <w:r>
        <w:rPr>
          <w:rFonts w:hint="eastAsia" w:ascii="方正小标宋简体" w:hAnsi="方正小标宋简体" w:eastAsia="方正小标宋简体" w:cs="方正小标宋简体"/>
          <w:b w:val="0"/>
          <w:bCs/>
          <w:color w:val="000000" w:themeColor="text1"/>
          <w14:textFill>
            <w14:solidFill>
              <w14:schemeClr w14:val="tx1"/>
            </w14:solidFill>
          </w14:textFill>
        </w:rPr>
        <w:t>第四章 深入实施更加</w:t>
      </w:r>
      <w:r>
        <w:rPr>
          <w:rFonts w:hint="eastAsia" w:ascii="方正小标宋简体" w:hAnsi="方正小标宋简体" w:eastAsia="方正小标宋简体" w:cs="方正小标宋简体"/>
          <w:b w:val="0"/>
          <w:bCs/>
          <w:color w:val="000000" w:themeColor="text1"/>
          <w14:textFill>
            <w14:solidFill>
              <w14:schemeClr w14:val="tx1"/>
            </w14:solidFill>
          </w14:textFill>
        </w:rPr>
        <w:fldChar w:fldCharType="end"/>
      </w:r>
      <w:r>
        <w:rPr>
          <w:rFonts w:hint="eastAsia" w:ascii="方正小标宋简体" w:hAnsi="方正小标宋简体" w:eastAsia="方正小标宋简体" w:cs="方正小标宋简体"/>
          <w:b w:val="0"/>
          <w:bCs/>
          <w:color w:val="000000" w:themeColor="text1"/>
          <w14:textFill>
            <w14:solidFill>
              <w14:schemeClr w14:val="tx1"/>
            </w14:solidFill>
          </w14:textFill>
        </w:rPr>
        <w:t>积极的就业优先战略</w:t>
      </w:r>
      <w:bookmarkEnd w:id="18"/>
    </w:p>
    <w:p>
      <w:pPr>
        <w:spacing w:line="580" w:lineRule="exact"/>
        <w:ind w:firstLine="640" w:firstLineChars="200"/>
        <w:rPr>
          <w:rFonts w:eastAsia="方正仿宋简体"/>
          <w:color w:val="000000" w:themeColor="text1"/>
          <w14:textFill>
            <w14:solidFill>
              <w14:schemeClr w14:val="tx1"/>
            </w14:solidFill>
          </w14:textFill>
        </w:rPr>
      </w:pPr>
      <w:r>
        <w:rPr>
          <w:rFonts w:eastAsia="方正仿宋简体"/>
          <w:color w:val="000000" w:themeColor="text1"/>
          <w14:textFill>
            <w14:solidFill>
              <w14:schemeClr w14:val="tx1"/>
            </w14:solidFill>
          </w14:textFill>
        </w:rPr>
        <w:t>继续坚持就业优先战略，实施更加积极的就业政策。鼓励创业带动就业，做好重点群体就业创业支持工作，推进全方位公共就业服务，实现经济发展与扩大就业良性互动，助推老区苏区振兴发展。</w:t>
      </w:r>
    </w:p>
    <w:p>
      <w:pPr>
        <w:pStyle w:val="2"/>
        <w:spacing w:line="560" w:lineRule="exact"/>
        <w:rPr>
          <w:rFonts w:ascii="黑体" w:hAnsi="黑体" w:eastAsia="黑体" w:cs="黑体"/>
          <w:b w:val="0"/>
          <w:bCs/>
          <w:color w:val="000000" w:themeColor="text1"/>
          <w14:textFill>
            <w14:solidFill>
              <w14:schemeClr w14:val="tx1"/>
            </w14:solidFill>
          </w14:textFill>
        </w:rPr>
      </w:pPr>
      <w:bookmarkStart w:id="19" w:name="_Toc93738254"/>
      <w:r>
        <w:rPr>
          <w:rFonts w:hint="eastAsia" w:ascii="黑体" w:hAnsi="黑体" w:eastAsia="黑体" w:cs="黑体"/>
          <w:b w:val="0"/>
          <w:bCs/>
          <w:color w:val="000000" w:themeColor="text1"/>
          <w14:textFill>
            <w14:solidFill>
              <w14:schemeClr w14:val="tx1"/>
            </w14:solidFill>
          </w14:textFill>
        </w:rPr>
        <w:t>第一节 实施更加积极的就业创业政策</w:t>
      </w:r>
      <w:bookmarkEnd w:id="19"/>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强化政府促进就业责任。</w:t>
      </w:r>
      <w:r>
        <w:rPr>
          <w:rFonts w:eastAsia="方正仿宋简体"/>
          <w:color w:val="000000" w:themeColor="text1"/>
          <w14:textFill>
            <w14:solidFill>
              <w14:schemeClr w14:val="tx1"/>
            </w14:solidFill>
          </w14:textFill>
        </w:rPr>
        <w:t>健全政府部门就业工作联席会议制度，将城镇新增就业、城镇登记失业率作为宏观调控重要指标，纳入国民经济和社会发展规划及年度计划，进一步强化政府促进就业的法律责任。多措并举，努力拓宽就业创业渠道。积极应对经济增速放缓和劳动力结构变化形势，着力破解结构性就业矛盾。实施促进就业鼓励创业的财政、税收、金融、产业等政策，探索公共投资和重大项目建设带动就业评估机制。</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提升创新创业孵化质量。</w:t>
      </w:r>
      <w:r>
        <w:rPr>
          <w:rFonts w:eastAsia="方正仿宋简体"/>
          <w:bCs/>
          <w:color w:val="000000" w:themeColor="text1"/>
          <w14:textFill>
            <w14:solidFill>
              <w14:schemeClr w14:val="tx1"/>
            </w14:solidFill>
          </w14:textFill>
        </w:rPr>
        <w:t>结合大</w:t>
      </w:r>
      <w:r>
        <w:rPr>
          <w:rFonts w:eastAsia="方正仿宋简体"/>
          <w:color w:val="000000" w:themeColor="text1"/>
          <w14:textFill>
            <w14:solidFill>
              <w14:schemeClr w14:val="tx1"/>
            </w14:solidFill>
          </w14:textFill>
        </w:rPr>
        <w:t>众创业、万众创新的导向,继续推进创业促就业工程</w:t>
      </w:r>
      <w:r>
        <w:rPr>
          <w:rFonts w:hint="eastAsia" w:eastAsia="方正仿宋简体"/>
          <w:color w:val="000000" w:themeColor="text1"/>
          <w14:textFill>
            <w14:solidFill>
              <w14:schemeClr w14:val="tx1"/>
            </w14:solidFill>
          </w14:textFill>
        </w:rPr>
        <w:t>，</w:t>
      </w:r>
      <w:r>
        <w:rPr>
          <w:rFonts w:eastAsia="方正仿宋简体"/>
          <w:color w:val="000000" w:themeColor="text1"/>
          <w14:textFill>
            <w14:solidFill>
              <w14:schemeClr w14:val="tx1"/>
            </w14:solidFill>
          </w14:textFill>
        </w:rPr>
        <w:t>加大“广东省促进就业九条”政策宣传和职业技能提升大培训力度</w:t>
      </w:r>
      <w:r>
        <w:rPr>
          <w:rFonts w:hint="eastAsia" w:eastAsia="方正仿宋简体"/>
          <w:color w:val="000000" w:themeColor="text1"/>
          <w14:textFill>
            <w14:solidFill>
              <w14:schemeClr w14:val="tx1"/>
            </w14:solidFill>
          </w14:textFill>
        </w:rPr>
        <w:t>，</w:t>
      </w:r>
      <w:r>
        <w:rPr>
          <w:rFonts w:eastAsia="方正仿宋简体"/>
          <w:color w:val="000000" w:themeColor="text1"/>
          <w14:textFill>
            <w14:solidFill>
              <w14:schemeClr w14:val="tx1"/>
            </w14:solidFill>
          </w14:textFill>
        </w:rPr>
        <w:t>加大对创业资金困难人员给予小额担保免息贷款扶持力度</w:t>
      </w:r>
      <w:r>
        <w:rPr>
          <w:rFonts w:hint="eastAsia" w:eastAsia="方正仿宋简体"/>
          <w:color w:val="000000" w:themeColor="text1"/>
          <w14:textFill>
            <w14:solidFill>
              <w14:schemeClr w14:val="tx1"/>
            </w14:solidFill>
          </w14:textFill>
        </w:rPr>
        <w:t>；</w:t>
      </w:r>
      <w:r>
        <w:rPr>
          <w:rFonts w:eastAsia="方正仿宋简体"/>
          <w:color w:val="000000" w:themeColor="text1"/>
          <w14:textFill>
            <w14:solidFill>
              <w14:schemeClr w14:val="tx1"/>
            </w14:solidFill>
          </w14:textFill>
        </w:rPr>
        <w:t>继续加强与省内相关职业技术学校合作</w:t>
      </w:r>
      <w:r>
        <w:rPr>
          <w:rFonts w:hint="eastAsia" w:eastAsia="方正仿宋简体"/>
          <w:color w:val="000000" w:themeColor="text1"/>
          <w14:textFill>
            <w14:solidFill>
              <w14:schemeClr w14:val="tx1"/>
            </w14:solidFill>
          </w14:textFill>
        </w:rPr>
        <w:t>，</w:t>
      </w:r>
      <w:r>
        <w:rPr>
          <w:rFonts w:eastAsia="方正仿宋简体"/>
          <w:color w:val="000000" w:themeColor="text1"/>
          <w14:textFill>
            <w14:solidFill>
              <w14:schemeClr w14:val="tx1"/>
            </w14:solidFill>
          </w14:textFill>
        </w:rPr>
        <w:t>为五华培养相关行业的技能人才</w:t>
      </w:r>
      <w:r>
        <w:rPr>
          <w:rFonts w:hint="eastAsia" w:eastAsia="方正仿宋简体"/>
          <w:color w:val="000000" w:themeColor="text1"/>
          <w14:textFill>
            <w14:solidFill>
              <w14:schemeClr w14:val="tx1"/>
            </w14:solidFill>
          </w14:textFill>
        </w:rPr>
        <w:t>；</w:t>
      </w:r>
      <w:r>
        <w:rPr>
          <w:rFonts w:eastAsia="方正仿宋简体"/>
          <w:color w:val="000000" w:themeColor="text1"/>
          <w14:textFill>
            <w14:solidFill>
              <w14:schemeClr w14:val="tx1"/>
            </w14:solidFill>
          </w14:textFill>
        </w:rPr>
        <w:t>加大就业困难高校毕业生的就业帮扶力度</w:t>
      </w:r>
      <w:r>
        <w:rPr>
          <w:rFonts w:hint="eastAsia" w:eastAsia="方正仿宋简体"/>
          <w:color w:val="000000" w:themeColor="text1"/>
          <w14:textFill>
            <w14:solidFill>
              <w14:schemeClr w14:val="tx1"/>
            </w14:solidFill>
          </w14:textFill>
        </w:rPr>
        <w:t>，</w:t>
      </w:r>
      <w:r>
        <w:rPr>
          <w:rFonts w:eastAsia="方正仿宋简体"/>
          <w:color w:val="000000" w:themeColor="text1"/>
          <w14:textFill>
            <w14:solidFill>
              <w14:schemeClr w14:val="tx1"/>
            </w14:solidFill>
          </w14:textFill>
        </w:rPr>
        <w:t>并做好跟踪服务调查</w:t>
      </w:r>
      <w:r>
        <w:rPr>
          <w:rFonts w:hint="eastAsia" w:eastAsia="方正仿宋简体"/>
          <w:color w:val="000000" w:themeColor="text1"/>
          <w14:textFill>
            <w14:solidFill>
              <w14:schemeClr w14:val="tx1"/>
            </w14:solidFill>
          </w14:textFill>
        </w:rPr>
        <w:t>；</w:t>
      </w:r>
      <w:r>
        <w:rPr>
          <w:rFonts w:eastAsia="方正仿宋简体"/>
          <w:color w:val="000000" w:themeColor="text1"/>
          <w14:textFill>
            <w14:solidFill>
              <w14:schemeClr w14:val="tx1"/>
            </w14:solidFill>
          </w14:textFill>
        </w:rPr>
        <w:t>建立高校毕业生就业动态监测机制。加强各镇就业服务体系建设。加大力度实施“粤菜师傅”工程和“南粤家政”工程，实施“粤菜师傅”工程，一是提升“粤菜师傅”技能水平，进一步优化“粤菜师傅”技能人才培养，计划每年培训粤菜师傅300人，力争至2025年底培训1500人次以上。充分利用</w:t>
      </w:r>
      <w:r>
        <w:rPr>
          <w:rFonts w:hint="eastAsia" w:eastAsia="方正仿宋简体"/>
          <w:color w:val="000000" w:themeColor="text1"/>
          <w14:textFill>
            <w14:solidFill>
              <w14:schemeClr w14:val="tx1"/>
            </w14:solidFill>
          </w14:textFill>
        </w:rPr>
        <w:t>五华县省级“</w:t>
      </w:r>
      <w:r>
        <w:rPr>
          <w:rFonts w:eastAsia="方正仿宋简体"/>
          <w:color w:val="000000" w:themeColor="text1"/>
          <w14:textFill>
            <w14:solidFill>
              <w14:schemeClr w14:val="tx1"/>
            </w14:solidFill>
          </w14:textFill>
        </w:rPr>
        <w:t>粤菜师傅</w:t>
      </w:r>
      <w:r>
        <w:rPr>
          <w:rFonts w:hint="eastAsia" w:eastAsia="方正仿宋简体"/>
          <w:color w:val="000000" w:themeColor="text1"/>
          <w14:textFill>
            <w14:solidFill>
              <w14:schemeClr w14:val="tx1"/>
            </w14:solidFill>
          </w14:textFill>
        </w:rPr>
        <w:t>”</w:t>
      </w:r>
      <w:r>
        <w:rPr>
          <w:rFonts w:eastAsia="方正仿宋简体"/>
          <w:color w:val="000000" w:themeColor="text1"/>
          <w14:textFill>
            <w14:solidFill>
              <w14:schemeClr w14:val="tx1"/>
            </w14:solidFill>
          </w14:textFill>
        </w:rPr>
        <w:t>技能大师工作室等平台，力争2025年底培养“粤菜师傅”技师以上人才20名以上。二是打造餐饮名店，计划在2025年底前打造10家市级餐饮名店与4条旅游精品路线。三是到2025年认定和扶持30个“粤菜师傅”食材基地。四是创建地方粤菜品牌，积极做好五华酿豆腐和大布七夕药</w:t>
      </w:r>
      <w:r>
        <w:rPr>
          <w:rFonts w:eastAsia="宋体"/>
          <w:color w:val="000000" w:themeColor="text1"/>
          <w14:textFill>
            <w14:solidFill>
              <w14:schemeClr w14:val="tx1"/>
            </w14:solidFill>
          </w14:textFill>
        </w:rPr>
        <w:t>粄</w:t>
      </w:r>
      <w:r>
        <w:rPr>
          <w:rFonts w:eastAsia="方正仿宋简体"/>
          <w:color w:val="000000" w:themeColor="text1"/>
          <w14:textFill>
            <w14:solidFill>
              <w14:schemeClr w14:val="tx1"/>
            </w14:solidFill>
          </w14:textFill>
        </w:rPr>
        <w:t>2021年申报省级“非遗”菜品工作，到2025年底五华酿豆腐力争成功申报国家级“非遗”菜品；</w:t>
      </w:r>
      <w:r>
        <w:rPr>
          <w:rFonts w:eastAsia="方正仿宋简体"/>
        </w:rPr>
        <w:t>将大布七夕药</w:t>
      </w:r>
      <w:r>
        <w:rPr>
          <w:rFonts w:eastAsia="宋体"/>
        </w:rPr>
        <w:t>粄</w:t>
      </w:r>
      <w:r>
        <w:rPr>
          <w:rFonts w:eastAsia="方正仿宋简体"/>
        </w:rPr>
        <w:t>（大布七草糕）、五华高山红薯</w:t>
      </w:r>
      <w:r>
        <w:rPr>
          <w:rFonts w:eastAsia="宋体"/>
        </w:rPr>
        <w:t>粄</w:t>
      </w:r>
      <w:r>
        <w:rPr>
          <w:rFonts w:eastAsia="方正仿宋简体"/>
        </w:rPr>
        <w:t>、五华酿</w:t>
      </w:r>
      <w:r>
        <w:rPr>
          <w:rFonts w:eastAsia="宋体"/>
        </w:rPr>
        <w:t>粄</w:t>
      </w:r>
      <w:r>
        <w:rPr>
          <w:rFonts w:eastAsia="方正仿宋简体"/>
        </w:rPr>
        <w:t>等五华特色小吃申报</w:t>
      </w:r>
      <w:r>
        <w:rPr>
          <w:rFonts w:hint="eastAsia" w:eastAsia="方正仿宋简体"/>
        </w:rPr>
        <w:t>广东客家名小吃和中餐特色美食产品目录</w:t>
      </w:r>
      <w:r>
        <w:rPr>
          <w:rFonts w:eastAsia="方正仿宋简体"/>
        </w:rPr>
        <w:t>。</w:t>
      </w:r>
      <w:r>
        <w:rPr>
          <w:rFonts w:eastAsia="方正仿宋简体"/>
          <w:color w:val="000000" w:themeColor="text1"/>
          <w14:textFill>
            <w14:solidFill>
              <w14:schemeClr w14:val="tx1"/>
            </w14:solidFill>
          </w14:textFill>
        </w:rPr>
        <w:t>五是2021年-2022年创建水寨镇黄狮新村美食一条街，树立五华美食新标杆。实施“南粤家政”工程，一是深入开展以母婴、居家、养老、医护服务为重点的家政培训，积极发挥我县华荣职校、大昌职校等十家定点培训机构作用，力争每年开展家政职业技能培训</w:t>
      </w:r>
      <w:r>
        <w:rPr>
          <w:rFonts w:hint="eastAsia" w:eastAsia="方正仿宋简体"/>
          <w:color w:val="000000" w:themeColor="text1"/>
          <w14:textFill>
            <w14:solidFill>
              <w14:schemeClr w14:val="tx1"/>
            </w14:solidFill>
          </w14:textFill>
        </w:rPr>
        <w:t>1500</w:t>
      </w:r>
      <w:r>
        <w:rPr>
          <w:rFonts w:eastAsia="方正仿宋简体"/>
          <w:color w:val="000000" w:themeColor="text1"/>
          <w14:textFill>
            <w14:solidFill>
              <w14:schemeClr w14:val="tx1"/>
            </w14:solidFill>
          </w14:textFill>
        </w:rPr>
        <w:t>人次以上，促进带动</w:t>
      </w:r>
      <w:r>
        <w:rPr>
          <w:rFonts w:hint="eastAsia" w:eastAsia="方正仿宋简体"/>
          <w:color w:val="000000" w:themeColor="text1"/>
          <w14:textFill>
            <w14:solidFill>
              <w14:schemeClr w14:val="tx1"/>
            </w14:solidFill>
          </w14:textFill>
        </w:rPr>
        <w:t>3000</w:t>
      </w:r>
      <w:r>
        <w:rPr>
          <w:rFonts w:eastAsia="方正仿宋简体"/>
          <w:color w:val="000000" w:themeColor="text1"/>
          <w14:textFill>
            <w14:solidFill>
              <w14:schemeClr w14:val="tx1"/>
            </w14:solidFill>
          </w14:textFill>
        </w:rPr>
        <w:t>人次以上稳定就业创业，力争至2025年开展家政服务类培训</w:t>
      </w:r>
      <w:r>
        <w:rPr>
          <w:rFonts w:hint="eastAsia" w:eastAsia="方正仿宋简体"/>
          <w:color w:val="000000" w:themeColor="text1"/>
          <w14:textFill>
            <w14:solidFill>
              <w14:schemeClr w14:val="tx1"/>
            </w14:solidFill>
          </w14:textFill>
        </w:rPr>
        <w:t>7500</w:t>
      </w:r>
      <w:r>
        <w:rPr>
          <w:rFonts w:eastAsia="方正仿宋简体"/>
          <w:color w:val="000000" w:themeColor="text1"/>
          <w14:textFill>
            <w14:solidFill>
              <w14:schemeClr w14:val="tx1"/>
            </w14:solidFill>
          </w14:textFill>
        </w:rPr>
        <w:t>人次以上，促进带动</w:t>
      </w:r>
      <w:r>
        <w:rPr>
          <w:rFonts w:hint="eastAsia" w:eastAsia="方正仿宋简体"/>
          <w:color w:val="000000" w:themeColor="text1"/>
          <w14:textFill>
            <w14:solidFill>
              <w14:schemeClr w14:val="tx1"/>
            </w14:solidFill>
          </w14:textFill>
        </w:rPr>
        <w:t>15000</w:t>
      </w:r>
      <w:r>
        <w:rPr>
          <w:rFonts w:eastAsia="方正仿宋简体"/>
          <w:color w:val="000000" w:themeColor="text1"/>
          <w14:textFill>
            <w14:solidFill>
              <w14:schemeClr w14:val="tx1"/>
            </w14:solidFill>
          </w14:textFill>
        </w:rPr>
        <w:t>人次以上稳定就业创业。二是创建一批五华特色家政服务品牌，至2025年，力争创建2家省级以上家政服务龙头企业，2家省级以上家政服务诚信企业，创建10家市级以上家政服务龙头企业。三是积极筹建五华县月子中心，促进就业创业，计划于2021年5月建成我县首家月子中心，并</w:t>
      </w:r>
      <w:r>
        <w:rPr>
          <w:rFonts w:hint="eastAsia" w:ascii="方正仿宋简体" w:eastAsia="方正仿宋简体"/>
          <w:color w:val="000000" w:themeColor="text1"/>
          <w14:textFill>
            <w14:solidFill>
              <w14:schemeClr w14:val="tx1"/>
            </w14:solidFill>
          </w14:textFill>
        </w:rPr>
        <w:t>投入运营使用。着力</w:t>
      </w:r>
      <w:r>
        <w:rPr>
          <w:rFonts w:eastAsia="方正仿宋简体"/>
          <w:color w:val="000000" w:themeColor="text1"/>
          <w14:textFill>
            <w14:solidFill>
              <w14:schemeClr w14:val="tx1"/>
            </w14:solidFill>
          </w14:textFill>
        </w:rPr>
        <w:t>打造五华创新创业基地，</w:t>
      </w:r>
      <w:r>
        <w:rPr>
          <w:rFonts w:hint="eastAsia" w:eastAsia="方正仿宋简体"/>
          <w:color w:val="000000" w:themeColor="text1"/>
          <w14:textFill>
            <w14:solidFill>
              <w14:schemeClr w14:val="tx1"/>
            </w14:solidFill>
          </w14:textFill>
        </w:rPr>
        <w:t>在五华县技工学校</w:t>
      </w:r>
      <w:r>
        <w:rPr>
          <w:rFonts w:eastAsia="方正仿宋简体"/>
          <w:color w:val="000000" w:themeColor="text1"/>
          <w14:textFill>
            <w14:solidFill>
              <w14:schemeClr w14:val="tx1"/>
            </w14:solidFill>
          </w14:textFill>
        </w:rPr>
        <w:t>建设高技能公共实训基地暨技能竞赛集训基地。</w:t>
      </w:r>
    </w:p>
    <w:p>
      <w:pPr>
        <w:spacing w:line="580" w:lineRule="exact"/>
        <w:ind w:firstLine="662" w:firstLineChars="206"/>
        <w:rPr>
          <w:rFonts w:eastAsia="方正仿宋简体"/>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加强就业创业服务。</w:t>
      </w:r>
      <w:r>
        <w:rPr>
          <w:rFonts w:eastAsia="方正仿宋简体"/>
          <w:color w:val="000000" w:themeColor="text1"/>
          <w14:textFill>
            <w14:solidFill>
              <w14:schemeClr w14:val="tx1"/>
            </w14:solidFill>
          </w14:textFill>
        </w:rPr>
        <w:t>完善就业创业环境，加大对初始创业者支持力度，严格落实省、市扶持就业创业优惠政策，对符合条件的劳动者给予一次性创业资助、创业租金补贴，提高创业担保贷款最高单笔贷款额度，加大创业担保贷款扶持创业力度。强化创业服务，健全创业服务机构，充分发挥各级公共就业服务机构作用，加强创业项目库建设，组建创业专家服务团，为创业者开展方案设计、风险评估、开业指导、融资服务、跟踪扶持等服务。积极开发老龄人力资源，统筹做好妇女、退役军人等重点群体就业创业服务工作。支持灵活就业和新就业形态，鼓励就业困难人员通过临时性、非全日制、弹性工作等灵活多样形式实现就业，推进“农村电商”工程，扶持创业、吸纳就业。深入实施“粤菜师傅”“广东技工”“南粤家政”三项工程，以技能培训带动就业。到2025年，全县扶持创业5000人以上，带动就业2.5万人以上。</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推动就业创业平台建设。</w:t>
      </w:r>
      <w:r>
        <w:rPr>
          <w:rFonts w:eastAsia="方正仿宋简体"/>
          <w:color w:val="000000" w:themeColor="text1"/>
          <w14:textFill>
            <w14:solidFill>
              <w14:schemeClr w14:val="tx1"/>
            </w14:solidFill>
          </w14:textFill>
        </w:rPr>
        <w:t>加快建立统一规范的人力资源市场，形成覆盖县、镇、村的人力资源三级信息网络体系。坚持政府引导和市场运作相结合、扶持促进和规范发展相结合、壮大企业和完善支撑相结合、重点集聚和全面布局相结合的原则，努力将电子商务产业等创业孵化基地打造成经济增长的新引擎和扩大就业新的增长点。加快推进创业孵化基地建设，为创业者提供低租金、低费率、一站式服务的创业环境, 增强创业成功率。</w:t>
      </w:r>
    </w:p>
    <w:p>
      <w:pPr>
        <w:spacing w:line="580" w:lineRule="exact"/>
        <w:ind w:firstLine="630" w:firstLineChars="196"/>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建立机制保障就业。</w:t>
      </w:r>
      <w:r>
        <w:rPr>
          <w:rFonts w:eastAsia="方正仿宋简体"/>
          <w:color w:val="000000" w:themeColor="text1"/>
          <w14:textFill>
            <w14:solidFill>
              <w14:schemeClr w14:val="tx1"/>
            </w14:solidFill>
          </w14:textFill>
        </w:rPr>
        <w:t>全力做好</w:t>
      </w:r>
      <w:r>
        <w:rPr>
          <w:rFonts w:hint="eastAsia" w:eastAsia="方正仿宋简体"/>
          <w:color w:val="000000" w:themeColor="text1"/>
          <w14:textFill>
            <w14:solidFill>
              <w14:schemeClr w14:val="tx1"/>
            </w14:solidFill>
          </w14:textFill>
        </w:rPr>
        <w:t>我县</w:t>
      </w:r>
      <w:r>
        <w:rPr>
          <w:rFonts w:eastAsia="方正仿宋简体"/>
          <w:color w:val="000000" w:themeColor="text1"/>
          <w14:textFill>
            <w14:solidFill>
              <w14:schemeClr w14:val="tx1"/>
            </w14:solidFill>
          </w14:textFill>
        </w:rPr>
        <w:t>企业用工保障服务，改善就业环境。引导求职者积极转变就业观念，牢固树立扎根家乡的思想，从而实现就地就近就业。引导企业要加强人文关怀，依法保障员工的合法权益，改善用工条件，创造拴心留人的环境，实现更高质量的就业。引导企业完善人才储备机制，通过以老带新、聘请专家到企业授课等内部培训方式，进一步增强企业员工业务能力和综合素质，保证企业内部有一支稳定优质的员工队伍。</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FFC000" w:themeFill="accent4"/>
            <w:vAlign w:val="center"/>
          </w:tcPr>
          <w:p>
            <w:pPr>
              <w:spacing w:line="360" w:lineRule="auto"/>
              <w:jc w:val="center"/>
              <w:rPr>
                <w:rFonts w:eastAsia="黑体"/>
                <w:color w:val="000000" w:themeColor="text1"/>
                <w:kern w:val="0"/>
                <w:sz w:val="28"/>
                <w:szCs w:val="28"/>
                <w14:textFill>
                  <w14:solidFill>
                    <w14:schemeClr w14:val="tx1"/>
                  </w14:solidFill>
                </w14:textFill>
              </w:rPr>
            </w:pPr>
            <w:r>
              <w:rPr>
                <w:rFonts w:eastAsia="黑体"/>
                <w:color w:val="000000" w:themeColor="text1"/>
                <w:kern w:val="0"/>
                <w:sz w:val="28"/>
                <w:szCs w:val="28"/>
                <w14:textFill>
                  <w14:solidFill>
                    <w14:schemeClr w14:val="tx1"/>
                  </w14:solidFill>
                </w14:textFill>
              </w:rPr>
              <w:t>专栏三  促进就业创业专项计划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8296" w:type="dxa"/>
            <w:tcBorders>
              <w:bottom w:val="single" w:color="auto" w:sz="4" w:space="0"/>
            </w:tcBorders>
            <w:vAlign w:val="center"/>
          </w:tcPr>
          <w:p>
            <w:pPr>
              <w:ind w:firstLine="482" w:firstLineChars="200"/>
              <w:rPr>
                <w:rFonts w:ascii="方正仿宋简体" w:hAnsi="方正仿宋简体" w:eastAsia="方正仿宋简体" w:cs="方正仿宋简体"/>
                <w:bCs/>
                <w:color w:val="000000" w:themeColor="text1"/>
                <w:sz w:val="24"/>
                <w:szCs w:val="24"/>
                <w:lang w:val="zh-TW" w:bidi="zh-TW"/>
                <w14:textFill>
                  <w14:solidFill>
                    <w14:schemeClr w14:val="tx1"/>
                  </w14:solidFill>
                </w14:textFill>
              </w:rPr>
            </w:pPr>
            <w:r>
              <w:rPr>
                <w:rFonts w:eastAsia="方正仿宋简体"/>
                <w:b/>
                <w:bCs/>
                <w:color w:val="000000" w:themeColor="text1"/>
                <w:sz w:val="24"/>
                <w:szCs w:val="24"/>
                <w:lang w:val="zh-TW" w:bidi="zh-TW"/>
                <w14:textFill>
                  <w14:solidFill>
                    <w14:schemeClr w14:val="tx1"/>
                  </w14:solidFill>
                </w14:textFill>
              </w:rPr>
              <w:t>1.五华县大学生就业创业基地建设项目。</w:t>
            </w:r>
            <w:r>
              <w:rPr>
                <w:rFonts w:hint="eastAsia" w:ascii="方正仿宋简体" w:hAnsi="方正仿宋简体" w:eastAsia="方正仿宋简体" w:cs="方正仿宋简体"/>
                <w:bCs/>
                <w:color w:val="000000" w:themeColor="text1"/>
                <w:sz w:val="24"/>
                <w:szCs w:val="24"/>
                <w:lang w:val="zh-TW" w:bidi="zh-TW"/>
                <w14:textFill>
                  <w14:solidFill>
                    <w14:schemeClr w14:val="tx1"/>
                  </w14:solidFill>
                </w14:textFill>
              </w:rPr>
              <w:t>项目建成后将为大学生青年创业者提供一流的创新创业坏境，为高校就业创业指导队伍提供更加便捷高效的培训和创业空间。</w:t>
            </w:r>
          </w:p>
          <w:p>
            <w:pPr>
              <w:ind w:firstLine="482" w:firstLineChars="200"/>
              <w:rPr>
                <w:rFonts w:eastAsia="仿宋"/>
                <w:color w:val="000000" w:themeColor="text1"/>
                <w:kern w:val="0"/>
                <w14:textFill>
                  <w14:solidFill>
                    <w14:schemeClr w14:val="tx1"/>
                  </w14:solidFill>
                </w14:textFill>
              </w:rPr>
            </w:pPr>
            <w:r>
              <w:rPr>
                <w:rFonts w:eastAsia="方正仿宋简体"/>
                <w:b/>
                <w:bCs/>
                <w:color w:val="000000" w:themeColor="text1"/>
                <w:sz w:val="24"/>
                <w:szCs w:val="24"/>
                <w:lang w:val="zh-TW" w:bidi="zh-TW"/>
                <w14:textFill>
                  <w14:solidFill>
                    <w14:schemeClr w14:val="tx1"/>
                  </w14:solidFill>
                </w14:textFill>
              </w:rPr>
              <w:t>2.</w:t>
            </w:r>
            <w:r>
              <w:rPr>
                <w:rFonts w:eastAsia="方正仿宋简体"/>
                <w:b/>
                <w:bCs/>
                <w:color w:val="000000" w:themeColor="text1"/>
                <w:sz w:val="24"/>
                <w:szCs w:val="24"/>
                <w:lang w:val="zh-TW" w:eastAsia="zh-TW" w:bidi="zh-TW"/>
                <w14:textFill>
                  <w14:solidFill>
                    <w14:schemeClr w14:val="tx1"/>
                  </w14:solidFill>
                </w14:textFill>
              </w:rPr>
              <w:t>五华县返乡入乡创业园。</w:t>
            </w:r>
            <w:r>
              <w:rPr>
                <w:rFonts w:eastAsia="方正仿宋简体"/>
                <w:bCs/>
                <w:color w:val="000000" w:themeColor="text1"/>
                <w:sz w:val="24"/>
                <w:szCs w:val="24"/>
                <w:lang w:val="zh-TW" w:bidi="zh-TW"/>
                <w14:textFill>
                  <w14:solidFill>
                    <w14:schemeClr w14:val="tx1"/>
                  </w14:solidFill>
                </w14:textFill>
              </w:rPr>
              <w:t>计划占地50亩，建设总面积23000平方米，包括电商物流配套园、大学生创业孵化园、人才公寓等，建成后预计可容纳大学生创业企业80家。</w:t>
            </w:r>
          </w:p>
        </w:tc>
      </w:tr>
    </w:tbl>
    <w:p>
      <w:pPr>
        <w:pStyle w:val="2"/>
        <w:spacing w:line="560" w:lineRule="exact"/>
        <w:rPr>
          <w:rFonts w:ascii="Times New Roman" w:hAnsi="Times New Roman" w:eastAsia="黑体"/>
          <w:color w:val="000000" w:themeColor="text1"/>
          <w14:textFill>
            <w14:solidFill>
              <w14:schemeClr w14:val="tx1"/>
            </w14:solidFill>
          </w14:textFill>
        </w:rPr>
      </w:pPr>
      <w:r>
        <w:fldChar w:fldCharType="begin"/>
      </w:r>
      <w:r>
        <w:instrText xml:space="preserve"> HYPERLINK \l "_Toc18437" </w:instrText>
      </w:r>
      <w:r>
        <w:fldChar w:fldCharType="separate"/>
      </w:r>
      <w:bookmarkStart w:id="20" w:name="_Toc93738255"/>
      <w:r>
        <w:rPr>
          <w:rFonts w:hint="eastAsia" w:ascii="黑体" w:hAnsi="黑体" w:eastAsia="黑体" w:cs="黑体"/>
          <w:b w:val="0"/>
          <w:bCs/>
          <w:color w:val="000000" w:themeColor="text1"/>
          <w14:textFill>
            <w14:solidFill>
              <w14:schemeClr w14:val="tx1"/>
            </w14:solidFill>
          </w14:textFill>
        </w:rPr>
        <w:t>第二节 加大重点群体就业</w:t>
      </w:r>
      <w:r>
        <w:rPr>
          <w:rFonts w:hint="eastAsia" w:ascii="黑体" w:hAnsi="黑体" w:eastAsia="黑体" w:cs="黑体"/>
          <w:b w:val="0"/>
          <w:bCs/>
          <w:color w:val="000000" w:themeColor="text1"/>
          <w14:textFill>
            <w14:solidFill>
              <w14:schemeClr w14:val="tx1"/>
            </w14:solidFill>
          </w14:textFill>
        </w:rPr>
        <w:fldChar w:fldCharType="end"/>
      </w:r>
      <w:r>
        <w:rPr>
          <w:rFonts w:hint="eastAsia" w:ascii="黑体" w:hAnsi="黑体" w:eastAsia="黑体" w:cs="黑体"/>
          <w:b w:val="0"/>
          <w:bCs/>
          <w:color w:val="000000" w:themeColor="text1"/>
          <w14:textFill>
            <w14:solidFill>
              <w14:schemeClr w14:val="tx1"/>
            </w14:solidFill>
          </w14:textFill>
        </w:rPr>
        <w:t>服务</w:t>
      </w:r>
      <w:bookmarkEnd w:id="20"/>
      <w:r>
        <w:rPr>
          <w:rFonts w:hint="eastAsia" w:ascii="黑体" w:hAnsi="黑体" w:eastAsia="黑体" w:cs="黑体"/>
          <w:b w:val="0"/>
          <w:bCs/>
          <w:color w:val="000000" w:themeColor="text1"/>
          <w14:textFill>
            <w14:solidFill>
              <w14:schemeClr w14:val="tx1"/>
            </w14:solidFill>
          </w14:textFill>
        </w:rPr>
        <w:t>力度</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促进高校毕业生就业创业。</w:t>
      </w:r>
      <w:r>
        <w:rPr>
          <w:rFonts w:eastAsia="方正仿宋简体"/>
          <w:color w:val="000000" w:themeColor="text1"/>
          <w14:textFill>
            <w14:solidFill>
              <w14:schemeClr w14:val="tx1"/>
            </w14:solidFill>
          </w14:textFill>
        </w:rPr>
        <w:t>坚持把高校毕业生就业作为</w:t>
      </w:r>
      <w:r>
        <w:rPr>
          <w:rFonts w:hint="eastAsia" w:eastAsia="方正仿宋简体"/>
          <w:color w:val="000000" w:themeColor="text1"/>
          <w14:textFill>
            <w14:solidFill>
              <w14:schemeClr w14:val="tx1"/>
            </w14:solidFill>
          </w14:textFill>
        </w:rPr>
        <w:t>就业工作的</w:t>
      </w:r>
      <w:r>
        <w:rPr>
          <w:rFonts w:eastAsia="方正仿宋简体"/>
          <w:color w:val="000000" w:themeColor="text1"/>
          <w14:textFill>
            <w14:solidFill>
              <w14:schemeClr w14:val="tx1"/>
            </w14:solidFill>
          </w14:textFill>
        </w:rPr>
        <w:t>重中之重，深入实施高校毕业生就业促进和创业引领计划。做好就业创业优惠政策宣传，落实各项优惠政策，健全就业创业指导、职业培训、就业见习等服务机制，广泛开展形式多样的高校毕业生专项公共就业服务活动，提升高校毕业生就业能力。统筹实施“三支一扶”项目，鼓励大学生参军入伍，加强离校未就业“实名制”服务，持续开展各类招聘活动，帮助高校毕业生实现多渠道、多形式就业创业。加大“双困”大学生帮扶力度，确保100%实现就业。</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促进退役军人再就业创业。</w:t>
      </w:r>
      <w:r>
        <w:rPr>
          <w:rFonts w:eastAsia="方正仿宋简体"/>
          <w:color w:val="000000" w:themeColor="text1"/>
          <w14:textFill>
            <w14:solidFill>
              <w14:schemeClr w14:val="tx1"/>
            </w14:solidFill>
          </w14:textFill>
        </w:rPr>
        <w:t>促进退役军人就业，扶持自主择业军转干部、自主就业退役士兵就业。全面落实退役军人就业创业相关政策，保障退役军人享有普惠性职业技能培训和全员适应性培训。强化创新创业能力培训，构建学历教育与技能培训相结合的教育培训体系。组织县退役军人事务局与县人社局联合举办退役军人专场招聘会，进一步拓宽退役军人就业渠道，更好地促进退役军人就业创业，助力广大退役军人顺利实现高质量就业。</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促进异地务工人员稳定就业。</w:t>
      </w:r>
      <w:r>
        <w:rPr>
          <w:rFonts w:eastAsia="方正仿宋简体"/>
          <w:color w:val="000000" w:themeColor="text1"/>
          <w14:textFill>
            <w14:solidFill>
              <w14:schemeClr w14:val="tx1"/>
            </w14:solidFill>
          </w14:textFill>
        </w:rPr>
        <w:t>建立完善与珠三角地区结对劳务帮扶关系，加强劳动力输入地和输出地跟踪服务。鼓励农村劳动力就地就近转移就业，扶持异地务工人员返乡创业。培育宣传具有示范性、典型性的本地劳务品牌，发挥品牌效益，加大服务业吸纳农民工就业能力，逐步把农民工引向新经济、新产业、新业态，促进农民工就业的产业转型和空间转型。完善异地务工人员管理服务机制，支持稳定就业创业，强化劳动权益保障。</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帮扶就业困难群体就业。</w:t>
      </w:r>
      <w:r>
        <w:rPr>
          <w:rFonts w:eastAsia="方正仿宋简体"/>
          <w:color w:val="000000" w:themeColor="text1"/>
          <w14:textFill>
            <w14:solidFill>
              <w14:schemeClr w14:val="tx1"/>
            </w14:solidFill>
          </w14:textFill>
        </w:rPr>
        <w:t>动态</w:t>
      </w:r>
      <w:r>
        <w:rPr>
          <w:rFonts w:hint="eastAsia" w:eastAsia="方正仿宋简体"/>
          <w:color w:val="000000" w:themeColor="text1"/>
          <w14:textFill>
            <w14:solidFill>
              <w14:schemeClr w14:val="tx1"/>
            </w14:solidFill>
          </w14:textFill>
        </w:rPr>
        <w:t>、</w:t>
      </w:r>
      <w:r>
        <w:rPr>
          <w:rFonts w:eastAsia="方正仿宋简体"/>
          <w:color w:val="000000" w:themeColor="text1"/>
          <w14:textFill>
            <w14:solidFill>
              <w14:schemeClr w14:val="tx1"/>
            </w14:solidFill>
          </w14:textFill>
        </w:rPr>
        <w:t>合理确定就业困难人员范围，规范就业困难人员认定程序，精准识别就业援助对象，实施优先扶持和重点帮助。鼓励企业吸纳就业困难人员就业，促进就业困难人员等特定群体就业创业和城乡劳动力培训转移就业。加大公益性就业岗位开发力度，加强公益性岗位托底安置，对城镇零就业家庭、长期失业人员、失地农民、</w:t>
      </w:r>
      <w:r>
        <w:rPr>
          <w:rFonts w:hint="eastAsia" w:eastAsia="方正仿宋简体"/>
          <w:color w:val="000000" w:themeColor="text1"/>
          <w14:textFill>
            <w14:solidFill>
              <w14:schemeClr w14:val="tx1"/>
            </w14:solidFill>
          </w14:textFill>
        </w:rPr>
        <w:t>妇女、</w:t>
      </w:r>
      <w:r>
        <w:rPr>
          <w:rFonts w:eastAsia="方正仿宋简体"/>
          <w:color w:val="000000" w:themeColor="text1"/>
          <w14:textFill>
            <w14:solidFill>
              <w14:schemeClr w14:val="tx1"/>
            </w14:solidFill>
          </w14:textFill>
        </w:rPr>
        <w:t>残疾人等就业困难人员开展就业援助，千方百计帮扶各类失业人员就业，并对有就业和创业意愿且符合条件的下岗失业人员、高校毕业生、就业困难人员实施小额担保贷款扶持工作，全力帮助其顺利实现自谋职业和自主创业。</w:t>
      </w:r>
    </w:p>
    <w:p>
      <w:pPr>
        <w:pStyle w:val="2"/>
        <w:spacing w:line="560" w:lineRule="exact"/>
        <w:rPr>
          <w:rFonts w:ascii="Times New Roman" w:hAnsi="Times New Roman"/>
          <w:color w:val="000000" w:themeColor="text1"/>
          <w14:textFill>
            <w14:solidFill>
              <w14:schemeClr w14:val="tx1"/>
            </w14:solidFill>
          </w14:textFill>
        </w:rPr>
      </w:pPr>
      <w:r>
        <w:fldChar w:fldCharType="begin"/>
      </w:r>
      <w:r>
        <w:instrText xml:space="preserve"> HYPERLINK \l "_Toc6674" </w:instrText>
      </w:r>
      <w:r>
        <w:fldChar w:fldCharType="separate"/>
      </w:r>
      <w:bookmarkStart w:id="21" w:name="_Toc93738256"/>
      <w:r>
        <w:rPr>
          <w:rFonts w:hint="eastAsia" w:ascii="黑体" w:hAnsi="黑体" w:eastAsia="黑体" w:cs="黑体"/>
          <w:b w:val="0"/>
          <w:bCs/>
          <w:color w:val="000000" w:themeColor="text1"/>
          <w14:textFill>
            <w14:solidFill>
              <w14:schemeClr w14:val="tx1"/>
            </w14:solidFill>
          </w14:textFill>
        </w:rPr>
        <w:t xml:space="preserve">第三节 </w:t>
      </w:r>
      <w:r>
        <w:rPr>
          <w:rFonts w:hint="eastAsia" w:ascii="黑体" w:hAnsi="黑体" w:eastAsia="黑体" w:cs="黑体"/>
          <w:b w:val="0"/>
          <w:bCs/>
          <w:color w:val="000000" w:themeColor="text1"/>
          <w14:textFill>
            <w14:solidFill>
              <w14:schemeClr w14:val="tx1"/>
            </w14:solidFill>
          </w14:textFill>
        </w:rPr>
        <w:fldChar w:fldCharType="end"/>
      </w:r>
      <w:r>
        <w:rPr>
          <w:rFonts w:hint="eastAsia" w:ascii="黑体" w:hAnsi="黑体" w:eastAsia="黑体" w:cs="黑体"/>
          <w:b w:val="0"/>
          <w:bCs/>
          <w:color w:val="000000" w:themeColor="text1"/>
          <w14:textFill>
            <w14:solidFill>
              <w14:schemeClr w14:val="tx1"/>
            </w14:solidFill>
          </w14:textFill>
        </w:rPr>
        <w:t>有序推进劳动力技能提升培训工作</w:t>
      </w:r>
      <w:bookmarkEnd w:id="21"/>
    </w:p>
    <w:p>
      <w:pPr>
        <w:spacing w:line="580" w:lineRule="exact"/>
        <w:ind w:firstLine="643" w:firstLineChars="200"/>
        <w:jc w:val="left"/>
        <w:rPr>
          <w:rFonts w:eastAsia="方正仿宋简体"/>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加强职业技能培训。</w:t>
      </w:r>
      <w:r>
        <w:rPr>
          <w:rFonts w:eastAsia="方正仿宋简体"/>
          <w:color w:val="000000" w:themeColor="text1"/>
          <w14:textFill>
            <w14:solidFill>
              <w14:schemeClr w14:val="tx1"/>
            </w14:solidFill>
          </w14:textFill>
        </w:rPr>
        <w:t>结合实施“粤菜师傅” “广东技工” “南粤家政”三项工程，广泛组织“三项工程”供需见面会、专场招聘会，做好相关项目推介、创业指导、补贴发放等服务，提升我县职业技能培训能力。开展“粤菜师傅”“南粤家政”“乡村工匠”等各类专项培训，开展企业职工在岗和线上适岗职业技能培训，加强校企合作，积极开展企业新型学徒制培训，重点谋划“三项工程”的技能大赛等系列主题活动，以赛代培。积极与广州等珠三角地市对接，充分用好穗梅对口帮扶机制，开展两地家政从业人员培训和就业创业合作。</w:t>
      </w:r>
    </w:p>
    <w:p>
      <w:pPr>
        <w:spacing w:line="580" w:lineRule="exact"/>
        <w:ind w:firstLine="643" w:firstLineChars="200"/>
        <w:jc w:val="left"/>
        <w:rPr>
          <w:rFonts w:eastAsia="方正仿宋简体"/>
          <w:bCs/>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加强平台培训引导。</w:t>
      </w:r>
      <w:r>
        <w:rPr>
          <w:rFonts w:eastAsia="方正仿宋简体"/>
          <w:color w:val="000000" w:themeColor="text1"/>
          <w14:textFill>
            <w14:solidFill>
              <w14:schemeClr w14:val="tx1"/>
            </w14:solidFill>
          </w14:textFill>
        </w:rPr>
        <w:t>对公共职业技能培训基础平台建设及其合作方式加强引导，支持社会培训和评价机构发展，加强民办职业培训学校管理，积极发挥技工</w:t>
      </w:r>
      <w:r>
        <w:rPr>
          <w:rFonts w:hint="eastAsia" w:eastAsia="方正仿宋简体"/>
          <w:color w:val="000000" w:themeColor="text1"/>
          <w14:textFill>
            <w14:solidFill>
              <w14:schemeClr w14:val="tx1"/>
            </w14:solidFill>
          </w14:textFill>
        </w:rPr>
        <w:t>学</w:t>
      </w:r>
      <w:r>
        <w:rPr>
          <w:rFonts w:eastAsia="方正仿宋简体"/>
          <w:color w:val="000000" w:themeColor="text1"/>
          <w14:textFill>
            <w14:solidFill>
              <w14:schemeClr w14:val="tx1"/>
            </w14:solidFill>
          </w14:textFill>
        </w:rPr>
        <w:t>校和协会企业两大主体作用，大力推进校企合作，打造满足不同层次需求的培养体系，推动县级培训基地、大师工作室和创业孵化基地建设。</w:t>
      </w:r>
      <w:r>
        <w:rPr>
          <w:rFonts w:eastAsia="方正仿宋简体"/>
          <w:bCs/>
          <w:color w:val="000000" w:themeColor="text1"/>
          <w14:textFill>
            <w14:solidFill>
              <w14:schemeClr w14:val="tx1"/>
            </w14:solidFill>
          </w14:textFill>
        </w:rPr>
        <w:t>大力推广“工学一体化”“职业培训包”“互联网+”等先进培训方式，推动云计算、大数据、移动智能终端等在职业技能培训领域的应用，提高培训便利度和可及性。</w:t>
      </w:r>
    </w:p>
    <w:p>
      <w:pPr>
        <w:spacing w:line="580" w:lineRule="exact"/>
        <w:ind w:firstLine="643" w:firstLineChars="200"/>
        <w:jc w:val="left"/>
        <w:rPr>
          <w:rFonts w:eastAsia="方正仿宋简体"/>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积极落实补贴政策。</w:t>
      </w:r>
      <w:r>
        <w:rPr>
          <w:rFonts w:eastAsia="方正仿宋简体"/>
          <w:color w:val="000000" w:themeColor="text1"/>
          <w14:textFill>
            <w14:solidFill>
              <w14:schemeClr w14:val="tx1"/>
            </w14:solidFill>
          </w14:textFill>
        </w:rPr>
        <w:t>积极落实省市的劳动力技能提升培训补贴政策。围绕产业发展、企业需求和劳动者的意愿，深化职业培训模式改革，推行与就业紧密联系的培训模式，增强培训针对性和有效性。与此同时，注重加强职业道德、法律意识等职业素质的培养，提高劳动者的技能水平和综合职业素养，帮助他们树立正确的就业观与择业观。按规定给予各类重点群体免费职业培训或职业培训补贴。</w:t>
      </w:r>
    </w:p>
    <w:p>
      <w:pPr>
        <w:pStyle w:val="2"/>
        <w:spacing w:line="560" w:lineRule="exact"/>
        <w:rPr>
          <w:rStyle w:val="42"/>
          <w:rFonts w:ascii="黑体" w:hAnsi="黑体" w:eastAsia="黑体" w:cs="黑体"/>
          <w:b w:val="0"/>
          <w:bCs/>
          <w:color w:val="000000" w:themeColor="text1"/>
          <w14:textFill>
            <w14:solidFill>
              <w14:schemeClr w14:val="tx1"/>
            </w14:solidFill>
          </w14:textFill>
        </w:rPr>
      </w:pPr>
      <w:r>
        <w:fldChar w:fldCharType="begin"/>
      </w:r>
      <w:r>
        <w:instrText xml:space="preserve"> HYPERLINK \l "_Toc4511" </w:instrText>
      </w:r>
      <w:r>
        <w:fldChar w:fldCharType="separate"/>
      </w:r>
      <w:bookmarkStart w:id="22" w:name="_Toc93738257"/>
      <w:bookmarkStart w:id="23" w:name="_Toc72186247"/>
      <w:r>
        <w:rPr>
          <w:rStyle w:val="42"/>
          <w:rFonts w:hint="eastAsia" w:ascii="黑体" w:hAnsi="黑体" w:eastAsia="黑体" w:cs="黑体"/>
          <w:b w:val="0"/>
          <w:bCs/>
          <w:color w:val="000000" w:themeColor="text1"/>
          <w14:textFill>
            <w14:solidFill>
              <w14:schemeClr w14:val="tx1"/>
            </w14:solidFill>
          </w14:textFill>
        </w:rPr>
        <w:t>第四节 提升全方位公共就业创业服务</w:t>
      </w:r>
      <w:bookmarkEnd w:id="22"/>
      <w:bookmarkEnd w:id="23"/>
      <w:r>
        <w:rPr>
          <w:rStyle w:val="42"/>
          <w:rFonts w:hint="eastAsia" w:ascii="黑体" w:hAnsi="黑体" w:eastAsia="黑体" w:cs="黑体"/>
          <w:b w:val="0"/>
          <w:bCs/>
          <w:color w:val="000000" w:themeColor="text1"/>
          <w14:textFill>
            <w14:solidFill>
              <w14:schemeClr w14:val="tx1"/>
            </w14:solidFill>
          </w14:textFill>
        </w:rPr>
        <w:fldChar w:fldCharType="end"/>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完善城乡统筹的公共就业创业服务体系。</w:t>
      </w:r>
      <w:r>
        <w:rPr>
          <w:rFonts w:eastAsia="方正仿宋简体"/>
          <w:color w:val="000000" w:themeColor="text1"/>
          <w14:textFill>
            <w14:solidFill>
              <w14:schemeClr w14:val="tx1"/>
            </w14:solidFill>
          </w14:textFill>
        </w:rPr>
        <w:t>着力推进人力资源和社会保障公共服务均等化，建设符合五华县情、覆盖城乡、更加完善的基本服务体系。夯实基层人社公共服务平台建设，提高服务质量和水平，制定和完善相关工作标准和管理制度，推进公共就业服务规范化、标准化和信息化发展。加强业务建设和人员队伍建设，提升服务水平，不断提高基层工作人员业务素质，促进政策水平、服务意识、服务质量和服务效率全面提高。加强企业失业动态监测和重点企业用工监测，加强就业形势分析研判，加强失业预防和调控，有效防止失业风险。</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积极开展公共就业服务活动。</w:t>
      </w:r>
      <w:r>
        <w:rPr>
          <w:rFonts w:eastAsia="方正仿宋简体"/>
          <w:color w:val="000000" w:themeColor="text1"/>
          <w14:textFill>
            <w14:solidFill>
              <w14:schemeClr w14:val="tx1"/>
            </w14:solidFill>
          </w14:textFill>
        </w:rPr>
        <w:t>加强深入企业一线的调研，根据企业用工需求和招工计划，制订保障重点企业用工方案。落实各项就业优惠政策等措施，有针对性地做好用工保障服务。畅通渠道，根据企业的用工需求及时在就业网站、手机APP和微信公众号等新媒体平台发布岗位需求信息。全县公共就业服务机构举办各类公共就业服务招聘活动，为企业做好信息发布、搭建求职招聘平台等服务工作，全力保障各类企业用工稳定。推动线上线下服务深度融合，加强跨辖区、跨层级、跨业务经办衔接，推行“打包办”“一网办”“一站办”等便捷服务方式。开展就业示范点建设，健全公共就业服务绩效考核制度。健全和完善就业创业服务购买制度和配套监管制度。</w:t>
      </w:r>
    </w:p>
    <w:p>
      <w:pPr>
        <w:spacing w:line="580" w:lineRule="exact"/>
        <w:ind w:firstLine="643" w:firstLineChars="200"/>
        <w:rPr>
          <w:rFonts w:eastAsia="方正仿宋简体"/>
          <w:b/>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搭建县级层面平台开展劳务合作。</w:t>
      </w:r>
      <w:r>
        <w:rPr>
          <w:rFonts w:eastAsia="方正仿宋简体"/>
          <w:color w:val="000000" w:themeColor="text1"/>
          <w14:textFill>
            <w14:solidFill>
              <w14:schemeClr w14:val="tx1"/>
            </w14:solidFill>
          </w14:textFill>
        </w:rPr>
        <w:t>着力加强劳务交流协作，探索更加合理的劳动力输出和引进模式，促进劳动力有序转移就业。加强与珠三角地市劳务交流合作力度，进一步探索与外省外市劳务交流模式，推动我县与省外的一些地市开展省际劳务对接活动，开辟新的劳动力供给地。</w:t>
      </w:r>
    </w:p>
    <w:p>
      <w:pPr>
        <w:pStyle w:val="3"/>
        <w:spacing w:line="580" w:lineRule="exact"/>
        <w:rPr>
          <w:rFonts w:ascii="方正小标宋简体" w:hAnsi="方正小标宋简体" w:eastAsia="方正小标宋简体" w:cs="方正小标宋简体"/>
          <w:b w:val="0"/>
          <w:bCs/>
          <w:color w:val="000000" w:themeColor="text1"/>
          <w14:textFill>
            <w14:solidFill>
              <w14:schemeClr w14:val="tx1"/>
            </w14:solidFill>
          </w14:textFill>
        </w:rPr>
      </w:pPr>
      <w:bookmarkStart w:id="24" w:name="_Toc93738258"/>
      <w:r>
        <w:rPr>
          <w:rFonts w:hint="eastAsia" w:ascii="方正小标宋简体" w:hAnsi="方正小标宋简体" w:eastAsia="方正小标宋简体" w:cs="方正小标宋简体"/>
          <w:b w:val="0"/>
          <w:bCs/>
          <w:color w:val="000000" w:themeColor="text1"/>
          <w14:textFill>
            <w14:solidFill>
              <w14:schemeClr w14:val="tx1"/>
            </w14:solidFill>
          </w14:textFill>
        </w:rPr>
        <w:t>第五章 建设更加全面和可持续的社会保障体系</w:t>
      </w:r>
      <w:bookmarkEnd w:id="24"/>
    </w:p>
    <w:p>
      <w:pPr>
        <w:spacing w:line="580" w:lineRule="exact"/>
        <w:ind w:firstLine="640" w:firstLineChars="200"/>
        <w:rPr>
          <w:bCs/>
          <w:color w:val="000000" w:themeColor="text1"/>
          <w:lang w:val="zh-CN"/>
          <w14:textFill>
            <w14:solidFill>
              <w14:schemeClr w14:val="tx1"/>
            </w14:solidFill>
          </w14:textFill>
        </w:rPr>
      </w:pPr>
      <w:bookmarkStart w:id="25" w:name="_Toc31603"/>
      <w:r>
        <w:rPr>
          <w:rFonts w:eastAsia="方正仿宋简体"/>
          <w:bCs/>
          <w:color w:val="000000" w:themeColor="text1"/>
          <w:lang w:val="zh-CN"/>
          <w14:textFill>
            <w14:solidFill>
              <w14:schemeClr w14:val="tx1"/>
            </w14:solidFill>
          </w14:textFill>
        </w:rPr>
        <w:t>按照兜底线、织密网、建机制的要求，进一步深化养老、</w:t>
      </w:r>
      <w:r>
        <w:rPr>
          <w:rFonts w:eastAsia="方正仿宋简体"/>
          <w:bCs/>
          <w:color w:val="000000" w:themeColor="text1"/>
          <w:highlight w:val="yellow"/>
          <w:lang w:val="zh-CN"/>
          <w14:textFill>
            <w14:solidFill>
              <w14:schemeClr w14:val="tx1"/>
            </w14:solidFill>
          </w14:textFill>
        </w:rPr>
        <w:t>医疗、生育、</w:t>
      </w:r>
      <w:r>
        <w:rPr>
          <w:rFonts w:eastAsia="方正仿宋简体"/>
          <w:bCs/>
          <w:color w:val="000000" w:themeColor="text1"/>
          <w:lang w:val="zh-CN"/>
          <w14:textFill>
            <w14:solidFill>
              <w14:schemeClr w14:val="tx1"/>
            </w14:solidFill>
          </w14:textFill>
        </w:rPr>
        <w:t>工伤、失业保险制度改革，推动建成覆盖全民、城乡统筹、权责清晰、保障适度、可持续的多层次社会保障体系。</w:t>
      </w:r>
      <w:r>
        <w:rPr>
          <w:rFonts w:eastAsia="方正仿宋简体"/>
          <w:color w:val="000000" w:themeColor="text1"/>
          <w:kern w:val="0"/>
          <w:lang w:val="zh-TW"/>
          <w14:textFill>
            <w14:solidFill>
              <w14:schemeClr w14:val="tx1"/>
            </w14:solidFill>
          </w14:textFill>
        </w:rPr>
        <w:t>稳步</w:t>
      </w:r>
      <w:r>
        <w:rPr>
          <w:rFonts w:eastAsia="方正仿宋简体"/>
          <w:color w:val="000000" w:themeColor="text1"/>
          <w:kern w:val="0"/>
          <w:lang w:val="zh-TW" w:eastAsia="zh-TW"/>
          <w14:textFill>
            <w14:solidFill>
              <w14:schemeClr w14:val="tx1"/>
            </w14:solidFill>
          </w14:textFill>
        </w:rPr>
        <w:t>提高社会保障水平</w:t>
      </w:r>
      <w:r>
        <w:rPr>
          <w:rFonts w:eastAsia="方正仿宋简体"/>
          <w:color w:val="000000" w:themeColor="text1"/>
          <w:kern w:val="0"/>
          <w:lang w:val="zh-TW"/>
          <w14:textFill>
            <w14:solidFill>
              <w14:schemeClr w14:val="tx1"/>
            </w14:solidFill>
          </w14:textFill>
        </w:rPr>
        <w:t>，提升社会保险经办服务能力，实现更加全面和更可持续的社会保障。</w:t>
      </w:r>
      <w:bookmarkEnd w:id="25"/>
    </w:p>
    <w:p>
      <w:pPr>
        <w:pStyle w:val="2"/>
        <w:spacing w:line="560" w:lineRule="exact"/>
        <w:rPr>
          <w:rFonts w:ascii="黑体" w:hAnsi="黑体" w:eastAsia="黑体" w:cs="黑体"/>
          <w:b w:val="0"/>
          <w:bCs/>
          <w:color w:val="000000" w:themeColor="text1"/>
          <w:lang w:val="zh-TW"/>
          <w14:textFill>
            <w14:solidFill>
              <w14:schemeClr w14:val="tx1"/>
            </w14:solidFill>
          </w14:textFill>
        </w:rPr>
      </w:pPr>
      <w:bookmarkStart w:id="26" w:name="_Toc72186249"/>
      <w:bookmarkStart w:id="27" w:name="_Toc93738259"/>
      <w:r>
        <w:rPr>
          <w:rFonts w:hint="eastAsia" w:ascii="黑体" w:hAnsi="黑体" w:eastAsia="黑体" w:cs="黑体"/>
          <w:b w:val="0"/>
          <w:bCs/>
          <w:color w:val="000000" w:themeColor="text1"/>
          <w:lang w:val="zh-TW"/>
          <w14:textFill>
            <w14:solidFill>
              <w14:schemeClr w14:val="tx1"/>
            </w14:solidFill>
          </w14:textFill>
        </w:rPr>
        <w:t>第一节 全面</w:t>
      </w:r>
      <w:r>
        <w:rPr>
          <w:rFonts w:hint="eastAsia" w:ascii="黑体" w:hAnsi="黑体" w:eastAsia="黑体" w:cs="黑体"/>
          <w:b w:val="0"/>
          <w:bCs/>
          <w:color w:val="000000" w:themeColor="text1"/>
          <w14:textFill>
            <w14:solidFill>
              <w14:schemeClr w14:val="tx1"/>
            </w14:solidFill>
          </w14:textFill>
        </w:rPr>
        <w:t>推动实现“应保尽保”</w:t>
      </w:r>
      <w:bookmarkEnd w:id="26"/>
      <w:bookmarkEnd w:id="27"/>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lang w:val="zh-CN"/>
          <w14:textFill>
            <w14:solidFill>
              <w14:schemeClr w14:val="tx1"/>
            </w14:solidFill>
          </w14:textFill>
        </w:rPr>
        <w:t>全面实施全民参保计划。</w:t>
      </w:r>
      <w:r>
        <w:rPr>
          <w:rFonts w:eastAsia="方正仿宋简体"/>
          <w:color w:val="000000" w:themeColor="text1"/>
          <w:lang w:val="zh-CN"/>
          <w14:textFill>
            <w14:solidFill>
              <w14:schemeClr w14:val="tx1"/>
            </w14:solidFill>
          </w14:textFill>
        </w:rPr>
        <w:t>压紧压实各级政府扩面征缴主体责任，实现城镇职工基本养老保险由制度全覆盖到法定人群全覆盖，城乡居民基本养老保险适龄参保人员实现应保尽保，加强失业保险、工伤保险参保扩面工作，</w:t>
      </w:r>
      <w:r>
        <w:rPr>
          <w:rFonts w:eastAsia="方正仿宋简体"/>
          <w:bCs/>
          <w:lang w:val="zh-CN"/>
        </w:rPr>
        <w:t>巩固全民医保成效</w:t>
      </w:r>
      <w:r>
        <w:rPr>
          <w:color w:val="000000" w:themeColor="text1"/>
          <w:lang w:val="zh-CN"/>
          <w14:textFill>
            <w14:solidFill>
              <w14:schemeClr w14:val="tx1"/>
            </w14:solidFill>
          </w14:textFill>
        </w:rPr>
        <w:t>。</w:t>
      </w:r>
      <w:r>
        <w:rPr>
          <w:rFonts w:eastAsia="方正仿宋简体"/>
          <w:color w:val="000000" w:themeColor="text1"/>
          <w14:textFill>
            <w14:solidFill>
              <w14:schemeClr w14:val="tx1"/>
            </w14:solidFill>
          </w14:textFill>
        </w:rPr>
        <w:t>加强全民参保数据动态管理和分析应用，提升对参保信息数据的共享和综合利用水平，建立全民参保登记动态清零机制，动态精准锁定未参保人员和中断缴费人员。</w:t>
      </w:r>
    </w:p>
    <w:p>
      <w:pPr>
        <w:spacing w:line="580" w:lineRule="exact"/>
        <w:ind w:firstLine="643" w:firstLineChars="200"/>
        <w:rPr>
          <w:rFonts w:eastAsia="方正仿宋简体"/>
          <w:color w:val="000000" w:themeColor="text1"/>
          <w:highlight w:val="yellow"/>
          <w:lang w:val="zh-CN"/>
          <w14:textFill>
            <w14:solidFill>
              <w14:schemeClr w14:val="tx1"/>
            </w14:solidFill>
          </w14:textFill>
        </w:rPr>
      </w:pPr>
      <w:r>
        <w:rPr>
          <w:rFonts w:eastAsia="方正仿宋简体"/>
          <w:b/>
          <w:color w:val="000000" w:themeColor="text1"/>
          <w14:textFill>
            <w14:solidFill>
              <w14:schemeClr w14:val="tx1"/>
            </w14:solidFill>
          </w14:textFill>
        </w:rPr>
        <w:t>巩固扩大社会保险覆盖面。</w:t>
      </w:r>
      <w:r>
        <w:rPr>
          <w:rFonts w:eastAsia="方正仿宋简体"/>
          <w:color w:val="000000" w:themeColor="text1"/>
          <w14:textFill>
            <w14:solidFill>
              <w14:schemeClr w14:val="tx1"/>
            </w14:solidFill>
          </w14:textFill>
        </w:rPr>
        <w:t>进一步推动灵活就业人员、新就业形态从业人员等参加企业职工基本养老保险、</w:t>
      </w:r>
      <w:r>
        <w:rPr>
          <w:rFonts w:eastAsia="方正仿宋简体"/>
          <w:color w:val="000000" w:themeColor="text1"/>
          <w:highlight w:val="yellow"/>
          <w14:textFill>
            <w14:solidFill>
              <w14:schemeClr w14:val="tx1"/>
            </w14:solidFill>
          </w14:textFill>
        </w:rPr>
        <w:t>基本医疗保险，</w:t>
      </w:r>
      <w:r>
        <w:rPr>
          <w:rFonts w:eastAsia="方正仿宋简体"/>
          <w:color w:val="000000" w:themeColor="text1"/>
          <w14:textFill>
            <w14:solidFill>
              <w14:schemeClr w14:val="tx1"/>
            </w14:solidFill>
          </w14:textFill>
        </w:rPr>
        <w:t>实施非劳动关系特定人员参加工伤保险办法，完善建筑业按项目参</w:t>
      </w:r>
      <w:r>
        <w:rPr>
          <w:rFonts w:eastAsia="方正仿宋简体"/>
          <w:bCs/>
          <w:color w:val="000000" w:themeColor="text1"/>
          <w:lang w:val="zh-CN"/>
          <w14:textFill>
            <w14:solidFill>
              <w14:schemeClr w14:val="tx1"/>
            </w14:solidFill>
          </w14:textFill>
        </w:rPr>
        <w:t>加工伤保险的长效机制。推动中小企业、私营企业等单位和异地务工人员参加失业保险。实现失业保险、工伤保险从企业职工向职业劳动者的广覆盖。落实</w:t>
      </w:r>
      <w:r>
        <w:rPr>
          <w:rFonts w:eastAsia="方正仿宋简体"/>
          <w:color w:val="000000" w:themeColor="text1"/>
          <w14:textFill>
            <w14:solidFill>
              <w14:schemeClr w14:val="tx1"/>
            </w14:solidFill>
          </w14:textFill>
        </w:rPr>
        <w:t>以城乡居民基本养老保险为主的社会保险缴费补贴政策，促进低收入人群、困难人群参保和断保人员续保。</w:t>
      </w:r>
      <w:r>
        <w:rPr>
          <w:rFonts w:eastAsia="方正仿宋简体"/>
          <w:color w:val="000000" w:themeColor="text1"/>
          <w:highlight w:val="yellow"/>
          <w14:textFill>
            <w14:solidFill>
              <w14:schemeClr w14:val="tx1"/>
            </w14:solidFill>
          </w14:textFill>
        </w:rPr>
        <w:t>强化政策宣传引导，推动各类用人单位积极组织员工参保。</w:t>
      </w:r>
      <w:r>
        <w:rPr>
          <w:rFonts w:eastAsia="方正仿宋简体"/>
          <w:bCs/>
          <w:highlight w:val="yellow"/>
        </w:rPr>
        <w:t>健全医疗救助对象及时精准识别机制，实施动态监测。全面落实资助重点救助对象参保代缴政策，实现“应保尽保”。</w:t>
      </w:r>
    </w:p>
    <w:p>
      <w:pPr>
        <w:pStyle w:val="2"/>
        <w:spacing w:line="560" w:lineRule="exact"/>
        <w:rPr>
          <w:rFonts w:ascii="黑体" w:hAnsi="黑体" w:eastAsia="黑体" w:cs="黑体"/>
          <w:b w:val="0"/>
          <w:bCs/>
          <w:color w:val="000000" w:themeColor="text1"/>
          <w14:textFill>
            <w14:solidFill>
              <w14:schemeClr w14:val="tx1"/>
            </w14:solidFill>
          </w14:textFill>
        </w:rPr>
      </w:pPr>
      <w:bookmarkStart w:id="28" w:name="_Toc93738260"/>
      <w:r>
        <w:rPr>
          <w:rFonts w:hint="eastAsia" w:ascii="黑体" w:hAnsi="黑体" w:eastAsia="黑体" w:cs="黑体"/>
          <w:b w:val="0"/>
          <w:bCs/>
          <w:color w:val="000000" w:themeColor="text1"/>
          <w14:textFill>
            <w14:solidFill>
              <w14:schemeClr w14:val="tx1"/>
            </w14:solidFill>
          </w14:textFill>
        </w:rPr>
        <w:t>第二节 完善各项社会保险制度</w:t>
      </w:r>
      <w:bookmarkEnd w:id="28"/>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积极构建多层次养老保险体系。</w:t>
      </w:r>
      <w:r>
        <w:rPr>
          <w:rFonts w:eastAsia="方正仿宋简体"/>
          <w:color w:val="000000" w:themeColor="text1"/>
          <w14:textFill>
            <w14:solidFill>
              <w14:schemeClr w14:val="tx1"/>
            </w14:solidFill>
          </w14:textFill>
        </w:rPr>
        <w:t>完善城乡居民养老保险制度，做好城镇职工基本养老保险与城乡居民养老保险的相互衔接，加强城乡居民基本养老保险与社会救助、社会福利等其他社会保障制度的配套衔接，进一步完善被征地农民养老保障制度改革，实现养老保险城乡统筹发展。根据国家和省、市的部署，继续深化机关事业单位养老保险制度改革。积极推行企业年金制度，完善机关事业单位人员职业年金制度，扩大第二支柱养老保障体系覆盖面。积极探索个人养老金制度，推动养老保险第三支柱发展。落实丧葬补助金、职工遗属待遇方面政策。</w:t>
      </w:r>
    </w:p>
    <w:p>
      <w:pPr>
        <w:autoSpaceDN w:val="0"/>
        <w:spacing w:line="580" w:lineRule="exact"/>
        <w:ind w:firstLine="641"/>
        <w:rPr>
          <w:rFonts w:eastAsia="方正仿宋简体"/>
          <w:kern w:val="0"/>
          <w:highlight w:val="yellow"/>
        </w:rPr>
      </w:pPr>
      <w:r>
        <w:rPr>
          <w:rFonts w:eastAsia="方正仿宋简体"/>
          <w:b/>
          <w:bCs/>
          <w:kern w:val="0"/>
          <w:highlight w:val="yellow"/>
        </w:rPr>
        <w:t>完善基本医疗保险制度。</w:t>
      </w:r>
      <w:r>
        <w:rPr>
          <w:rFonts w:eastAsia="方正仿宋简体"/>
          <w:kern w:val="0"/>
          <w:highlight w:val="yellow"/>
        </w:rPr>
        <w:t>推动多层次医疗保障制度融合发展，实现基本医疗保险、大病保险、补充医疗保险、医疗救助政策互补衔接。健全基本医保稳健可持续筹资运行机制。</w:t>
      </w:r>
      <w:r>
        <w:rPr>
          <w:rFonts w:eastAsia="方正仿宋简体"/>
          <w:highlight w:val="yellow"/>
        </w:rPr>
        <w:t>深化医保支付方式改革，完善总额预算管理下以病种分值付费为主的多元复合式医保支付方式</w:t>
      </w:r>
      <w:r>
        <w:rPr>
          <w:rFonts w:eastAsia="方正仿宋简体"/>
          <w:kern w:val="0"/>
          <w:highlight w:val="yellow"/>
        </w:rPr>
        <w:t>。按省部署推进紧密型医联体以绩效为导向的医保支付方式综合改革试点工作。改革职工基本医疗保险个人账户，合理调整个人账户计入方式。健全门诊共济保障机制，统筹做好门诊特定病种和普通门诊保障。优化生育保险制度，促进基本医疗保险与生育保险合并衔接。按上级统一部署</w:t>
      </w:r>
      <w:r>
        <w:rPr>
          <w:rFonts w:eastAsia="方正仿宋简体"/>
          <w:highlight w:val="yellow"/>
        </w:rPr>
        <w:t>建立医疗保障待遇清单制度，科学界定基本制度、基本政策、基金支付项目和标准。</w:t>
      </w:r>
      <w:r>
        <w:rPr>
          <w:rFonts w:eastAsia="方正仿宋简体"/>
          <w:kern w:val="0"/>
          <w:highlight w:val="yellow"/>
        </w:rPr>
        <w:t>构建多层次医疗救助体系，健全住院和门诊医疗费用救助机制，加大重特大疾病患者救助力度。按省部署探索长期护理保险制度。</w:t>
      </w:r>
      <w:r>
        <w:rPr>
          <w:rFonts w:eastAsia="方正仿宋简体"/>
          <w:highlight w:val="yellow"/>
        </w:rPr>
        <w:t>全面推进药品、医用耗材集中带量采购。完善医药服务价格形成机制，完善价格管理方式，优化调整定价规则和程序。</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lang w:val="zh-TW"/>
          <w14:textFill>
            <w14:solidFill>
              <w14:schemeClr w14:val="tx1"/>
            </w14:solidFill>
          </w14:textFill>
        </w:rPr>
        <w:t>完善</w:t>
      </w:r>
      <w:r>
        <w:rPr>
          <w:rFonts w:eastAsia="方正仿宋简体"/>
          <w:b/>
          <w:color w:val="000000" w:themeColor="text1"/>
          <w:lang w:val="zh-TW" w:eastAsia="zh-TW"/>
          <w14:textFill>
            <w14:solidFill>
              <w14:schemeClr w14:val="tx1"/>
            </w14:solidFill>
          </w14:textFill>
        </w:rPr>
        <w:t>失业保险制度</w:t>
      </w:r>
      <w:r>
        <w:rPr>
          <w:rFonts w:eastAsia="方正仿宋简体"/>
          <w:b/>
          <w:color w:val="000000" w:themeColor="text1"/>
          <w:lang w:val="zh-TW"/>
          <w14:textFill>
            <w14:solidFill>
              <w14:schemeClr w14:val="tx1"/>
            </w14:solidFill>
          </w14:textFill>
        </w:rPr>
        <w:t>。</w:t>
      </w:r>
      <w:r>
        <w:rPr>
          <w:rFonts w:eastAsia="方正仿宋简体"/>
          <w:color w:val="000000" w:themeColor="text1"/>
          <w14:textFill>
            <w14:solidFill>
              <w14:schemeClr w14:val="tx1"/>
            </w14:solidFill>
          </w14:textFill>
        </w:rPr>
        <w:t>进一步扩大失业保险保障范围，推进灵活就业人员参加失业保险。完善失业保险金等待遇申领发放政策，确保失业保险金、失业补助金和价格临时补贴及时足额发放，做到“畅通领，安全办”。完善失业保险基金防范失业风险制度改革，积极稳妥实行稳岗补贴政策，充分发挥失业保险 “保生活、促就业、防失业”功能。推动失业保险从基本生活保障向职业技能提升拓展、从事后帮扶就业向事前预防失业拓展、从失业人员向所有参保职工和企业拓展。</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完善工伤保险制度。</w:t>
      </w:r>
      <w:r>
        <w:rPr>
          <w:rFonts w:eastAsia="方正仿宋简体"/>
          <w:color w:val="000000" w:themeColor="text1"/>
          <w14:textFill>
            <w14:solidFill>
              <w14:schemeClr w14:val="tx1"/>
            </w14:solidFill>
          </w14:textFill>
        </w:rPr>
        <w:t>完善《工伤保险条例》《广东省工伤保险条例》规定的各项配套政策，完善工伤预防、补偿、康复“三位一体”工伤保险制度。实施工伤预防五年行动计划，探索预防项目绩效评价办法；完善工伤康复政策标准和服务体系，健全“早期介入”和“先康复后评残”工伤康复精准发动机制。坚持“以人为本，预防为要”原则，落实工伤预防经费保障机制，联动其他部门做好工伤预防培训和宣传工作。</w:t>
      </w:r>
      <w:r>
        <w:rPr>
          <w:rFonts w:eastAsia="方正仿宋简体"/>
          <w:color w:val="000000" w:themeColor="text1"/>
          <w:lang w:val="zh-TW"/>
          <w14:textFill>
            <w14:solidFill>
              <w14:schemeClr w14:val="tx1"/>
            </w14:solidFill>
          </w14:textFill>
        </w:rPr>
        <w:t>按照省部署推进实施八类工伤保险行业基准费率政策，</w:t>
      </w:r>
      <w:r>
        <w:rPr>
          <w:rFonts w:eastAsia="方正仿宋简体"/>
          <w:color w:val="000000" w:themeColor="text1"/>
          <w14:textFill>
            <w14:solidFill>
              <w14:schemeClr w14:val="tx1"/>
            </w14:solidFill>
          </w14:textFill>
        </w:rPr>
        <w:t>建立健全与行业工伤风险基本对应、风险档次适度的工伤保险费率标准。</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完善社会保障待遇调整机制。</w:t>
      </w:r>
      <w:r>
        <w:rPr>
          <w:rFonts w:eastAsia="方正仿宋简体"/>
          <w:color w:val="000000" w:themeColor="text1"/>
          <w14:textFill>
            <w14:solidFill>
              <w14:schemeClr w14:val="tx1"/>
            </w14:solidFill>
          </w14:textFill>
        </w:rPr>
        <w:t>促进社会保障待遇水平与我县经济发展水平相适应，确保各项社保待遇按时足额发放。健全养老保险多缴多得、长缴多得的激励机制，引导参保人员通过多缴费、长缴费提高保障水平。按照省、市的要求，适时提出城乡居民基本养老保险基础养老金最低标准调整方案。</w:t>
      </w:r>
      <w:r>
        <w:rPr>
          <w:rFonts w:eastAsia="方正仿宋简体"/>
          <w:bCs/>
          <w:highlight w:val="yellow"/>
        </w:rPr>
        <w:t>稳步提高医疗、生育保险待遇，</w:t>
      </w:r>
      <w:r>
        <w:rPr>
          <w:rFonts w:eastAsia="方正仿宋简体"/>
          <w:bCs/>
          <w:kern w:val="0"/>
          <w:highlight w:val="yellow"/>
        </w:rPr>
        <w:t>规范医保支付政策确定办法，逐步统一待遇标准。坚持公平适度原则，稳步提升职工、居民医保政策范围内住院报销比例。</w:t>
      </w:r>
      <w:r>
        <w:rPr>
          <w:rFonts w:eastAsia="方正仿宋简体"/>
          <w:bCs/>
          <w:highlight w:val="yellow"/>
        </w:rPr>
        <w:t>健全重大疫情医疗救治医保支付政策。完善医保目录动态调整机制。合理确定生育津贴计发办法。按省部署探索制定长期护理保险基本保障项目目录。</w:t>
      </w:r>
      <w:r>
        <w:rPr>
          <w:rFonts w:eastAsia="方正仿宋简体"/>
          <w:color w:val="000000" w:themeColor="text1"/>
          <w14:textFill>
            <w14:solidFill>
              <w14:schemeClr w14:val="tx1"/>
            </w14:solidFill>
          </w14:textFill>
        </w:rPr>
        <w:t>完善失业保险保障标准与物价上涨挂钩联动机制，稳步动态提高失业保险待遇水平。优化规范工伤保险待遇项目设置，完善工伤保险长期待遇调整机制，按省、市要求提高工伤保险待遇水平。</w:t>
      </w:r>
    </w:p>
    <w:p>
      <w:pPr>
        <w:pStyle w:val="2"/>
        <w:spacing w:line="560" w:lineRule="exact"/>
        <w:rPr>
          <w:rFonts w:ascii="黑体" w:hAnsi="黑体" w:eastAsia="黑体" w:cs="黑体"/>
          <w:b w:val="0"/>
          <w:bCs/>
          <w:color w:val="000000" w:themeColor="text1"/>
          <w14:textFill>
            <w14:solidFill>
              <w14:schemeClr w14:val="tx1"/>
            </w14:solidFill>
          </w14:textFill>
        </w:rPr>
      </w:pPr>
      <w:bookmarkStart w:id="29" w:name="_Toc93738261"/>
      <w:r>
        <w:rPr>
          <w:rFonts w:hint="eastAsia" w:ascii="黑体" w:hAnsi="黑体" w:eastAsia="黑体" w:cs="黑体"/>
          <w:b w:val="0"/>
          <w:bCs/>
          <w:color w:val="000000" w:themeColor="text1"/>
          <w14:textFill>
            <w14:solidFill>
              <w14:schemeClr w14:val="tx1"/>
            </w14:solidFill>
          </w14:textFill>
        </w:rPr>
        <w:t>第三节 确保社保基金运行安全</w:t>
      </w:r>
      <w:bookmarkEnd w:id="29"/>
    </w:p>
    <w:p>
      <w:pPr>
        <w:spacing w:line="580" w:lineRule="exact"/>
        <w:ind w:firstLine="643" w:firstLineChars="200"/>
        <w:rPr>
          <w:rFonts w:eastAsia="方正仿宋简体"/>
          <w:color w:val="000000" w:themeColor="text1"/>
          <w:highlight w:val="yellow"/>
          <w14:textFill>
            <w14:solidFill>
              <w14:schemeClr w14:val="tx1"/>
            </w14:solidFill>
          </w14:textFill>
        </w:rPr>
      </w:pPr>
      <w:r>
        <w:rPr>
          <w:rFonts w:eastAsia="方正仿宋简体"/>
          <w:b/>
          <w:color w:val="000000" w:themeColor="text1"/>
          <w14:textFill>
            <w14:solidFill>
              <w14:schemeClr w14:val="tx1"/>
            </w14:solidFill>
          </w14:textFill>
        </w:rPr>
        <w:t>强化社会保险基金监管。</w:t>
      </w:r>
      <w:r>
        <w:rPr>
          <w:rFonts w:eastAsia="方正仿宋简体"/>
          <w:color w:val="000000" w:themeColor="text1"/>
          <w14:textFill>
            <w14:solidFill>
              <w14:schemeClr w14:val="tx1"/>
            </w14:solidFill>
          </w14:textFill>
        </w:rPr>
        <w:t>完善社会保险基金管理风险内控制度，落实岗位相互监督、业务环节相互制衡的机制。完善社会保险欺诈防范、查处和移送体制机制，健全基金监督行政执法与刑事司法衔接机制。切实加强养老金、失业和工伤保险金领取资格认证工作，实施社会保险违法违规行为举报奖励制度。</w:t>
      </w:r>
      <w:r>
        <w:rPr>
          <w:rFonts w:eastAsia="方正仿宋简体"/>
          <w:bCs/>
          <w:highlight w:val="yellow"/>
        </w:rPr>
        <w:t>强化医保基金监管，着力推进监管体制改革，建立健全医疗保障信用管理体系，推进专业化基金监督队伍建设，提升监管能力，以零容忍的态度严厉打击欺诈骗保行为。</w:t>
      </w:r>
      <w:r>
        <w:rPr>
          <w:rFonts w:eastAsia="方正仿宋简体"/>
          <w:color w:val="000000" w:themeColor="text1"/>
          <w:highlight w:val="yellow"/>
          <w14:textFill>
            <w14:solidFill>
              <w14:schemeClr w14:val="tx1"/>
            </w14:solidFill>
          </w14:textFill>
        </w:rPr>
        <w:t>完善基金监督信息系统，建立社会保险违法失信行为联合惩戒机制，最大限度防范社保基金的跑、冒、滴、漏。</w:t>
      </w:r>
    </w:p>
    <w:p>
      <w:pPr>
        <w:spacing w:line="580" w:lineRule="exact"/>
        <w:ind w:firstLine="643" w:firstLineChars="200"/>
        <w:rPr>
          <w:rFonts w:eastAsia="仿宋"/>
          <w:color w:val="000000" w:themeColor="text1"/>
          <w:highlight w:val="yellow"/>
          <w14:textFill>
            <w14:solidFill>
              <w14:schemeClr w14:val="tx1"/>
            </w14:solidFill>
          </w14:textFill>
        </w:rPr>
      </w:pPr>
      <w:r>
        <w:rPr>
          <w:rFonts w:eastAsia="方正仿宋简体"/>
          <w:b/>
          <w:color w:val="000000" w:themeColor="text1"/>
          <w14:textFill>
            <w14:solidFill>
              <w14:schemeClr w14:val="tx1"/>
            </w14:solidFill>
          </w14:textFill>
        </w:rPr>
        <w:t>落实社保基金统筹工作任务。</w:t>
      </w:r>
      <w:r>
        <w:rPr>
          <w:rFonts w:eastAsia="方正仿宋简体"/>
          <w:color w:val="000000" w:themeColor="text1"/>
          <w14:textFill>
            <w14:solidFill>
              <w14:schemeClr w14:val="tx1"/>
            </w14:solidFill>
          </w14:textFill>
        </w:rPr>
        <w:t>完善企业职工基本养老保险、工伤保险基金省级统筹配套政策，推进失业保险基金省级统筹工作，进一步完善城乡居民养老保险基金县级管理。切实做好企业职工养老保险、工伤保险和失业保险基金上解支出和基金监管工作。</w:t>
      </w:r>
      <w:r>
        <w:rPr>
          <w:rFonts w:eastAsia="方正仿宋简体"/>
          <w:bCs/>
          <w:highlight w:val="yellow"/>
          <w:lang w:val="zh-TW"/>
        </w:rPr>
        <w:t>按省统一部署，</w:t>
      </w:r>
      <w:r>
        <w:rPr>
          <w:rFonts w:eastAsia="方正仿宋简体"/>
          <w:bCs/>
          <w:highlight w:val="yellow"/>
        </w:rPr>
        <w:t>推动基本医疗保险及大病保险、生育保险省级统筹，促进医疗救助与基本医疗保险统筹层次相协调。</w:t>
      </w:r>
    </w:p>
    <w:p>
      <w:pPr>
        <w:pStyle w:val="2"/>
        <w:spacing w:line="560" w:lineRule="exact"/>
        <w:rPr>
          <w:rFonts w:ascii="黑体" w:hAnsi="黑体" w:eastAsia="黑体" w:cs="黑体"/>
          <w:b w:val="0"/>
          <w:bCs/>
          <w:color w:val="000000" w:themeColor="text1"/>
          <w14:textFill>
            <w14:solidFill>
              <w14:schemeClr w14:val="tx1"/>
            </w14:solidFill>
          </w14:textFill>
        </w:rPr>
      </w:pPr>
      <w:bookmarkStart w:id="30" w:name="_Toc93738262"/>
      <w:r>
        <w:rPr>
          <w:rFonts w:hint="eastAsia" w:ascii="黑体" w:hAnsi="黑体" w:eastAsia="黑体" w:cs="黑体"/>
          <w:b w:val="0"/>
          <w:bCs/>
          <w:color w:val="000000" w:themeColor="text1"/>
          <w14:textFill>
            <w14:solidFill>
              <w14:schemeClr w14:val="tx1"/>
            </w14:solidFill>
          </w14:textFill>
        </w:rPr>
        <w:t>第四节 提升社保经办服务水平</w:t>
      </w:r>
      <w:bookmarkEnd w:id="30"/>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深化放管服改革</w:t>
      </w:r>
      <w:r>
        <w:rPr>
          <w:rFonts w:eastAsia="方正仿宋简体"/>
          <w:color w:val="000000" w:themeColor="text1"/>
          <w14:textFill>
            <w14:solidFill>
              <w14:schemeClr w14:val="tx1"/>
            </w14:solidFill>
          </w14:textFill>
        </w:rPr>
        <w:t>。</w:t>
      </w:r>
      <w:r>
        <w:rPr>
          <w:rFonts w:eastAsia="方正仿宋简体"/>
          <w:color w:val="000000" w:themeColor="text1"/>
          <w:lang w:val="zh-CN"/>
          <w14:textFill>
            <w14:solidFill>
              <w14:schemeClr w14:val="tx1"/>
            </w14:solidFill>
          </w14:textFill>
        </w:rPr>
        <w:t>优化内设机构职能，推动流程再造，全面推广“前台一窗受理、后台分级审核、限时办结、统一反馈”的综合柜员制经办模式。</w:t>
      </w:r>
      <w:r>
        <w:rPr>
          <w:rFonts w:eastAsia="方正仿宋简体"/>
          <w:color w:val="000000" w:themeColor="text1"/>
          <w14:textFill>
            <w14:solidFill>
              <w14:schemeClr w14:val="tx1"/>
            </w14:solidFill>
          </w14:textFill>
        </w:rPr>
        <w:t>推动社保业务从县社保服务大厅延伸到镇街办理，</w:t>
      </w:r>
      <w:r>
        <w:rPr>
          <w:rFonts w:eastAsia="方正仿宋简体"/>
          <w:color w:val="000000" w:themeColor="text1"/>
          <w:lang w:val="zh-CN"/>
          <w14:textFill>
            <w14:solidFill>
              <w14:schemeClr w14:val="tx1"/>
            </w14:solidFill>
          </w14:textFill>
        </w:rPr>
        <w:t>逐步健全基层公共服务平台服务设施设备</w:t>
      </w:r>
      <w:r>
        <w:rPr>
          <w:rFonts w:eastAsia="方正仿宋简体"/>
          <w:color w:val="000000" w:themeColor="text1"/>
          <w14:textFill>
            <w14:solidFill>
              <w14:schemeClr w14:val="tx1"/>
            </w14:solidFill>
          </w14:textFill>
        </w:rPr>
        <w:t>。</w:t>
      </w:r>
      <w:r>
        <w:rPr>
          <w:rFonts w:eastAsia="方正仿宋简体"/>
          <w:color w:val="000000" w:themeColor="text1"/>
          <w:lang w:val="zh-CN"/>
          <w14:textFill>
            <w14:solidFill>
              <w14:schemeClr w14:val="tx1"/>
            </w14:solidFill>
          </w14:textFill>
        </w:rPr>
        <w:t>依法依规推动电子证照、电子文书、电子印章等在社会保险领域的推广应用。简化社会保险服务事项流程，推进办事材料目录化、标准化、电子化，提升服务效能。</w:t>
      </w:r>
    </w:p>
    <w:p>
      <w:pPr>
        <w:spacing w:line="580" w:lineRule="exact"/>
        <w:ind w:firstLine="619" w:firstLineChars="200"/>
        <w:rPr>
          <w:rFonts w:eastAsia="方正仿宋简体"/>
          <w:color w:val="000000" w:themeColor="text1"/>
          <w:highlight w:val="yellow"/>
          <w14:textFill>
            <w14:solidFill>
              <w14:schemeClr w14:val="tx1"/>
            </w14:solidFill>
          </w14:textFill>
        </w:rPr>
      </w:pPr>
      <w:r>
        <w:rPr>
          <w:rFonts w:eastAsia="方正仿宋简体"/>
          <w:b/>
          <w:color w:val="000000" w:themeColor="text1"/>
          <w:spacing w:val="-11"/>
          <w:sz w:val="33"/>
          <w:szCs w:val="33"/>
          <w14:textFill>
            <w14:solidFill>
              <w14:schemeClr w14:val="tx1"/>
            </w14:solidFill>
          </w14:textFill>
        </w:rPr>
        <w:t>优化“数字社保”经办平台。</w:t>
      </w:r>
      <w:r>
        <w:rPr>
          <w:rFonts w:eastAsia="方正仿宋简体"/>
          <w:color w:val="000000" w:themeColor="text1"/>
          <w14:textFill>
            <w14:solidFill>
              <w14:schemeClr w14:val="tx1"/>
            </w14:solidFill>
          </w14:textFill>
        </w:rPr>
        <w:t>配合省做好社会保险大集中系统建设，推进“智慧人社”、“智慧社保”、</w:t>
      </w:r>
      <w:r>
        <w:rPr>
          <w:rFonts w:eastAsia="方正仿宋简体"/>
          <w:bCs/>
          <w:highlight w:val="yellow"/>
          <w:lang w:val="zh-TW"/>
        </w:rPr>
        <w:t>“智慧医保”</w:t>
      </w:r>
      <w:r>
        <w:rPr>
          <w:rFonts w:eastAsia="方正仿宋简体"/>
          <w:color w:val="000000" w:themeColor="text1"/>
          <w:highlight w:val="yellow"/>
          <w14:textFill>
            <w14:solidFill>
              <w14:schemeClr w14:val="tx1"/>
            </w14:solidFill>
          </w14:textFill>
        </w:rPr>
        <w:t>建设。</w:t>
      </w:r>
      <w:r>
        <w:rPr>
          <w:rFonts w:eastAsia="方正仿宋简体"/>
          <w:color w:val="000000" w:themeColor="text1"/>
          <w14:textFill>
            <w14:solidFill>
              <w14:schemeClr w14:val="tx1"/>
            </w14:solidFill>
          </w14:textFill>
        </w:rPr>
        <w:t>全面深化“互联网+社保经办”在业务处理、监控监管、公共服务及决策支持等方面的应用。完善我县社保、医保网站、微信公众号建设，及时向公众发布社保最新政策、最新动态、办事流程、政策内涵解读，让社保讯息传递更为简便快捷。</w:t>
      </w:r>
      <w:r>
        <w:rPr>
          <w:rFonts w:eastAsia="方正仿宋简体"/>
          <w:bCs/>
          <w:highlight w:val="yellow"/>
          <w:lang w:val="zh-CN"/>
        </w:rPr>
        <w:t>完善异地就医直接结算制度，</w:t>
      </w:r>
      <w:r>
        <w:rPr>
          <w:rFonts w:eastAsia="方正仿宋简体"/>
          <w:bCs/>
          <w:highlight w:val="yellow"/>
        </w:rPr>
        <w:t>扩大异地就医定点医疗机构覆盖面，推动符合条件的定点医疗机构上线省异地就医直接结算平台，推进门诊异地就医和门诊特定病种直接结算。</w:t>
      </w:r>
    </w:p>
    <w:p>
      <w:pPr>
        <w:spacing w:line="580" w:lineRule="exact"/>
        <w:ind w:firstLine="643" w:firstLineChars="200"/>
        <w:rPr>
          <w:rFonts w:eastAsia="方正仿宋简体"/>
          <w:highlight w:val="yellow"/>
        </w:rPr>
      </w:pPr>
      <w:r>
        <w:rPr>
          <w:rFonts w:eastAsia="方正仿宋简体"/>
          <w:b/>
          <w:bCs/>
          <w:color w:val="000000" w:themeColor="text1"/>
          <w14:textFill>
            <w14:solidFill>
              <w14:schemeClr w14:val="tx1"/>
            </w14:solidFill>
          </w14:textFill>
        </w:rPr>
        <w:t>建立健全社保领域失信惩戒机制。</w:t>
      </w:r>
      <w:r>
        <w:rPr>
          <w:rFonts w:eastAsia="方正仿宋简体"/>
          <w:color w:val="000000" w:themeColor="text1"/>
          <w14:textFill>
            <w14:solidFill>
              <w14:schemeClr w14:val="tx1"/>
            </w14:solidFill>
          </w14:textFill>
        </w:rPr>
        <w:t>完善社会保险服务事先告知承诺制，建立“事前告知承诺—事中分类监管—事后联合惩戒”、“以信用承诺和信用公示”为核心的信用管理服务新模式。健全社保领域严重失信人名单管理制度，加强社保严重失信“黑名单”认定和管理，</w:t>
      </w:r>
      <w:r>
        <w:rPr>
          <w:rFonts w:eastAsia="方正仿宋简体"/>
          <w:color w:val="000000" w:themeColor="text1"/>
          <w:lang w:val="zh-CN"/>
          <w14:textFill>
            <w14:solidFill>
              <w14:schemeClr w14:val="tx1"/>
            </w14:solidFill>
          </w14:textFill>
        </w:rPr>
        <w:t>将严重失信人名单纳入全国信用信息共享平台，由相关部门实施联合惩戒</w:t>
      </w:r>
      <w:r>
        <w:rPr>
          <w:rFonts w:eastAsia="方正仿宋简体"/>
          <w:color w:val="000000" w:themeColor="text1"/>
          <w:highlight w:val="none"/>
          <w:lang w:val="zh-CN"/>
          <w14:textFill>
            <w14:solidFill>
              <w14:schemeClr w14:val="tx1"/>
            </w14:solidFill>
          </w14:textFill>
        </w:rPr>
        <w:t>。</w:t>
      </w:r>
      <w:r>
        <w:rPr>
          <w:rFonts w:eastAsia="方正仿宋简体"/>
          <w:highlight w:val="yellow"/>
        </w:rPr>
        <w:t>推进医保基金监管信用体系建设，建立医药机构和参保人员医保信用记录、信用评价制度和积分管理制度。</w:t>
      </w:r>
    </w:p>
    <w:tbl>
      <w:tblPr>
        <w:tblStyle w:val="26"/>
        <w:tblpPr w:leftFromText="180" w:rightFromText="180" w:vertAnchor="text" w:horzAnchor="margin" w:tblpXSpec="center" w:tblpY="5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FFC000" w:themeFill="accent4"/>
            <w:vAlign w:val="center"/>
          </w:tcPr>
          <w:p>
            <w:pPr>
              <w:spacing w:line="360" w:lineRule="auto"/>
              <w:jc w:val="center"/>
              <w:rPr>
                <w:rFonts w:eastAsia="黑体"/>
                <w:color w:val="000000" w:themeColor="text1"/>
                <w:kern w:val="0"/>
                <w:sz w:val="28"/>
                <w:szCs w:val="28"/>
                <w14:textFill>
                  <w14:solidFill>
                    <w14:schemeClr w14:val="tx1"/>
                  </w14:solidFill>
                </w14:textFill>
              </w:rPr>
            </w:pPr>
            <w:r>
              <w:rPr>
                <w:rFonts w:eastAsia="黑体"/>
                <w:color w:val="000000" w:themeColor="text1"/>
                <w:kern w:val="0"/>
                <w:sz w:val="28"/>
                <w:szCs w:val="28"/>
                <w14:textFill>
                  <w14:solidFill>
                    <w14:schemeClr w14:val="tx1"/>
                  </w14:solidFill>
                </w14:textFill>
              </w:rPr>
              <w:t>专栏四  社保体系建设项目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2" w:hRule="atLeast"/>
          <w:jc w:val="center"/>
        </w:trPr>
        <w:tc>
          <w:tcPr>
            <w:tcW w:w="8296" w:type="dxa"/>
            <w:tcBorders>
              <w:bottom w:val="single" w:color="auto" w:sz="4" w:space="0"/>
            </w:tcBorders>
          </w:tcPr>
          <w:p>
            <w:pPr>
              <w:ind w:firstLine="482" w:firstLineChars="200"/>
              <w:rPr>
                <w:rFonts w:ascii="方正仿宋简体" w:hAnsi="方正仿宋简体" w:eastAsia="方正仿宋简体" w:cs="方正仿宋简体"/>
                <w:bCs/>
                <w:color w:val="000000" w:themeColor="text1"/>
                <w:sz w:val="24"/>
                <w:szCs w:val="24"/>
                <w14:textFill>
                  <w14:solidFill>
                    <w14:schemeClr w14:val="tx1"/>
                  </w14:solidFill>
                </w14:textFill>
              </w:rPr>
            </w:pPr>
            <w:r>
              <w:rPr>
                <w:rFonts w:hint="eastAsia" w:eastAsia="方正仿宋简体"/>
                <w:b/>
                <w:bCs/>
                <w:color w:val="000000" w:themeColor="text1"/>
                <w:sz w:val="24"/>
                <w:szCs w:val="24"/>
                <w14:textFill>
                  <w14:solidFill>
                    <w14:schemeClr w14:val="tx1"/>
                  </w14:solidFill>
                </w14:textFill>
              </w:rPr>
              <w:t>1.实施全民参保计划。</w:t>
            </w:r>
            <w:r>
              <w:rPr>
                <w:rFonts w:hint="eastAsia" w:ascii="方正仿宋简体" w:hAnsi="方正仿宋简体" w:eastAsia="方正仿宋简体" w:cs="方正仿宋简体"/>
                <w:bCs/>
                <w:color w:val="000000" w:themeColor="text1"/>
                <w:sz w:val="24"/>
                <w:szCs w:val="24"/>
                <w14:textFill>
                  <w14:solidFill>
                    <w14:schemeClr w14:val="tx1"/>
                  </w14:solidFill>
                </w14:textFill>
              </w:rPr>
              <w:t>参照我县就业人员情况、户籍人口情况科学制定各险种参保人数年度计划指标。加强社会保险费征收工作，确保用人单位全员参保缴费，推动全体适龄未就业居民参加城乡居民基本养老保险。加强劳动监察执法，保障职工参保权益。提高灵活就业人员、新就业形态从业人员等群体参保的便利度，鼓励其参加企业职工基本养老保险。加强劳动监察执法，保障职工权益。推动新业态人员参加工伤保险。创新社会保险政策宣传，提供精准式、推送式参保缴费服务。</w:t>
            </w:r>
          </w:p>
          <w:p>
            <w:pPr>
              <w:ind w:firstLine="482" w:firstLineChars="200"/>
              <w:rPr>
                <w:rFonts w:ascii="方正仿宋简体" w:hAnsi="方正仿宋简体" w:eastAsia="方正仿宋简体" w:cs="方正仿宋简体"/>
                <w:bCs/>
                <w:color w:val="000000" w:themeColor="text1"/>
                <w:sz w:val="24"/>
                <w:szCs w:val="24"/>
                <w14:textFill>
                  <w14:solidFill>
                    <w14:schemeClr w14:val="tx1"/>
                  </w14:solidFill>
                </w14:textFill>
              </w:rPr>
            </w:pPr>
            <w:r>
              <w:rPr>
                <w:rFonts w:hint="eastAsia" w:eastAsia="方正仿宋简体"/>
                <w:b/>
                <w:bCs/>
                <w:color w:val="000000" w:themeColor="text1"/>
                <w:sz w:val="24"/>
                <w:szCs w:val="24"/>
                <w14:textFill>
                  <w14:solidFill>
                    <w14:schemeClr w14:val="tx1"/>
                  </w14:solidFill>
                </w14:textFill>
              </w:rPr>
              <w:t>2.完善新业态从业人员参保政策。</w:t>
            </w:r>
            <w:r>
              <w:rPr>
                <w:rFonts w:hint="eastAsia" w:ascii="方正仿宋简体" w:hAnsi="方正仿宋简体" w:eastAsia="方正仿宋简体" w:cs="方正仿宋简体"/>
                <w:bCs/>
                <w:color w:val="000000" w:themeColor="text1"/>
                <w:sz w:val="24"/>
                <w:szCs w:val="24"/>
                <w14:textFill>
                  <w14:solidFill>
                    <w14:schemeClr w14:val="tx1"/>
                  </w14:solidFill>
                </w14:textFill>
              </w:rPr>
              <w:t>结合养老保险全国统筹趋势，依托全国统一的社会保险公共服务平台，为新就业形态从业人员提供网上参保登记申请等一系列便捷服务。支持新就业形态从业人员以个人身份在公共服务平台办理企业职工基本养老保险参保登记、个人权益记录查询、社会保险关系转移接续等业务。探索建立适合新业态企业用工特点的职业伤害保障模式，通过政策引导新就业形态从业人员参加职业伤害保险，使遭受重大伤害的人员可以获得长期稳定保障。</w:t>
            </w:r>
          </w:p>
          <w:p>
            <w:pPr>
              <w:ind w:firstLine="482" w:firstLineChars="200"/>
              <w:rPr>
                <w:rFonts w:ascii="方正仿宋简体" w:hAnsi="方正仿宋简体" w:eastAsia="方正仿宋简体" w:cs="方正仿宋简体"/>
                <w:bCs/>
                <w:color w:val="000000" w:themeColor="text1"/>
                <w:sz w:val="24"/>
                <w:szCs w:val="24"/>
                <w14:textFill>
                  <w14:solidFill>
                    <w14:schemeClr w14:val="tx1"/>
                  </w14:solidFill>
                </w14:textFill>
              </w:rPr>
            </w:pPr>
            <w:r>
              <w:rPr>
                <w:rFonts w:hint="eastAsia" w:eastAsia="方正仿宋简体"/>
                <w:b/>
                <w:bCs/>
                <w:color w:val="000000" w:themeColor="text1"/>
                <w:sz w:val="24"/>
                <w:szCs w:val="24"/>
                <w14:textFill>
                  <w14:solidFill>
                    <w14:schemeClr w14:val="tx1"/>
                  </w14:solidFill>
                </w14:textFill>
              </w:rPr>
              <w:t>3.社会保险标准化建设工程。</w:t>
            </w:r>
            <w:r>
              <w:rPr>
                <w:rFonts w:hint="eastAsia" w:ascii="方正仿宋简体" w:hAnsi="方正仿宋简体" w:eastAsia="方正仿宋简体" w:cs="方正仿宋简体"/>
                <w:bCs/>
                <w:color w:val="000000" w:themeColor="text1"/>
                <w:sz w:val="24"/>
                <w:szCs w:val="24"/>
                <w14:textFill>
                  <w14:solidFill>
                    <w14:schemeClr w14:val="tx1"/>
                  </w14:solidFill>
                </w14:textFill>
              </w:rPr>
              <w:t>以社会保险领域国家标准为指引，按照上级要求，健全经办服务标准化工作机制，形成融信息化建设、参保登记、权益记录、转移接续、待遇领取等业务于一体的标准化体系，推动实施全县统一的经办标准、业务流程、管理办法。</w:t>
            </w:r>
          </w:p>
          <w:p>
            <w:pPr>
              <w:tabs>
                <w:tab w:val="left" w:pos="312"/>
              </w:tabs>
              <w:ind w:firstLine="482" w:firstLineChars="200"/>
              <w:rPr>
                <w:rFonts w:ascii="方正仿宋简体" w:hAnsi="方正仿宋简体" w:eastAsia="方正仿宋简体" w:cs="方正仿宋简体"/>
                <w:bCs/>
                <w:color w:val="000000" w:themeColor="text1"/>
                <w:sz w:val="24"/>
                <w:szCs w:val="24"/>
                <w14:textFill>
                  <w14:solidFill>
                    <w14:schemeClr w14:val="tx1"/>
                  </w14:solidFill>
                </w14:textFill>
              </w:rPr>
            </w:pPr>
            <w:r>
              <w:rPr>
                <w:rFonts w:hint="eastAsia" w:eastAsia="方正仿宋简体"/>
                <w:b/>
                <w:bCs/>
                <w:color w:val="000000" w:themeColor="text1"/>
                <w:sz w:val="24"/>
                <w:szCs w:val="24"/>
                <w14:textFill>
                  <w14:solidFill>
                    <w14:schemeClr w14:val="tx1"/>
                  </w14:solidFill>
                </w14:textFill>
              </w:rPr>
              <w:t>4.落实社会保险服务事先告知承诺制。</w:t>
            </w:r>
            <w:r>
              <w:rPr>
                <w:rFonts w:hint="eastAsia" w:ascii="方正仿宋简体" w:hAnsi="方正仿宋简体" w:eastAsia="方正仿宋简体" w:cs="方正仿宋简体"/>
                <w:bCs/>
                <w:color w:val="000000" w:themeColor="text1"/>
                <w:sz w:val="24"/>
                <w:szCs w:val="24"/>
                <w14:textFill>
                  <w14:solidFill>
                    <w14:schemeClr w14:val="tx1"/>
                  </w14:solidFill>
                </w14:textFill>
              </w:rPr>
              <w:t>社保经办机构在办理有关事项时，以书面形式将法律法规中规定的证明义务和证明内容一次性告知申请人，申请人书面承诺已符合告知的条件、标准、要求，愿意承担不实承诺的法律责任，社保经办机构不再索要有关证明而依据书面承诺办理相关事项。对发现作出虚假承诺的，依法依规进行处理并纳入黑名单。加强跨部门联动响应，实施联合惩戒。</w:t>
            </w:r>
          </w:p>
          <w:p>
            <w:pPr>
              <w:tabs>
                <w:tab w:val="left" w:pos="312"/>
              </w:tabs>
              <w:ind w:firstLine="482" w:firstLineChars="200"/>
              <w:rPr>
                <w:rFonts w:eastAsiaTheme="minorEastAsia"/>
                <w:bCs/>
                <w:color w:val="000000" w:themeColor="text1"/>
                <w:sz w:val="24"/>
                <w:szCs w:val="24"/>
                <w14:textFill>
                  <w14:solidFill>
                    <w14:schemeClr w14:val="tx1"/>
                  </w14:solidFill>
                </w14:textFill>
              </w:rPr>
            </w:pPr>
            <w:r>
              <w:rPr>
                <w:rFonts w:eastAsia="方正仿宋简体"/>
                <w:b/>
                <w:bCs/>
                <w:color w:val="000000" w:themeColor="text1"/>
                <w:sz w:val="24"/>
                <w:szCs w:val="24"/>
                <w:highlight w:val="yellow"/>
                <w14:textFill>
                  <w14:solidFill>
                    <w14:schemeClr w14:val="tx1"/>
                  </w14:solidFill>
                </w14:textFill>
              </w:rPr>
              <w:t>5.实施医疗保障标准化、智能化工程。</w:t>
            </w:r>
            <w:r>
              <w:rPr>
                <w:rFonts w:hint="eastAsia" w:ascii="方正仿宋简体" w:hAnsi="方正仿宋简体" w:eastAsia="方正仿宋简体" w:cs="方正仿宋简体"/>
                <w:bCs/>
                <w:color w:val="000000" w:themeColor="text1"/>
                <w:sz w:val="24"/>
                <w:szCs w:val="24"/>
                <w:highlight w:val="yellow"/>
                <w14:textFill>
                  <w14:solidFill>
                    <w14:schemeClr w14:val="tx1"/>
                  </w14:solidFill>
                </w14:textFill>
              </w:rPr>
              <w:t>推动上线运行国家统一医保信息平台。建立医保信息业务编码标准数据动态维护机制，推进实现医保数据全覆盖、编码全转换、系统全贯通。</w:t>
            </w:r>
          </w:p>
        </w:tc>
      </w:tr>
    </w:tbl>
    <w:p>
      <w:pPr>
        <w:pStyle w:val="3"/>
        <w:spacing w:line="580" w:lineRule="exact"/>
        <w:rPr>
          <w:rFonts w:ascii="方正小标宋简体" w:hAnsi="方正小标宋简体" w:eastAsia="方正小标宋简体" w:cs="方正小标宋简体"/>
          <w:b w:val="0"/>
          <w:bCs/>
          <w:color w:val="000000" w:themeColor="text1"/>
          <w14:textFill>
            <w14:solidFill>
              <w14:schemeClr w14:val="tx1"/>
            </w14:solidFill>
          </w14:textFill>
        </w:rPr>
      </w:pPr>
      <w:bookmarkStart w:id="31" w:name="_Toc93738263"/>
      <w:r>
        <w:rPr>
          <w:rFonts w:hint="eastAsia" w:ascii="方正小标宋简体" w:hAnsi="方正小标宋简体" w:eastAsia="方正小标宋简体" w:cs="方正小标宋简体"/>
          <w:b w:val="0"/>
          <w:bCs/>
          <w:color w:val="000000" w:themeColor="text1"/>
          <w14:textFill>
            <w14:solidFill>
              <w14:schemeClr w14:val="tx1"/>
            </w14:solidFill>
          </w14:textFill>
        </w:rPr>
        <w:t>第六章 大力加强人才队伍建设</w:t>
      </w:r>
      <w:bookmarkEnd w:id="31"/>
    </w:p>
    <w:p>
      <w:pPr>
        <w:spacing w:line="580" w:lineRule="exact"/>
        <w:ind w:firstLine="640" w:firstLineChars="200"/>
        <w:rPr>
          <w:rFonts w:eastAsia="方正仿宋简体"/>
          <w:color w:val="000000" w:themeColor="text1"/>
          <w14:textFill>
            <w14:solidFill>
              <w14:schemeClr w14:val="tx1"/>
            </w14:solidFill>
          </w14:textFill>
        </w:rPr>
      </w:pPr>
      <w:r>
        <w:rPr>
          <w:rFonts w:eastAsia="方正仿宋简体"/>
          <w:color w:val="000000" w:themeColor="text1"/>
          <w14:textFill>
            <w14:solidFill>
              <w14:schemeClr w14:val="tx1"/>
            </w14:solidFill>
          </w14:textFill>
        </w:rPr>
        <w:t>坚持党管人才，深入实施人才优先发展战略，深化人才发展体制机制改革，优化人才发展软硬环境，协同现代产业发展，支撑经济社会转型，瞄准专业技术人才和技能人才两支队伍，着力建设更高素质、更高水平的人才队伍。</w:t>
      </w:r>
    </w:p>
    <w:p>
      <w:pPr>
        <w:pStyle w:val="2"/>
        <w:spacing w:line="560" w:lineRule="exact"/>
        <w:rPr>
          <w:rFonts w:ascii="黑体" w:hAnsi="黑体" w:eastAsia="黑体" w:cs="黑体"/>
          <w:b w:val="0"/>
          <w:bCs/>
          <w:color w:val="000000" w:themeColor="text1"/>
          <w14:textFill>
            <w14:solidFill>
              <w14:schemeClr w14:val="tx1"/>
            </w14:solidFill>
          </w14:textFill>
        </w:rPr>
      </w:pPr>
      <w:bookmarkStart w:id="32" w:name="_Toc93738264"/>
      <w:r>
        <w:rPr>
          <w:rFonts w:hint="eastAsia" w:ascii="黑体" w:hAnsi="黑体" w:eastAsia="黑体" w:cs="黑体"/>
          <w:b w:val="0"/>
          <w:bCs/>
          <w:color w:val="000000" w:themeColor="text1"/>
          <w14:textFill>
            <w14:solidFill>
              <w14:schemeClr w14:val="tx1"/>
            </w14:solidFill>
          </w14:textFill>
        </w:rPr>
        <w:t>第一节 推进人才资源与现代产业体系协同发展</w:t>
      </w:r>
      <w:bookmarkEnd w:id="32"/>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立足产业链打造人才链。</w:t>
      </w:r>
      <w:r>
        <w:rPr>
          <w:rFonts w:eastAsia="方正仿宋简体"/>
          <w:color w:val="000000" w:themeColor="text1"/>
          <w14:textFill>
            <w14:solidFill>
              <w14:schemeClr w14:val="tx1"/>
            </w14:solidFill>
          </w14:textFill>
        </w:rPr>
        <w:t>遵循人才与产业匹配发展规律，提高人力资源开发效益，</w:t>
      </w:r>
      <w:r>
        <w:rPr>
          <w:rFonts w:eastAsia="方正仿宋简体"/>
        </w:rPr>
        <w:t>深入推进高质量构建全县“一</w:t>
      </w:r>
      <w:r>
        <w:rPr>
          <w:rFonts w:hint="eastAsia" w:eastAsia="方正仿宋简体"/>
        </w:rPr>
        <w:t>城</w:t>
      </w:r>
      <w:r>
        <w:rPr>
          <w:rFonts w:eastAsia="方正仿宋简体"/>
        </w:rPr>
        <w:t>两带四区”发展新格局，打造业兴人和、长治民乐的“工匠之乡</w:t>
      </w:r>
      <w:r>
        <w:rPr>
          <w:rFonts w:hint="eastAsia" w:eastAsia="方正仿宋简体"/>
          <w:color w:val="505050"/>
        </w:rPr>
        <w:t>·</w:t>
      </w:r>
      <w:r>
        <w:rPr>
          <w:rFonts w:eastAsia="方正仿宋简体"/>
        </w:rPr>
        <w:t>宜居五华”的发展思路，争当生态发展区建设的先</w:t>
      </w:r>
      <w:r>
        <w:rPr>
          <w:rFonts w:eastAsia="方正仿宋简体"/>
          <w:color w:val="000000" w:themeColor="text1"/>
          <w14:textFill>
            <w14:solidFill>
              <w14:schemeClr w14:val="tx1"/>
            </w14:solidFill>
          </w14:textFill>
        </w:rPr>
        <w:t>行示范县相适应的高素质人才队伍。加大产业化项目支持力度，以项目带动人才，重点对接与主导产业关联度高的紧缺型产业人才。</w:t>
      </w:r>
    </w:p>
    <w:p>
      <w:pPr>
        <w:spacing w:line="580" w:lineRule="exact"/>
        <w:ind w:firstLine="643" w:firstLineChars="200"/>
        <w:rPr>
          <w:rFonts w:eastAsia="方正仿宋简体"/>
          <w:b/>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搭建引才聚智平台。</w:t>
      </w:r>
      <w:r>
        <w:rPr>
          <w:rFonts w:eastAsia="方正仿宋简体"/>
          <w:color w:val="000000" w:themeColor="text1"/>
          <w14:textFill>
            <w14:solidFill>
              <w14:schemeClr w14:val="tx1"/>
            </w14:solidFill>
          </w14:textFill>
        </w:rPr>
        <w:t>重点建设一批孵化育成平台，强化广东五华科技孵化产业园、广东五华人力资源服务产业园（省级）、县创业孵化园、县人力资源大数据平台等服务平台的人才“吸附”效应。</w:t>
      </w:r>
      <w:r>
        <w:rPr>
          <w:rFonts w:eastAsia="方正仿宋简体"/>
        </w:rPr>
        <w:t>加大</w:t>
      </w:r>
      <w:r>
        <w:rPr>
          <w:rFonts w:hint="eastAsia" w:eastAsia="方正仿宋简体"/>
        </w:rPr>
        <w:t>五华县省级</w:t>
      </w:r>
      <w:r>
        <w:rPr>
          <w:rFonts w:eastAsia="方正仿宋简体"/>
        </w:rPr>
        <w:t>“粤菜师傅”技能大师工作室支持建设力度。</w:t>
      </w:r>
      <w:r>
        <w:rPr>
          <w:rFonts w:eastAsia="方正仿宋简体"/>
          <w:color w:val="000000" w:themeColor="text1"/>
          <w14:textFill>
            <w14:solidFill>
              <w14:schemeClr w14:val="tx1"/>
            </w14:solidFill>
          </w14:textFill>
        </w:rPr>
        <w:t>支持企事业单位与高等院校、科研机构共建博士科研工作（流动）站、博士创新实践基地、重点实验室。依托华南农业大学在棉洋镇设立博士工作站，规划建设院士团队创新创业驿站，支持企业建设院士工作站,</w:t>
      </w:r>
      <w:r>
        <w:rPr>
          <w:rFonts w:eastAsia="方正仿宋简体"/>
        </w:rPr>
        <w:t>力争2021年完成市下达的引进一名博士人才的目标任务，往后将</w:t>
      </w:r>
      <w:r>
        <w:rPr>
          <w:rFonts w:eastAsia="方正仿宋简体"/>
          <w:color w:val="000000" w:themeColor="text1"/>
          <w14:textFill>
            <w14:solidFill>
              <w14:schemeClr w14:val="tx1"/>
            </w14:solidFill>
          </w14:textFill>
        </w:rPr>
        <w:t>按市县统一部署按要求完成博士人才引进工作。</w:t>
      </w:r>
    </w:p>
    <w:p>
      <w:pPr>
        <w:spacing w:line="580" w:lineRule="exact"/>
        <w:ind w:firstLine="643" w:firstLineChars="200"/>
        <w:rPr>
          <w:rFonts w:eastAsia="方正仿宋简体"/>
          <w:b/>
          <w:strike/>
          <w:color w:val="FF0000"/>
        </w:rPr>
      </w:pPr>
      <w:r>
        <w:rPr>
          <w:rFonts w:eastAsia="方正仿宋简体"/>
          <w:b/>
          <w:color w:val="000000" w:themeColor="text1"/>
          <w14:textFill>
            <w14:solidFill>
              <w14:schemeClr w14:val="tx1"/>
            </w14:solidFill>
          </w14:textFill>
        </w:rPr>
        <w:t>加大产业高层次和紧缺人才引进力度。</w:t>
      </w:r>
      <w:r>
        <w:rPr>
          <w:rFonts w:eastAsia="方正仿宋简体"/>
          <w:color w:val="000000" w:themeColor="text1"/>
          <w14:textFill>
            <w14:solidFill>
              <w14:schemeClr w14:val="tx1"/>
            </w14:solidFill>
          </w14:textFill>
        </w:rPr>
        <w:t>深入贯彻我县《关于加快人才发展的</w:t>
      </w:r>
      <w:r>
        <w:rPr>
          <w:rFonts w:hint="eastAsia" w:eastAsia="方正仿宋简体"/>
          <w:color w:val="000000" w:themeColor="text1"/>
          <w14:textFill>
            <w14:solidFill>
              <w14:schemeClr w14:val="tx1"/>
            </w14:solidFill>
          </w14:textFill>
        </w:rPr>
        <w:t>实施</w:t>
      </w:r>
      <w:r>
        <w:rPr>
          <w:rFonts w:eastAsia="方正仿宋简体"/>
          <w:color w:val="000000" w:themeColor="text1"/>
          <w14:textFill>
            <w14:solidFill>
              <w14:schemeClr w14:val="tx1"/>
            </w14:solidFill>
          </w14:textFill>
        </w:rPr>
        <w:t>意见</w:t>
      </w:r>
      <w:r>
        <w:rPr>
          <w:rFonts w:hint="eastAsia" w:eastAsia="方正仿宋简体"/>
          <w:color w:val="000000" w:themeColor="text1"/>
          <w14:textFill>
            <w14:solidFill>
              <w14:schemeClr w14:val="tx1"/>
            </w14:solidFill>
          </w14:textFill>
        </w:rPr>
        <w:t>（试行）</w:t>
      </w:r>
      <w:r>
        <w:rPr>
          <w:rFonts w:eastAsia="方正仿宋简体"/>
          <w:color w:val="000000" w:themeColor="text1"/>
          <w14:textFill>
            <w14:solidFill>
              <w14:schemeClr w14:val="tx1"/>
            </w14:solidFill>
          </w14:textFill>
        </w:rPr>
        <w:t>》，积极对接省“珠江人才计划”“</w:t>
      </w:r>
      <w:r>
        <w:rPr>
          <w:rFonts w:hint="eastAsia" w:eastAsia="方正仿宋简体"/>
          <w:color w:val="000000" w:themeColor="text1"/>
          <w14:textFill>
            <w14:solidFill>
              <w14:schemeClr w14:val="tx1"/>
            </w14:solidFill>
          </w14:textFill>
        </w:rPr>
        <w:t>广东</w:t>
      </w:r>
      <w:r>
        <w:rPr>
          <w:rFonts w:eastAsia="方正仿宋简体"/>
          <w:color w:val="000000" w:themeColor="text1"/>
          <w14:textFill>
            <w14:solidFill>
              <w14:schemeClr w14:val="tx1"/>
            </w14:solidFill>
          </w14:textFill>
        </w:rPr>
        <w:t>特支计划” “扬帆计划”等工程，更大力度引进创新创业团队、行业领军人才和青年优秀人才。依靠省级人力资源</w:t>
      </w:r>
      <w:r>
        <w:rPr>
          <w:rFonts w:hint="eastAsia" w:eastAsia="方正仿宋简体"/>
          <w:color w:val="000000" w:themeColor="text1"/>
          <w14:textFill>
            <w14:solidFill>
              <w14:schemeClr w14:val="tx1"/>
            </w14:solidFill>
          </w14:textFill>
        </w:rPr>
        <w:t>服务</w:t>
      </w:r>
      <w:r>
        <w:rPr>
          <w:rFonts w:eastAsia="方正仿宋简体"/>
          <w:color w:val="000000" w:themeColor="text1"/>
          <w14:textFill>
            <w14:solidFill>
              <w14:schemeClr w14:val="tx1"/>
            </w14:solidFill>
          </w14:textFill>
        </w:rPr>
        <w:t>产业园，以“立足五华，服务梅州，辐射粤东粤北”为目标，以人力资源服务业为主导，积极培育人力资源市场主体，加快释放人力资源市场需求，打造集产业发展、产品展示、公共服务功能于一体的全省知名人力资源服务平台，实施重点绿色产业人才引进计划，发挥人才驿站引才纳智的纽带作用，积极引进推动绿色产业人才。持续更新完善急需紧缺人才目录，不定期开展招才引智活动，力争每年引进50名急需紧缺人才，招收培养30名硕士研究生，推动科技、经济创新发展，集聚创新型青年人才，助力打造乡村振兴人才培养大舞台。</w:t>
      </w:r>
      <w:r>
        <w:rPr>
          <w:rFonts w:hint="eastAsia" w:eastAsia="方正仿宋简体"/>
          <w:color w:val="000000" w:themeColor="text1"/>
          <w14:textFill>
            <w14:solidFill>
              <w14:schemeClr w14:val="tx1"/>
            </w14:solidFill>
          </w14:textFill>
        </w:rPr>
        <w:t>优化专业技术人才分布，通过政策倾斜扶持和定向引导，对企业创新发展提供相应的引导帮助，促进专业技术人才向产业带、重点项目聚集，形成产业吸引人才，人才带动产业的良性循环，优化专业技术人才的产业和行业分布，引导优秀人才和智力向生产一线流动，促进专业技术人才为生产一线服务，</w:t>
      </w:r>
      <w:r>
        <w:rPr>
          <w:rFonts w:hint="eastAsia" w:eastAsia="方正仿宋简体"/>
        </w:rPr>
        <w:t>推进五华县高质量全面发展，引领本县乡村振兴全面深化。</w:t>
      </w:r>
    </w:p>
    <w:p>
      <w:pPr>
        <w:spacing w:line="580" w:lineRule="exact"/>
        <w:ind w:firstLine="643" w:firstLineChars="200"/>
        <w:rPr>
          <w:rFonts w:eastAsia="方正仿宋简体"/>
          <w:b/>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加大引才引智力度。</w:t>
      </w:r>
      <w:r>
        <w:rPr>
          <w:rFonts w:eastAsia="方正仿宋简体"/>
          <w:color w:val="000000" w:themeColor="text1"/>
          <w14:textFill>
            <w14:solidFill>
              <w14:schemeClr w14:val="tx1"/>
            </w14:solidFill>
          </w14:textFill>
        </w:rPr>
        <w:t>认真落实“主动对接大湾区和全国高等院校、科研院所、人才工作平台等机构”，建立科学规范的招才引智政策体系，着力提高招才引智工作的市场化水平，进一步强化用人单位的引才主体作用。大力支持人才中介机构发展，扶持培育县内有实力的中介机构做大做强。“健全住房安居、教育保障、配偶就业和医疗服务等综合保障体系，建立完善招才引智奖励激励机制。结合五华的产业发展方向，建立企业人才需求信息平台和推进人力资源服务信息化平台建设，加强高层次人才引进力度，引进一批领军人才（团队）。加强与高校院所、商会、协会等合作，举办各类创新创业实践培训和管理咨询服务，引导更多高校毕业生、科研人员、企业高管、院校学生到我县创新创业。</w:t>
      </w:r>
      <w:r>
        <w:rPr>
          <w:rFonts w:eastAsia="方正仿宋简体"/>
          <w:b/>
          <w:color w:val="000000" w:themeColor="text1"/>
          <w14:textFill>
            <w14:solidFill>
              <w14:schemeClr w14:val="tx1"/>
            </w14:solidFill>
          </w14:textFill>
        </w:rPr>
        <w:t xml:space="preserve"> </w:t>
      </w:r>
    </w:p>
    <w:p>
      <w:pPr>
        <w:pStyle w:val="2"/>
        <w:spacing w:line="560" w:lineRule="exact"/>
        <w:rPr>
          <w:rFonts w:ascii="黑体" w:hAnsi="黑体" w:eastAsia="黑体" w:cs="黑体"/>
          <w:b w:val="0"/>
          <w:bCs/>
          <w:color w:val="000000" w:themeColor="text1"/>
          <w14:textFill>
            <w14:solidFill>
              <w14:schemeClr w14:val="tx1"/>
            </w14:solidFill>
          </w14:textFill>
        </w:rPr>
      </w:pPr>
      <w:bookmarkStart w:id="33" w:name="_Toc93738265"/>
      <w:r>
        <w:rPr>
          <w:rFonts w:hint="eastAsia" w:ascii="黑体" w:hAnsi="黑体" w:eastAsia="黑体" w:cs="黑体"/>
          <w:b w:val="0"/>
          <w:bCs/>
          <w:color w:val="000000" w:themeColor="text1"/>
          <w14:textFill>
            <w14:solidFill>
              <w14:schemeClr w14:val="tx1"/>
            </w14:solidFill>
          </w14:textFill>
        </w:rPr>
        <w:t>第二节 提升高水平专业技术人才队伍</w:t>
      </w:r>
      <w:bookmarkEnd w:id="33"/>
    </w:p>
    <w:p>
      <w:pPr>
        <w:spacing w:line="580" w:lineRule="exact"/>
        <w:ind w:firstLine="643" w:firstLineChars="200"/>
        <w:rPr>
          <w:rFonts w:eastAsia="方正仿宋简体"/>
          <w:b/>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稳步壮大教科文卫专业技术人才队伍。</w:t>
      </w:r>
      <w:r>
        <w:rPr>
          <w:rFonts w:eastAsia="方正仿宋简体"/>
          <w:color w:val="000000" w:themeColor="text1"/>
          <w14:textFill>
            <w14:solidFill>
              <w14:schemeClr w14:val="tx1"/>
            </w14:solidFill>
          </w14:textFill>
        </w:rPr>
        <w:t>充分发挥教科文卫领域专业技术人才密集、高层次人才较多的特色优势，把我县科研机构、文化单位、医疗卫生单位构筑为专业技术人才聚集高地、成果产出高地，发挥其在凝聚人才、培养人才方面的积极作用，形成对整个专业技术人才队伍建设的重要导向和先行示范。</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引导专业技术人才向企业聚集</w:t>
      </w:r>
      <w:r>
        <w:rPr>
          <w:rFonts w:eastAsia="方正仿宋简体"/>
          <w:color w:val="000000" w:themeColor="text1"/>
          <w14:textFill>
            <w14:solidFill>
              <w14:schemeClr w14:val="tx1"/>
            </w14:solidFill>
          </w14:textFill>
        </w:rPr>
        <w:t>。</w:t>
      </w:r>
      <w:r>
        <w:rPr>
          <w:rFonts w:eastAsia="方正仿宋简体"/>
        </w:rPr>
        <w:t>优化专业技术人才分布，通过政策倾斜扶持和定向引导，促进专业技术人才向产业带、重点项目聚集，形成产业吸引人才，人才带动产业的良性循环，优化专业技术人才的产业和行业分布，引导优秀人才和智力向生产一线流动，促进专业技术人才为生产一线服务。</w:t>
      </w:r>
      <w:r>
        <w:rPr>
          <w:rFonts w:eastAsia="方正仿宋简体"/>
          <w:color w:val="000000" w:themeColor="text1"/>
          <w14:textFill>
            <w14:solidFill>
              <w14:schemeClr w14:val="tx1"/>
            </w14:solidFill>
          </w14:textFill>
        </w:rPr>
        <w:t>深化产教融合，全面推进实施“广东技工”工程，与县技工学校开展对接合作，共建实习实训基地（中心），为园区企业开展集约化、定制化职工技能培训提供平台。积极对接</w:t>
      </w:r>
      <w:r>
        <w:rPr>
          <w:rFonts w:hint="eastAsia" w:eastAsia="方正仿宋简体"/>
          <w:color w:val="000000" w:themeColor="text1"/>
          <w14:textFill>
            <w14:solidFill>
              <w14:schemeClr w14:val="tx1"/>
            </w14:solidFill>
          </w14:textFill>
        </w:rPr>
        <w:t>广东</w:t>
      </w:r>
      <w:r>
        <w:rPr>
          <w:rFonts w:eastAsia="方正仿宋简体"/>
          <w:color w:val="000000" w:themeColor="text1"/>
          <w14:textFill>
            <w14:solidFill>
              <w14:schemeClr w14:val="tx1"/>
            </w14:solidFill>
          </w14:textFill>
        </w:rPr>
        <w:t>科贸学院、农工商学院，在县内技工学校设立全日制大专层次教学班，培养各类专业技术人才。</w:t>
      </w:r>
    </w:p>
    <w:p>
      <w:pPr>
        <w:spacing w:line="580" w:lineRule="exact"/>
        <w:ind w:firstLine="643" w:firstLineChars="200"/>
        <w:rPr>
          <w:rFonts w:eastAsia="方正仿宋简体"/>
          <w:b/>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持续深化职称制度改革</w:t>
      </w:r>
      <w:r>
        <w:rPr>
          <w:rFonts w:eastAsia="方正仿宋简体"/>
          <w:color w:val="000000" w:themeColor="text1"/>
          <w14:textFill>
            <w14:solidFill>
              <w14:schemeClr w14:val="tx1"/>
            </w14:solidFill>
          </w14:textFill>
        </w:rPr>
        <w:t>。完善专业技术人才的科学评价机制。落实中央和省委深化人才发展体制机制及职称制度改革的部署，牢固树立新发展理念，立足服务人才强省和创新驱动发展战略，强化制度设计、强化简政放权、强化监管服务，突出品德为先、突出对创新能力的评价、突出对工作实绩的考核，不断完善</w:t>
      </w:r>
      <w:r>
        <w:rPr>
          <w:rFonts w:hint="eastAsia" w:eastAsia="方正仿宋简体"/>
          <w:color w:val="000000" w:themeColor="text1"/>
          <w14:textFill>
            <w14:solidFill>
              <w14:schemeClr w14:val="tx1"/>
            </w14:solidFill>
          </w14:textFill>
        </w:rPr>
        <w:t>本县</w:t>
      </w:r>
      <w:r>
        <w:rPr>
          <w:rFonts w:eastAsia="方正仿宋简体"/>
          <w:color w:val="000000" w:themeColor="text1"/>
          <w14:textFill>
            <w14:solidFill>
              <w14:schemeClr w14:val="tx1"/>
            </w14:solidFill>
          </w14:textFill>
        </w:rPr>
        <w:t>职称评审机制，提升</w:t>
      </w:r>
      <w:r>
        <w:rPr>
          <w:rFonts w:hint="eastAsia" w:eastAsia="方正仿宋简体"/>
          <w:color w:val="000000" w:themeColor="text1"/>
          <w14:textFill>
            <w14:solidFill>
              <w14:schemeClr w14:val="tx1"/>
            </w14:solidFill>
          </w14:textFill>
        </w:rPr>
        <w:t>本县</w:t>
      </w:r>
      <w:r>
        <w:rPr>
          <w:rFonts w:eastAsia="方正仿宋简体"/>
          <w:color w:val="000000" w:themeColor="text1"/>
          <w14:textFill>
            <w14:solidFill>
              <w14:schemeClr w14:val="tx1"/>
            </w14:solidFill>
          </w14:textFill>
        </w:rPr>
        <w:t>职称制度的科学化、规范化和社会化水平，加快培养造就一支规模较大、专业水平高、创新能力强的专业技术人才队伍。分类推进工程、卫生、农业、会计、教师、科学研究等职称系列改革，形成设置合理、评价科学、管理规范、运转协调、服务优化的职称制度。</w:t>
      </w:r>
    </w:p>
    <w:p>
      <w:pPr>
        <w:spacing w:line="580" w:lineRule="exact"/>
        <w:ind w:firstLine="643" w:firstLineChars="200"/>
        <w:rPr>
          <w:rFonts w:eastAsia="方正仿宋简体"/>
          <w:b/>
          <w:color w:val="000000" w:themeColor="text1"/>
          <w14:textFill>
            <w14:solidFill>
              <w14:schemeClr w14:val="tx1"/>
            </w14:solidFill>
          </w14:textFill>
        </w:rPr>
      </w:pPr>
      <w:bookmarkStart w:id="34" w:name="_Toc59531933"/>
      <w:r>
        <w:rPr>
          <w:rFonts w:eastAsia="方正仿宋简体"/>
          <w:b/>
          <w:color w:val="000000" w:themeColor="text1"/>
          <w14:textFill>
            <w14:solidFill>
              <w14:schemeClr w14:val="tx1"/>
            </w14:solidFill>
          </w14:textFill>
        </w:rPr>
        <w:t>推进专业技术人员继续教育事业科学发展。</w:t>
      </w:r>
      <w:r>
        <w:rPr>
          <w:rFonts w:eastAsia="方正仿宋简体"/>
          <w:bCs/>
          <w:color w:val="000000" w:themeColor="text1"/>
          <w14:textFill>
            <w14:solidFill>
              <w14:schemeClr w14:val="tx1"/>
            </w14:solidFill>
          </w14:textFill>
        </w:rPr>
        <w:t>完</w:t>
      </w:r>
      <w:r>
        <w:rPr>
          <w:rFonts w:eastAsia="方正仿宋简体"/>
          <w:color w:val="000000" w:themeColor="text1"/>
          <w14:textFill>
            <w14:solidFill>
              <w14:schemeClr w14:val="tx1"/>
            </w14:solidFill>
          </w14:textFill>
        </w:rPr>
        <w:t>善继续教育服务管理机制，优化继续教育学时登记认定管理。贯彻落实“专业技术人才知识更新工程”，按照高水平、小规模、重特色的要求，组织本县专业技术人员参加各类国家级、省级中高级研修项目，着力提升专业技术人才的综合素质、专业水平和创新能力。联合有关施教机构主动承担培训任务，为基层专业技术人才提供形式多样的继续教育服务。</w:t>
      </w:r>
    </w:p>
    <w:p>
      <w:pPr>
        <w:spacing w:line="580" w:lineRule="exact"/>
        <w:ind w:firstLine="643" w:firstLineChars="200"/>
        <w:rPr>
          <w:rFonts w:eastAsia="仿宋"/>
          <w:color w:val="FF0000"/>
        </w:rPr>
      </w:pPr>
      <w:r>
        <w:rPr>
          <w:rFonts w:eastAsia="方正仿宋简体"/>
          <w:b/>
          <w:bCs/>
          <w:color w:val="000000" w:themeColor="text1"/>
          <w14:textFill>
            <w14:solidFill>
              <w14:schemeClr w14:val="tx1"/>
            </w14:solidFill>
          </w14:textFill>
        </w:rPr>
        <w:t>加强技工学校师资建设。</w:t>
      </w:r>
      <w:r>
        <w:rPr>
          <w:rFonts w:eastAsia="方正仿宋简体"/>
          <w:color w:val="000000" w:themeColor="text1"/>
          <w14:textFill>
            <w14:solidFill>
              <w14:schemeClr w14:val="tx1"/>
            </w14:solidFill>
          </w14:textFill>
        </w:rPr>
        <w:t>优化专业建设，</w:t>
      </w:r>
      <w:r>
        <w:rPr>
          <w:rFonts w:hint="eastAsia" w:eastAsia="方正仿宋简体"/>
        </w:rPr>
        <w:t>将口腔义齿制造、电子商务、烹饪、护理等骨干专业打造成建设理念领先、培养模式先进、工学结合特色鲜明、师资结构合理、教学条件优良的地方特色品牌专业，建成1-2个省级示范性专业，形成独具特色品牌专业的办学模式。力争引进博士3名、硕士研究生20名，培养12名以上师德高尚、专业技能精湛的专业学科带头人。</w:t>
      </w:r>
    </w:p>
    <w:p>
      <w:pPr>
        <w:pStyle w:val="2"/>
        <w:spacing w:line="560" w:lineRule="exact"/>
        <w:rPr>
          <w:rFonts w:ascii="黑体" w:hAnsi="黑体" w:eastAsia="黑体" w:cs="黑体"/>
          <w:b w:val="0"/>
          <w:bCs/>
          <w:color w:val="000000" w:themeColor="text1"/>
          <w14:textFill>
            <w14:solidFill>
              <w14:schemeClr w14:val="tx1"/>
            </w14:solidFill>
          </w14:textFill>
        </w:rPr>
      </w:pPr>
      <w:bookmarkStart w:id="35" w:name="_Toc93738266"/>
      <w:r>
        <w:rPr>
          <w:rFonts w:hint="eastAsia" w:ascii="黑体" w:hAnsi="黑体" w:eastAsia="黑体" w:cs="黑体"/>
          <w:b w:val="0"/>
          <w:bCs/>
          <w:color w:val="000000" w:themeColor="text1"/>
          <w14:textFill>
            <w14:solidFill>
              <w14:schemeClr w14:val="tx1"/>
            </w14:solidFill>
          </w14:textFill>
        </w:rPr>
        <w:t>第三节 着力打造实用型技能人才队伍</w:t>
      </w:r>
      <w:bookmarkEnd w:id="34"/>
      <w:bookmarkEnd w:id="35"/>
    </w:p>
    <w:p>
      <w:pPr>
        <w:spacing w:line="580" w:lineRule="exact"/>
        <w:ind w:firstLine="643" w:firstLineChars="200"/>
        <w:rPr>
          <w:rFonts w:eastAsia="方正仿宋简体"/>
          <w:b/>
          <w:bCs/>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开展大规模职业技能培训。</w:t>
      </w:r>
      <w:r>
        <w:rPr>
          <w:rFonts w:eastAsia="方正仿宋简体"/>
          <w:color w:val="000000" w:themeColor="text1"/>
          <w14:textFill>
            <w14:solidFill>
              <w14:schemeClr w14:val="tx1"/>
            </w14:solidFill>
          </w14:textFill>
        </w:rPr>
        <w:t>以服务我县绿色产业体系发展、促进更充分更高质量就业为导向，积极推动职业教育（含技工教育）高质量发展</w:t>
      </w:r>
      <w:r>
        <w:rPr>
          <w:rFonts w:eastAsia="方正仿宋简体"/>
          <w:bCs/>
          <w:color w:val="000000" w:themeColor="text1"/>
          <w14:textFill>
            <w14:solidFill>
              <w14:schemeClr w14:val="tx1"/>
            </w14:solidFill>
          </w14:textFill>
        </w:rPr>
        <w:t>，不断扩大培训规模，着力提升培训针对性和有效性，全面提升劳动者技能素质。</w:t>
      </w:r>
      <w:r>
        <w:rPr>
          <w:rFonts w:hint="eastAsia" w:eastAsia="方正仿宋简体"/>
          <w:bCs/>
          <w:color w:val="000000" w:themeColor="text1"/>
          <w14:textFill>
            <w14:solidFill>
              <w14:schemeClr w14:val="tx1"/>
            </w14:solidFill>
          </w14:textFill>
        </w:rPr>
        <w:t>推动技工教育高质量发展，推进技工学校扩大职业培训规模，</w:t>
      </w:r>
      <w:r>
        <w:rPr>
          <w:rStyle w:val="57"/>
          <w:rFonts w:eastAsia="方正仿宋简体"/>
          <w:color w:val="000000" w:themeColor="text1"/>
          <w14:textFill>
            <w14:solidFill>
              <w14:schemeClr w14:val="tx1"/>
            </w14:solidFill>
          </w14:textFill>
        </w:rPr>
        <w:t>更多承担培训工作量，按规定享受培训补贴政策。</w:t>
      </w:r>
      <w:r>
        <w:rPr>
          <w:rFonts w:eastAsia="方正仿宋简体"/>
          <w:bCs/>
          <w:color w:val="000000" w:themeColor="text1"/>
          <w14:textFill>
            <w14:solidFill>
              <w14:schemeClr w14:val="tx1"/>
            </w14:solidFill>
          </w14:textFill>
        </w:rPr>
        <w:t>建设一批技能提升行动培训基地，突出服务重点人群</w:t>
      </w:r>
      <w:r>
        <w:rPr>
          <w:rFonts w:hint="eastAsia" w:eastAsia="方正仿宋简体"/>
          <w:bCs/>
          <w:color w:val="000000" w:themeColor="text1"/>
          <w14:textFill>
            <w14:solidFill>
              <w14:schemeClr w14:val="tx1"/>
            </w14:solidFill>
          </w14:textFill>
        </w:rPr>
        <w:t>，</w:t>
      </w:r>
      <w:r>
        <w:rPr>
          <w:rFonts w:eastAsia="方正仿宋简体"/>
          <w:bCs/>
          <w:color w:val="000000" w:themeColor="text1"/>
          <w14:textFill>
            <w14:solidFill>
              <w14:schemeClr w14:val="tx1"/>
            </w14:solidFill>
          </w14:textFill>
        </w:rPr>
        <w:t>大力发展社会职业技能培训，吸引更多青年和劳动者参与技能培训。</w:t>
      </w:r>
      <w:r>
        <w:rPr>
          <w:rStyle w:val="57"/>
          <w:rFonts w:eastAsia="方正仿宋简体"/>
          <w:color w:val="000000" w:themeColor="text1"/>
          <w14:textFill>
            <w14:solidFill>
              <w14:schemeClr w14:val="tx1"/>
            </w14:solidFill>
          </w14:textFill>
        </w:rPr>
        <w:t>广泛组织和参与各类职业技能竞赛，实现以赛促训。</w:t>
      </w:r>
      <w:r>
        <w:rPr>
          <w:rFonts w:eastAsia="方正仿宋简体"/>
          <w:bCs/>
          <w:color w:val="000000" w:themeColor="text1"/>
          <w14:textFill>
            <w14:solidFill>
              <w14:schemeClr w14:val="tx1"/>
            </w14:solidFill>
          </w14:textFill>
        </w:rPr>
        <w:t>全面深化产教融合、校企合作，优化专业设置，积极对接全县产业布局，打造一批优势突出、特色鲜明的品牌专业。</w:t>
      </w:r>
    </w:p>
    <w:p>
      <w:pPr>
        <w:spacing w:line="580" w:lineRule="exact"/>
        <w:ind w:firstLine="643" w:firstLineChars="200"/>
        <w:rPr>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优化技能人才发展环境。</w:t>
      </w:r>
      <w:r>
        <w:rPr>
          <w:rFonts w:eastAsia="方正仿宋简体"/>
          <w:color w:val="000000" w:themeColor="text1"/>
          <w14:textFill>
            <w14:solidFill>
              <w14:schemeClr w14:val="tx1"/>
            </w14:solidFill>
          </w14:textFill>
        </w:rPr>
        <w:t>搭建人才培养平台，培育各级各类人才。抓好人才队伍培养，加强高新技术人才队伍建设。围绕五华重点发展的主导优势产业，依托县技工学校建设高技能公共实训基地暨技能竞赛集训基地，可以容纳2500名学员开展生产性实习实训，形成校内基础实习实训、综合实习实训、模拟仿真实训和现场实践实习逐层次提高的实践教学环境。紧密地结合地方行业企业发展对技能型、复合型人才的需求，广泛开展实用技术培训、劳动力转移培训、下岗职工再就业培训，提高人才培养质量，建设集职业技能实操培训、职业技能鉴定、职业技能竞赛于一体的技能培训基地，年培训各类人员</w:t>
      </w:r>
      <w:r>
        <w:rPr>
          <w:rFonts w:hint="eastAsia" w:eastAsia="方正仿宋简体"/>
          <w:color w:val="000000" w:themeColor="text1"/>
          <w14:textFill>
            <w14:solidFill>
              <w14:schemeClr w14:val="tx1"/>
            </w14:solidFill>
          </w14:textFill>
        </w:rPr>
        <w:t>3000</w:t>
      </w:r>
      <w:r>
        <w:rPr>
          <w:rFonts w:eastAsia="方正仿宋简体"/>
          <w:color w:val="000000" w:themeColor="text1"/>
          <w14:textFill>
            <w14:solidFill>
              <w14:schemeClr w14:val="tx1"/>
            </w14:solidFill>
          </w14:textFill>
        </w:rPr>
        <w:t>人次以上。</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8522" w:type="dxa"/>
            <w:shd w:val="clear" w:color="auto" w:fill="FFC000"/>
            <w:vAlign w:val="center"/>
          </w:tcPr>
          <w:p>
            <w:pPr>
              <w:adjustRightInd w:val="0"/>
              <w:snapToGrid w:val="0"/>
              <w:jc w:val="center"/>
              <w:rPr>
                <w:rFonts w:eastAsia="黑体"/>
                <w:color w:val="000000" w:themeColor="text1"/>
                <w:kern w:val="0"/>
                <w:sz w:val="28"/>
                <w:szCs w:val="28"/>
                <w14:textFill>
                  <w14:solidFill>
                    <w14:schemeClr w14:val="tx1"/>
                  </w14:solidFill>
                </w14:textFill>
              </w:rPr>
            </w:pPr>
            <w:r>
              <w:rPr>
                <w:rFonts w:eastAsia="黑体"/>
                <w:color w:val="000000" w:themeColor="text1"/>
                <w:kern w:val="0"/>
                <w:sz w:val="28"/>
                <w:szCs w:val="28"/>
                <w14:textFill>
                  <w14:solidFill>
                    <w14:schemeClr w14:val="tx1"/>
                  </w14:solidFill>
                </w14:textFill>
              </w:rPr>
              <w:t>专栏五  职业技能提升行动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ind w:firstLine="482" w:firstLineChars="200"/>
              <w:rPr>
                <w:rFonts w:ascii="方正仿宋简体" w:hAnsi="方正仿宋简体" w:eastAsia="方正仿宋简体" w:cs="方正仿宋简体"/>
                <w:color w:val="000000" w:themeColor="text1"/>
                <w:kern w:val="0"/>
                <w:sz w:val="30"/>
                <w:szCs w:val="30"/>
                <w14:textFill>
                  <w14:solidFill>
                    <w14:schemeClr w14:val="tx1"/>
                  </w14:solidFill>
                </w14:textFill>
              </w:rPr>
            </w:pPr>
            <w:r>
              <w:rPr>
                <w:rFonts w:eastAsia="方正仿宋简体"/>
                <w:b/>
                <w:color w:val="000000" w:themeColor="text1"/>
                <w:kern w:val="0"/>
                <w:sz w:val="24"/>
                <w:szCs w:val="24"/>
                <w14:textFill>
                  <w14:solidFill>
                    <w14:schemeClr w14:val="tx1"/>
                  </w14:solidFill>
                </w14:textFill>
              </w:rPr>
              <w:t>1.实施重点群体职业技能提升工程</w:t>
            </w:r>
            <w:r>
              <w:rPr>
                <w:rFonts w:eastAsia="方正仿宋简体"/>
                <w:color w:val="000000" w:themeColor="text1"/>
                <w:kern w:val="0"/>
                <w:sz w:val="24"/>
                <w:szCs w:val="24"/>
                <w14:textFill>
                  <w14:solidFill>
                    <w14:schemeClr w14:val="tx1"/>
                  </w14:solidFill>
                </w14:textFill>
              </w:rPr>
              <w:t>。</w:t>
            </w:r>
            <w:r>
              <w:rPr>
                <w:rFonts w:hint="eastAsia" w:ascii="方正仿宋简体" w:hAnsi="方正仿宋简体" w:eastAsia="方正仿宋简体" w:cs="方正仿宋简体"/>
                <w:color w:val="000000" w:themeColor="text1"/>
                <w:kern w:val="0"/>
                <w:sz w:val="24"/>
                <w:szCs w:val="24"/>
                <w14:textFill>
                  <w14:solidFill>
                    <w14:schemeClr w14:val="tx1"/>
                  </w14:solidFill>
                </w14:textFill>
              </w:rPr>
              <w:t>深入贯彻落实职业技能培训补贴政策，发挥行业协会、龙头企业等培训主体作用，推动企业扩大培训规模，支持各类学校扩大培训供给，拓展职业技能培训。加强职业技能培训基础能力建设，开展提升职业技能和转岗转业能力的各类培训。对有就业意愿和培训需求的失业人员开展针对性的职业技能培训，支持帮助困难企业开展转岗转业培训，对有创业愿望的开展创业培训，加强创业培训项目开发、创业担保贷款、后续扶持等服务。围绕乡村振兴战略，实施新型职业农民培育工程和农村实用人才带头人素质提升计划，开展职业农民技能培训，实施高危行业领域安全技能提升行动计划，拓展职业技能培训内容。</w:t>
            </w:r>
            <w:r>
              <w:rPr>
                <w:rFonts w:hint="eastAsia" w:ascii="方正仿宋简体" w:hAnsi="方正仿宋简体" w:eastAsia="方正仿宋简体" w:cs="方正仿宋简体"/>
                <w:color w:val="000000" w:themeColor="text1"/>
                <w:kern w:val="0"/>
                <w:sz w:val="30"/>
                <w:szCs w:val="30"/>
                <w14:textFill>
                  <w14:solidFill>
                    <w14:schemeClr w14:val="tx1"/>
                  </w14:solidFill>
                </w14:textFill>
              </w:rPr>
              <w:t xml:space="preserve"> </w:t>
            </w:r>
          </w:p>
          <w:p>
            <w:pPr>
              <w:ind w:firstLine="482" w:firstLineChars="200"/>
              <w:rPr>
                <w:color w:val="000000" w:themeColor="text1"/>
                <w:kern w:val="0"/>
                <w:sz w:val="24"/>
                <w:szCs w:val="24"/>
                <w14:textFill>
                  <w14:solidFill>
                    <w14:schemeClr w14:val="tx1"/>
                  </w14:solidFill>
                </w14:textFill>
              </w:rPr>
            </w:pPr>
            <w:r>
              <w:rPr>
                <w:rFonts w:eastAsia="方正仿宋简体"/>
                <w:b/>
                <w:color w:val="000000" w:themeColor="text1"/>
                <w:kern w:val="0"/>
                <w:sz w:val="24"/>
                <w:szCs w:val="24"/>
                <w14:textFill>
                  <w14:solidFill>
                    <w14:schemeClr w14:val="tx1"/>
                  </w14:solidFill>
                </w14:textFill>
              </w:rPr>
              <w:t>2.大力培养文化旅游人才。</w:t>
            </w:r>
            <w:r>
              <w:rPr>
                <w:rFonts w:eastAsia="方正仿宋简体"/>
                <w:color w:val="000000" w:themeColor="text1"/>
                <w:kern w:val="0"/>
                <w:sz w:val="24"/>
                <w:szCs w:val="24"/>
                <w14:textFill>
                  <w14:solidFill>
                    <w14:schemeClr w14:val="tx1"/>
                  </w14:solidFill>
                </w14:textFill>
              </w:rPr>
              <w:t>发挥客家文化研究机构、艺术团体、民间组织的作用，挖掘培育客家山歌、客家民俗、客家建筑、客家美食等地方特色文化人才。对新列入国家级、省级非物质文化遗产代表性项目传承人，在中央或省财政资助基础上给予1∶1配套资助。借助文化事业与文化产业融合发展，加快培养文化创意产品设计和产业发展人才。结合建设一批客家文化、红色文化、乡村文化生态旅游实训基地，鼓励开展文化旅游全行业分层次培训和各类型技能大赛，着力培养文化旅游策划营销、管理服务、产品开发等人才。</w:t>
            </w:r>
          </w:p>
        </w:tc>
      </w:tr>
    </w:tbl>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完善技能人才评价和激励机制。</w:t>
      </w:r>
      <w:r>
        <w:rPr>
          <w:rFonts w:eastAsia="方正仿宋简体"/>
          <w:bCs/>
          <w:color w:val="000000" w:themeColor="text1"/>
          <w14:textFill>
            <w14:solidFill>
              <w14:schemeClr w14:val="tx1"/>
            </w14:solidFill>
          </w14:textFill>
        </w:rPr>
        <w:t>建立健全以职业资格评价、职业技能等级认定和专项职业能力考核等为主要内容的技能人才评价制度，推动职业技能等级认定制度，充分发挥企业、行业主体作用，推动符合条件的企业自主制定评价方案。</w:t>
      </w:r>
      <w:r>
        <w:rPr>
          <w:rFonts w:eastAsia="方正仿宋简体"/>
          <w:color w:val="000000" w:themeColor="text1"/>
          <w14:textFill>
            <w14:solidFill>
              <w14:schemeClr w14:val="tx1"/>
            </w14:solidFill>
          </w14:textFill>
        </w:rPr>
        <w:t>采取政策引导与资金资助相结合，完善企业技能人才激励机制。</w:t>
      </w:r>
      <w:r>
        <w:rPr>
          <w:rFonts w:eastAsia="方正仿宋简体"/>
          <w:color w:val="000000" w:themeColor="text1"/>
          <w:kern w:val="0"/>
          <w14:textFill>
            <w14:solidFill>
              <w14:schemeClr w14:val="tx1"/>
            </w14:solidFill>
          </w14:textFill>
        </w:rPr>
        <w:t>探索</w:t>
      </w:r>
      <w:r>
        <w:rPr>
          <w:rFonts w:eastAsia="方正仿宋简体"/>
          <w:color w:val="000000" w:themeColor="text1"/>
          <w14:textFill>
            <w14:solidFill>
              <w14:schemeClr w14:val="tx1"/>
            </w14:solidFill>
          </w14:textFill>
        </w:rPr>
        <w:t>建立多元化的高技能人才奖励体系，推动建立健全向高技能人才倾斜的薪酬分配政策。大力弘扬新时代工匠精神，将工匠精神融入技工教学环节。大力宣传技能人才在经济高质量发展过程中的重要作用，树立技能人才先进典型引领向好发展。</w:t>
      </w:r>
    </w:p>
    <w:p>
      <w:pPr>
        <w:spacing w:line="580" w:lineRule="exact"/>
        <w:ind w:firstLine="643" w:firstLineChars="200"/>
        <w:rPr>
          <w:b/>
          <w:bCs/>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实施重大人才培养工程。</w:t>
      </w:r>
      <w:r>
        <w:rPr>
          <w:rFonts w:eastAsia="方正仿宋简体"/>
          <w:color w:val="000000" w:themeColor="text1"/>
          <w14:textFill>
            <w14:solidFill>
              <w14:schemeClr w14:val="tx1"/>
            </w14:solidFill>
          </w14:textFill>
        </w:rPr>
        <w:t>深入贯彻落实党中央、国务院关于加强技能人才队伍建设的决策部署和省、市有关工作部署，实施高端人才培养计划，每年选派一批中青年技术骨干进行培训、交流和观摩学习，加快人才队伍成长。加大推进“粤菜师傅” “广东技工” “南粤家政”三项工程的力度、速度、深度，为全县经济高质量发展提供充足的高水平技能人才支撑，助力产业发展、脱贫攻坚、乡村振兴。</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8522" w:type="dxa"/>
            <w:shd w:val="clear" w:color="auto" w:fill="FFC000"/>
            <w:vAlign w:val="center"/>
          </w:tcPr>
          <w:p>
            <w:pPr>
              <w:adjustRightInd w:val="0"/>
              <w:snapToGrid w:val="0"/>
              <w:jc w:val="center"/>
              <w:rPr>
                <w:rFonts w:eastAsia="黑体"/>
                <w:color w:val="000000" w:themeColor="text1"/>
                <w:kern w:val="0"/>
                <w:sz w:val="28"/>
                <w:szCs w:val="28"/>
                <w14:textFill>
                  <w14:solidFill>
                    <w14:schemeClr w14:val="tx1"/>
                  </w14:solidFill>
                </w14:textFill>
              </w:rPr>
            </w:pPr>
            <w:r>
              <w:rPr>
                <w:rFonts w:eastAsia="黑体"/>
                <w:color w:val="000000" w:themeColor="text1"/>
                <w:kern w:val="0"/>
                <w:sz w:val="28"/>
                <w:szCs w:val="28"/>
                <w14:textFill>
                  <w14:solidFill>
                    <w14:schemeClr w14:val="tx1"/>
                  </w14:solidFill>
                </w14:textFill>
              </w:rPr>
              <w:t>专栏六  高质量推进三项工程建设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ind w:firstLine="480" w:firstLineChars="200"/>
              <w:rPr>
                <w:rFonts w:eastAsia="方正仿宋简体"/>
                <w:color w:val="000000" w:themeColor="text1"/>
                <w:kern w:val="0"/>
                <w:sz w:val="24"/>
                <w:szCs w:val="24"/>
                <w14:textFill>
                  <w14:solidFill>
                    <w14:schemeClr w14:val="tx1"/>
                  </w14:solidFill>
                </w14:textFill>
              </w:rPr>
            </w:pPr>
            <w:r>
              <w:rPr>
                <w:rFonts w:eastAsia="方正仿宋简体"/>
                <w:color w:val="000000" w:themeColor="text1"/>
                <w:kern w:val="0"/>
                <w:sz w:val="24"/>
                <w:szCs w:val="24"/>
                <w14:textFill>
                  <w14:solidFill>
                    <w14:schemeClr w14:val="tx1"/>
                  </w14:solidFill>
                </w14:textFill>
              </w:rPr>
              <w:t>把高质量实施“粤菜师傅” “广东技工” “南粤家政”三项培训工程与促发展、稳就业、保民生紧密结合，大力发展职业技工教育，构建全民终身职业技能培训体系。</w:t>
            </w:r>
          </w:p>
          <w:p>
            <w:pPr>
              <w:ind w:firstLine="482" w:firstLineChars="200"/>
              <w:rPr>
                <w:rFonts w:eastAsia="方正仿宋简体"/>
                <w:color w:val="000000" w:themeColor="text1"/>
                <w:kern w:val="0"/>
                <w:sz w:val="24"/>
                <w:szCs w:val="24"/>
                <w14:textFill>
                  <w14:solidFill>
                    <w14:schemeClr w14:val="tx1"/>
                  </w14:solidFill>
                </w14:textFill>
              </w:rPr>
            </w:pPr>
            <w:r>
              <w:rPr>
                <w:rFonts w:eastAsia="方正仿宋简体"/>
                <w:b/>
                <w:bCs/>
                <w:color w:val="000000" w:themeColor="text1"/>
                <w:kern w:val="0"/>
                <w:sz w:val="24"/>
                <w:szCs w:val="24"/>
                <w14:textFill>
                  <w14:solidFill>
                    <w14:schemeClr w14:val="tx1"/>
                  </w14:solidFill>
                </w14:textFill>
              </w:rPr>
              <w:t>1.实施“粤菜师傅”工程。</w:t>
            </w:r>
            <w:r>
              <w:rPr>
                <w:rFonts w:eastAsia="方正仿宋简体"/>
                <w:color w:val="000000" w:themeColor="text1"/>
                <w:kern w:val="0"/>
                <w:sz w:val="24"/>
                <w:szCs w:val="24"/>
                <w14:textFill>
                  <w14:solidFill>
                    <w14:schemeClr w14:val="tx1"/>
                  </w14:solidFill>
                </w14:textFill>
              </w:rPr>
              <w:t>主动适应现代健康生活的新要求，加快构建培训体系、就业体系、产业体系、标准体系、文化体系、交流体系，增强商品意识和市场意识，强化菜品研发创新、行业标准和产品质量控制，建立完善粤菜师傅培训平台，充分利用各类培训资源作用，采取短期培训与学制教育相结合等模式，扩大人才培养规模，开展形式多样的技能大赛，提升知名度和文化内涵，开展五华酿豆腐地理标志认定工作，推动</w:t>
            </w:r>
            <w:r>
              <w:rPr>
                <w:rFonts w:hint="eastAsia" w:eastAsia="方正仿宋简体"/>
                <w:color w:val="000000" w:themeColor="text1"/>
                <w:kern w:val="0"/>
                <w:sz w:val="24"/>
                <w:szCs w:val="24"/>
                <w14:textFill>
                  <w14:solidFill>
                    <w14:schemeClr w14:val="tx1"/>
                  </w14:solidFill>
                </w14:textFill>
              </w:rPr>
              <w:t>粤菜</w:t>
            </w:r>
            <w:r>
              <w:rPr>
                <w:rFonts w:eastAsia="方正仿宋简体"/>
                <w:color w:val="000000" w:themeColor="text1"/>
                <w:kern w:val="0"/>
                <w:sz w:val="24"/>
                <w:szCs w:val="24"/>
                <w14:textFill>
                  <w14:solidFill>
                    <w14:schemeClr w14:val="tx1"/>
                  </w14:solidFill>
                </w14:textFill>
              </w:rPr>
              <w:t>连锁化、网络化、品牌化发展，促进粤菜产业有机融入全域旅游，走出梅州、走向广东和全国，更好展现传播客家文化。到2025年，全县开展“粤菜师傅”培训1500人次以上。</w:t>
            </w:r>
          </w:p>
          <w:p>
            <w:pPr>
              <w:ind w:firstLine="482" w:firstLineChars="200"/>
              <w:rPr>
                <w:rFonts w:eastAsia="方正仿宋简体"/>
                <w:color w:val="000000" w:themeColor="text1"/>
                <w:kern w:val="0"/>
                <w:sz w:val="24"/>
                <w:szCs w:val="24"/>
                <w14:textFill>
                  <w14:solidFill>
                    <w14:schemeClr w14:val="tx1"/>
                  </w14:solidFill>
                </w14:textFill>
              </w:rPr>
            </w:pPr>
            <w:r>
              <w:rPr>
                <w:rFonts w:eastAsia="方正仿宋简体"/>
                <w:b/>
                <w:bCs/>
                <w:color w:val="000000" w:themeColor="text1"/>
                <w:kern w:val="0"/>
                <w:sz w:val="24"/>
                <w:szCs w:val="24"/>
                <w14:textFill>
                  <w14:solidFill>
                    <w14:schemeClr w14:val="tx1"/>
                  </w14:solidFill>
                </w14:textFill>
              </w:rPr>
              <w:t>2.实施“广东技工”工程。</w:t>
            </w:r>
            <w:r>
              <w:rPr>
                <w:rFonts w:eastAsia="方正仿宋简体"/>
                <w:color w:val="000000" w:themeColor="text1"/>
                <w:kern w:val="0"/>
                <w:sz w:val="24"/>
                <w:szCs w:val="24"/>
                <w14:textFill>
                  <w14:solidFill>
                    <w14:schemeClr w14:val="tx1"/>
                  </w14:solidFill>
                </w14:textFill>
              </w:rPr>
              <w:t>根据产业需求调整专业结构设置优化建设，依托现有五华县技工学校和职业学校，进一步优化专业设置，做出亮点，大力促进产教融合、校企合作，健全企业新型学徒培训投入机制，构建“校企共融” “送培到企” “现代师徒” “冠名班”等新型培训模式，扩大培训规模，做到应培尽培，深入开展各类技能竞赛，实施技能人才培养高质量发展，力争精英技工实现量的突破，打造特色品牌。</w:t>
            </w:r>
          </w:p>
          <w:p>
            <w:pPr>
              <w:ind w:firstLine="482" w:firstLineChars="200"/>
              <w:rPr>
                <w:color w:val="000000" w:themeColor="text1"/>
                <w14:textFill>
                  <w14:solidFill>
                    <w14:schemeClr w14:val="tx1"/>
                  </w14:solidFill>
                </w14:textFill>
              </w:rPr>
            </w:pPr>
            <w:r>
              <w:rPr>
                <w:rFonts w:eastAsia="方正仿宋简体"/>
                <w:b/>
                <w:bCs/>
                <w:color w:val="000000" w:themeColor="text1"/>
                <w:kern w:val="0"/>
                <w:sz w:val="24"/>
                <w:szCs w:val="24"/>
                <w14:textFill>
                  <w14:solidFill>
                    <w14:schemeClr w14:val="tx1"/>
                  </w14:solidFill>
                </w14:textFill>
              </w:rPr>
              <w:t>3.实施“南粤家政”工程。</w:t>
            </w:r>
            <w:r>
              <w:rPr>
                <w:rFonts w:eastAsia="方正仿宋简体"/>
                <w:color w:val="000000" w:themeColor="text1"/>
                <w:kern w:val="0"/>
                <w:sz w:val="24"/>
                <w:szCs w:val="24"/>
                <w14:textFill>
                  <w14:solidFill>
                    <w14:schemeClr w14:val="tx1"/>
                  </w14:solidFill>
                </w14:textFill>
              </w:rPr>
              <w:t>落实家政服务就业补贴政策，推进家政扶贫对接帮扶，加快培训基地、师资、教材等基本要素建设，制订并试行家政服务标准，加强品牌、信用体系建设，构建供需对接平台，开展家政服务技能竞赛，建立多层次技能评价体系，规范家政服务秩序，打造服务“一老一小”五华家政知名品牌，选树一批家政服务典型。</w:t>
            </w:r>
          </w:p>
        </w:tc>
      </w:tr>
    </w:tbl>
    <w:p>
      <w:pPr>
        <w:pStyle w:val="2"/>
        <w:spacing w:line="560" w:lineRule="exact"/>
        <w:rPr>
          <w:rFonts w:ascii="黑体" w:hAnsi="黑体" w:eastAsia="黑体" w:cs="黑体"/>
          <w:b w:val="0"/>
          <w:bCs/>
          <w:color w:val="000000" w:themeColor="text1"/>
          <w14:textFill>
            <w14:solidFill>
              <w14:schemeClr w14:val="tx1"/>
            </w14:solidFill>
          </w14:textFill>
        </w:rPr>
      </w:pPr>
      <w:bookmarkStart w:id="36" w:name="_Toc93738267"/>
      <w:r>
        <w:rPr>
          <w:rFonts w:hint="eastAsia" w:ascii="黑体" w:hAnsi="黑体" w:eastAsia="黑体" w:cs="黑体"/>
          <w:b w:val="0"/>
          <w:bCs/>
          <w:color w:val="000000" w:themeColor="text1"/>
          <w14:textFill>
            <w14:solidFill>
              <w14:schemeClr w14:val="tx1"/>
            </w14:solidFill>
          </w14:textFill>
        </w:rPr>
        <w:t xml:space="preserve">第四节 </w:t>
      </w:r>
      <w:r>
        <w:fldChar w:fldCharType="begin"/>
      </w:r>
      <w:r>
        <w:instrText xml:space="preserve"> HYPERLINK "http://www.baidu.com/link?url=itK9_x5M6nnex1g4Jmv90QXg043rKKOYGcMW6iEAD8uuqXAxrytRA67tClsES5lLa4b2IlGBU56GHwEO9Qw7la" \t "_blank" </w:instrText>
      </w:r>
      <w:r>
        <w:fldChar w:fldCharType="separate"/>
      </w:r>
      <w:r>
        <w:rPr>
          <w:rFonts w:hint="eastAsia" w:ascii="黑体" w:hAnsi="黑体" w:eastAsia="黑体" w:cs="黑体"/>
          <w:b w:val="0"/>
          <w:bCs/>
          <w:color w:val="000000" w:themeColor="text1"/>
          <w14:textFill>
            <w14:solidFill>
              <w14:schemeClr w14:val="tx1"/>
            </w14:solidFill>
          </w14:textFill>
        </w:rPr>
        <w:t>建强乡村振兴人才支撑</w:t>
      </w:r>
      <w:bookmarkEnd w:id="36"/>
      <w:r>
        <w:rPr>
          <w:rFonts w:hint="eastAsia" w:ascii="黑体" w:hAnsi="黑体" w:eastAsia="黑体" w:cs="黑体"/>
          <w:b w:val="0"/>
          <w:bCs/>
          <w:color w:val="000000" w:themeColor="text1"/>
          <w14:textFill>
            <w14:solidFill>
              <w14:schemeClr w14:val="tx1"/>
            </w14:solidFill>
          </w14:textFill>
        </w:rPr>
        <w:fldChar w:fldCharType="end"/>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发掘和培养乡土人才队伍。</w:t>
      </w:r>
      <w:r>
        <w:rPr>
          <w:rFonts w:eastAsia="方正仿宋简体"/>
          <w:color w:val="000000" w:themeColor="text1"/>
          <w14:textFill>
            <w14:solidFill>
              <w14:schemeClr w14:val="tx1"/>
            </w14:solidFill>
          </w14:textFill>
        </w:rPr>
        <w:t>大力实施新型职业农民培育工程，全面建立健全培养培训、认定管理、生产经营、社会保障、退休养老“五位一体”的新型职业农民培育制度体系，探索开展新型职业农民职称评价。推进新生代职业农民工技能提升计划和新型农业经营主体带头人培育行动。加强农耕文化、民间技艺的挖掘、保护和传承，培育乡村技能人才和工匠，建立乡土人才专家库。建立有效激励机制，引导各类人才向乡村流动聚集，吸引新型农民返乡、本土人才回乡、技术人员下乡，引进农村科研、农技服务、农企管理等专业人才，壮大乡村振兴人才队伍。</w:t>
      </w:r>
    </w:p>
    <w:p>
      <w:pPr>
        <w:spacing w:line="580" w:lineRule="exact"/>
        <w:ind w:firstLine="643" w:firstLineChars="200"/>
        <w:rPr>
          <w:rStyle w:val="57"/>
          <w:rFonts w:eastAsia="方正仿宋简体"/>
          <w:b/>
          <w:color w:val="000000" w:themeColor="text1"/>
          <w:shd w:val="clear" w:color="auto" w:fill="FFFFFF"/>
          <w14:textFill>
            <w14:solidFill>
              <w14:schemeClr w14:val="tx1"/>
            </w14:solidFill>
          </w14:textFill>
        </w:rPr>
      </w:pPr>
      <w:r>
        <w:rPr>
          <w:rFonts w:eastAsia="方正仿宋简体"/>
          <w:b/>
          <w:color w:val="000000" w:themeColor="text1"/>
          <w14:textFill>
            <w14:solidFill>
              <w14:schemeClr w14:val="tx1"/>
            </w14:solidFill>
          </w14:textFill>
        </w:rPr>
        <w:t>积极开发农村电商人才。</w:t>
      </w:r>
      <w:r>
        <w:rPr>
          <w:rFonts w:eastAsia="方正仿宋简体"/>
          <w:color w:val="000000" w:themeColor="text1"/>
          <w14:textFill>
            <w14:solidFill>
              <w14:schemeClr w14:val="tx1"/>
            </w14:solidFill>
          </w14:textFill>
        </w:rPr>
        <w:t>发挥院校和企业两大主体作用，拓展“校中企”和“企中校”人才培养模式，着力培养农电商技能人才。积极开展有关农村产品包装、设计、宣传、网销等实操技能培训，建立农村电商技能培训标准，打造县级农村电商网络培训公共服务平台，鼓励从业人员参加职业技能鉴定。协助举办市级农村电商“一村一品”带头人提升班，着力培养有文化、懂技术、会经营的农村电商品牌（产业）带头人。实施“百园万站”行动，合理布局建设一批农村电商产业园和示范站。到“十四五”期末，计划在县内中心镇建设一个农村电商产业园，每个行政村都建设一个农村电商示范站，打通农村电商“人、品、网、店”全链条，集聚各领域、各行业资源，形成“统筹在省市、中枢在县镇、终端在村居”的工作格局。</w:t>
      </w:r>
    </w:p>
    <w:p>
      <w:pPr>
        <w:spacing w:line="580" w:lineRule="exact"/>
        <w:ind w:firstLine="643" w:firstLineChars="200"/>
        <w:rPr>
          <w:rFonts w:eastAsia="方正仿宋简体"/>
          <w:b/>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培育长乐工匠队伍。</w:t>
      </w:r>
      <w:r>
        <w:rPr>
          <w:rFonts w:eastAsia="方正仿宋简体"/>
          <w:color w:val="000000" w:themeColor="text1"/>
          <w14:textFill>
            <w14:solidFill>
              <w14:schemeClr w14:val="tx1"/>
            </w14:solidFill>
          </w14:textFill>
        </w:rPr>
        <w:t>注重弘扬大国工匠精神，大力实施“粤菜师傅”“广东技工”“南粤家政”三项工程，全面开展职业技能培训，助力产业发展、脱贫攻坚、乡村振兴。以五华县技工学校为重点平台，充分发挥1</w:t>
      </w:r>
      <w:r>
        <w:rPr>
          <w:rFonts w:hint="eastAsia" w:eastAsia="方正仿宋简体"/>
          <w:color w:val="000000" w:themeColor="text1"/>
          <w14:textFill>
            <w14:solidFill>
              <w14:schemeClr w14:val="tx1"/>
            </w14:solidFill>
          </w14:textFill>
        </w:rPr>
        <w:t>6</w:t>
      </w:r>
      <w:r>
        <w:rPr>
          <w:rFonts w:eastAsia="方正仿宋简体"/>
          <w:color w:val="000000" w:themeColor="text1"/>
          <w14:textFill>
            <w14:solidFill>
              <w14:schemeClr w14:val="tx1"/>
            </w14:solidFill>
          </w14:textFill>
        </w:rPr>
        <w:t>间民办职业培训学校作用，每年开展各类技能人才培训</w:t>
      </w:r>
      <w:r>
        <w:rPr>
          <w:rFonts w:hint="eastAsia" w:eastAsia="方正仿宋简体"/>
          <w:color w:val="000000" w:themeColor="text1"/>
          <w14:textFill>
            <w14:solidFill>
              <w14:schemeClr w14:val="tx1"/>
            </w14:solidFill>
          </w14:textFill>
        </w:rPr>
        <w:t>3000</w:t>
      </w:r>
      <w:r>
        <w:rPr>
          <w:rFonts w:eastAsia="方正仿宋简体"/>
          <w:color w:val="000000" w:themeColor="text1"/>
          <w14:textFill>
            <w14:solidFill>
              <w14:schemeClr w14:val="tx1"/>
            </w14:solidFill>
          </w14:textFill>
        </w:rPr>
        <w:t>人</w:t>
      </w:r>
      <w:r>
        <w:rPr>
          <w:rFonts w:hint="eastAsia" w:eastAsia="方正仿宋简体"/>
          <w:color w:val="000000" w:themeColor="text1"/>
          <w14:textFill>
            <w14:solidFill>
              <w14:schemeClr w14:val="tx1"/>
            </w14:solidFill>
          </w14:textFill>
        </w:rPr>
        <w:t>次</w:t>
      </w:r>
      <w:r>
        <w:rPr>
          <w:rFonts w:eastAsia="方正仿宋简体"/>
          <w:color w:val="000000" w:themeColor="text1"/>
          <w14:textFill>
            <w14:solidFill>
              <w14:schemeClr w14:val="tx1"/>
            </w14:solidFill>
          </w14:textFill>
        </w:rPr>
        <w:t>以上，依托石雕产业园、红木产业园、口腔协会、技工学校高技能实训基地，重点</w:t>
      </w:r>
      <w:r>
        <w:rPr>
          <w:rFonts w:hint="eastAsia" w:eastAsia="方正仿宋简体"/>
          <w:color w:val="000000" w:themeColor="text1"/>
          <w14:textFill>
            <w14:solidFill>
              <w14:schemeClr w14:val="tx1"/>
            </w14:solidFill>
          </w14:textFill>
        </w:rPr>
        <w:t>在</w:t>
      </w:r>
      <w:r>
        <w:rPr>
          <w:rFonts w:eastAsia="方正仿宋简体"/>
          <w:color w:val="000000" w:themeColor="text1"/>
          <w14:textFill>
            <w14:solidFill>
              <w14:schemeClr w14:val="tx1"/>
            </w14:solidFill>
          </w14:textFill>
        </w:rPr>
        <w:t>电商、口腔、木雕、石雕、烹饪、家政、建筑等专业</w:t>
      </w:r>
      <w:r>
        <w:rPr>
          <w:rFonts w:hint="eastAsia" w:eastAsia="方正仿宋简体"/>
          <w:color w:val="000000" w:themeColor="text1"/>
          <w14:textFill>
            <w14:solidFill>
              <w14:schemeClr w14:val="tx1"/>
            </w14:solidFill>
          </w14:textFill>
        </w:rPr>
        <w:t>加强</w:t>
      </w:r>
      <w:r>
        <w:rPr>
          <w:rFonts w:eastAsia="方正仿宋简体"/>
          <w:color w:val="000000" w:themeColor="text1"/>
          <w14:textFill>
            <w14:solidFill>
              <w14:schemeClr w14:val="tx1"/>
            </w14:solidFill>
          </w14:textFill>
        </w:rPr>
        <w:t>技能培训。完善培训技工技能激励机制，鼓励技工技能就业创业，打造五华知识型、技能型、创新型高技能现代工匠队伍。持续实施创业补贴政策，鼓励高校毕业生、农民工等重点就业群体自主创业，积极鼓励梅州市五华县“南粤家政”综合服务示范基地家政服务网络平台等数字经济创新。同时，培育壮大乡村工匠队伍，加强乡村工匠实用技能人才职业教育，</w:t>
      </w:r>
      <w:r>
        <w:rPr>
          <w:rFonts w:eastAsia="方正仿宋简体"/>
          <w:bCs/>
          <w:color w:val="000000" w:themeColor="text1"/>
          <w14:textFill>
            <w14:solidFill>
              <w14:schemeClr w14:val="tx1"/>
            </w14:solidFill>
          </w14:textFill>
        </w:rPr>
        <w:t>2021年对技工学校口腔义齿制造、建筑施工两个重点专业实训室进行提升。</w:t>
      </w:r>
      <w:r>
        <w:rPr>
          <w:rFonts w:eastAsia="方正仿宋简体"/>
          <w:color w:val="000000" w:themeColor="text1"/>
          <w14:textFill>
            <w14:solidFill>
              <w14:schemeClr w14:val="tx1"/>
            </w14:solidFill>
          </w14:textFill>
        </w:rPr>
        <w:t>采取“半农半读”、弹性学制和短期培训等形式，组织乡村实用人才就地就近参加职业教育和专项技能培训，提升学历层次和技能水平。鼓励各类培训机构开展乡村工匠技能培训，加大校企合作培养力度。建立健全乡村工匠培养标准和技能评价体系，支持乡村工匠参与职称评定。开展乡村工匠职业技能竞赛，推动乡村工匠技艺交流和岗位练兵。加强对工匠型技能人才的政策扶持，健全技能人才分配制度，完善与乡村工匠培养和技能评价体系配套的激励机制，树立乡村工匠典型，评选一批“乡村名匠”，进—步提高工匠型人才待遇和社会地位。</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8522" w:type="dxa"/>
            <w:shd w:val="clear" w:color="auto" w:fill="FFC000"/>
            <w:vAlign w:val="center"/>
          </w:tcPr>
          <w:p>
            <w:pPr>
              <w:adjustRightInd w:val="0"/>
              <w:snapToGrid w:val="0"/>
              <w:jc w:val="center"/>
              <w:rPr>
                <w:rFonts w:eastAsia="黑体"/>
                <w:color w:val="000000" w:themeColor="text1"/>
                <w:kern w:val="0"/>
                <w:sz w:val="28"/>
                <w:szCs w:val="28"/>
                <w14:textFill>
                  <w14:solidFill>
                    <w14:schemeClr w14:val="tx1"/>
                  </w14:solidFill>
                </w14:textFill>
              </w:rPr>
            </w:pPr>
            <w:r>
              <w:rPr>
                <w:rFonts w:eastAsia="黑体"/>
                <w:color w:val="000000" w:themeColor="text1"/>
                <w:kern w:val="0"/>
                <w:sz w:val="28"/>
                <w:szCs w:val="28"/>
                <w14:textFill>
                  <w14:solidFill>
                    <w14:schemeClr w14:val="tx1"/>
                  </w14:solidFill>
                </w14:textFill>
              </w:rPr>
              <w:t>专栏七  技能人才培训与综合示范基地建设工程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ind w:firstLine="482" w:firstLineChars="200"/>
              <w:jc w:val="left"/>
              <w:rPr>
                <w:rFonts w:eastAsia="方正仿宋简体"/>
                <w:color w:val="000000" w:themeColor="text1"/>
                <w:sz w:val="24"/>
                <w:szCs w:val="24"/>
                <w14:textFill>
                  <w14:solidFill>
                    <w14:schemeClr w14:val="tx1"/>
                  </w14:solidFill>
                </w14:textFill>
              </w:rPr>
            </w:pPr>
            <w:r>
              <w:rPr>
                <w:rFonts w:eastAsia="方正仿宋简体"/>
                <w:b/>
                <w:bCs/>
                <w:color w:val="000000" w:themeColor="text1"/>
                <w:kern w:val="0"/>
                <w:sz w:val="24"/>
                <w:szCs w:val="24"/>
                <w14:textFill>
                  <w14:solidFill>
                    <w14:schemeClr w14:val="tx1"/>
                  </w14:solidFill>
                </w14:textFill>
              </w:rPr>
              <w:t>1.五华县“粤菜师傅”工程就业创业综合示范基地。</w:t>
            </w:r>
            <w:r>
              <w:rPr>
                <w:rFonts w:eastAsia="方正仿宋简体"/>
                <w:color w:val="000000" w:themeColor="text1"/>
                <w:sz w:val="24"/>
                <w:szCs w:val="24"/>
                <w14:textFill>
                  <w14:solidFill>
                    <w14:schemeClr w14:val="tx1"/>
                  </w14:solidFill>
                </w14:textFill>
              </w:rPr>
              <w:t>建设集“示范培训、菜品研发、厨艺交流、文化体验、就业服务以及标准创建”于一体的综合性“粤菜师傅”培育和就业创业示范基地。</w:t>
            </w:r>
          </w:p>
          <w:p>
            <w:pPr>
              <w:ind w:firstLine="482" w:firstLineChars="200"/>
              <w:jc w:val="left"/>
              <w:rPr>
                <w:rFonts w:eastAsia="方正仿宋简体"/>
                <w:color w:val="000000" w:themeColor="text1"/>
                <w14:textFill>
                  <w14:solidFill>
                    <w14:schemeClr w14:val="tx1"/>
                  </w14:solidFill>
                </w14:textFill>
              </w:rPr>
            </w:pPr>
            <w:r>
              <w:rPr>
                <w:rFonts w:hint="eastAsia" w:eastAsia="方正仿宋简体"/>
                <w:b/>
                <w:bCs/>
                <w:color w:val="000000" w:themeColor="text1"/>
                <w:sz w:val="24"/>
                <w:szCs w:val="24"/>
                <w14:textFill>
                  <w14:solidFill>
                    <w14:schemeClr w14:val="tx1"/>
                  </w14:solidFill>
                </w14:textFill>
              </w:rPr>
              <w:t>2.五华县技工学校高技能公共实训基地暨技能竞赛集训基地和升级高级技工学校项目。</w:t>
            </w:r>
            <w:r>
              <w:rPr>
                <w:rFonts w:hint="eastAsia" w:eastAsia="方正仿宋简体"/>
                <w:color w:val="000000" w:themeColor="text1"/>
                <w:sz w:val="24"/>
                <w:szCs w:val="24"/>
                <w14:textFill>
                  <w14:solidFill>
                    <w14:schemeClr w14:val="tx1"/>
                  </w14:solidFill>
                </w14:textFill>
              </w:rPr>
              <w:t>项目新增建设用地总规模32.13亩，建设内容为基地建设及设备购置，着力解决学校发展空间不足的问题，力争在2021年实现创建省重点技工学校，2025年达到高级技工学校办学水平。</w:t>
            </w:r>
          </w:p>
          <w:p>
            <w:pPr>
              <w:ind w:firstLine="482" w:firstLineChars="200"/>
              <w:rPr>
                <w:rFonts w:eastAsia="方正仿宋简体"/>
                <w:color w:val="000000" w:themeColor="text1"/>
                <w:sz w:val="24"/>
                <w:szCs w:val="24"/>
                <w14:textFill>
                  <w14:solidFill>
                    <w14:schemeClr w14:val="tx1"/>
                  </w14:solidFill>
                </w14:textFill>
              </w:rPr>
            </w:pPr>
            <w:r>
              <w:rPr>
                <w:rFonts w:hint="eastAsia" w:eastAsia="方正仿宋简体"/>
                <w:b/>
                <w:bCs/>
                <w:color w:val="000000" w:themeColor="text1"/>
                <w:kern w:val="0"/>
                <w:sz w:val="24"/>
                <w:szCs w:val="24"/>
                <w14:textFill>
                  <w14:solidFill>
                    <w14:schemeClr w14:val="tx1"/>
                  </w14:solidFill>
                </w14:textFill>
              </w:rPr>
              <w:t>3</w:t>
            </w:r>
            <w:r>
              <w:rPr>
                <w:rFonts w:eastAsia="方正仿宋简体"/>
                <w:b/>
                <w:bCs/>
                <w:color w:val="000000" w:themeColor="text1"/>
                <w:kern w:val="0"/>
                <w:sz w:val="24"/>
                <w:szCs w:val="24"/>
                <w14:textFill>
                  <w14:solidFill>
                    <w14:schemeClr w14:val="tx1"/>
                  </w14:solidFill>
                </w14:textFill>
              </w:rPr>
              <w:t>.五华县黄狮新村美食示范街和黄狮新村厨师村项目。</w:t>
            </w:r>
            <w:r>
              <w:rPr>
                <w:rFonts w:eastAsia="方正仿宋简体"/>
                <w:color w:val="000000" w:themeColor="text1"/>
                <w:sz w:val="24"/>
                <w:szCs w:val="24"/>
                <w14:textFill>
                  <w14:solidFill>
                    <w14:schemeClr w14:val="tx1"/>
                  </w14:solidFill>
                </w14:textFill>
              </w:rPr>
              <w:t>计划2021-2022年在黄狮新村建设一条有102家门店、长600米的“粤菜师傅”工程美食示范街，同时培训厨师100名，打造黄狮新村厨师村。</w:t>
            </w:r>
          </w:p>
          <w:p>
            <w:pPr>
              <w:ind w:firstLine="482" w:firstLineChars="200"/>
              <w:jc w:val="left"/>
              <w:rPr>
                <w:rFonts w:eastAsia="方正仿宋简体"/>
                <w:color w:val="FF0000"/>
                <w:sz w:val="24"/>
                <w:szCs w:val="24"/>
              </w:rPr>
            </w:pPr>
            <w:r>
              <w:rPr>
                <w:rFonts w:eastAsia="方正仿宋简体"/>
                <w:b/>
                <w:bCs/>
                <w:kern w:val="0"/>
                <w:sz w:val="24"/>
                <w:szCs w:val="24"/>
              </w:rPr>
              <w:t>4.</w:t>
            </w:r>
            <w:r>
              <w:rPr>
                <w:rFonts w:eastAsia="方正仿宋简体"/>
                <w:b/>
                <w:sz w:val="24"/>
                <w:szCs w:val="24"/>
              </w:rPr>
              <w:t xml:space="preserve"> 五华县“南粤家政”产业园项目。</w:t>
            </w:r>
            <w:r>
              <w:rPr>
                <w:rFonts w:hint="eastAsia" w:eastAsia="仿宋"/>
                <w:sz w:val="24"/>
                <w:szCs w:val="24"/>
              </w:rPr>
              <w:t>本项目计划总投资</w:t>
            </w:r>
            <w:r>
              <w:rPr>
                <w:rFonts w:eastAsia="仿宋"/>
                <w:sz w:val="24"/>
                <w:szCs w:val="24"/>
              </w:rPr>
              <w:t>5000万元，截止到2020年底已完成投资600万元，“十四五”期间计划投资4400万元，根据省市县相关工作要求，建设用地在五华县创业孵化园大楼1、2、4、7楼、五华县技工学校（梅州市“南粤家政”综合服务示范基地），对相应的场地设施进行建设改造和升级维护。本项目拟建面积为5050平方米，初步设立孵化区、功能区、培训实训区、技能评价（鉴定室）等区域。建设集“产业孵化、技术研发、评价认定、品牌培育、公共服务”等功能于一体的“南粤家政”产业园，打造区域家政集群孵化中心。依托五华县月子中心、梅州五华“南粤家政”超市、南粤家政基层服务示范站，推动我县家政产业规模化和从业队伍专业化发展。</w:t>
            </w:r>
          </w:p>
        </w:tc>
      </w:tr>
    </w:tbl>
    <w:p>
      <w:pPr>
        <w:pStyle w:val="2"/>
        <w:spacing w:line="560" w:lineRule="exact"/>
        <w:rPr>
          <w:rFonts w:ascii="黑体" w:hAnsi="黑体" w:eastAsia="黑体" w:cs="黑体"/>
          <w:b w:val="0"/>
          <w:bCs/>
          <w:color w:val="000000" w:themeColor="text1"/>
          <w14:textFill>
            <w14:solidFill>
              <w14:schemeClr w14:val="tx1"/>
            </w14:solidFill>
          </w14:textFill>
        </w:rPr>
      </w:pPr>
      <w:bookmarkStart w:id="37" w:name="_Toc93738268"/>
      <w:r>
        <w:rPr>
          <w:rFonts w:hint="eastAsia" w:ascii="黑体" w:hAnsi="黑体" w:eastAsia="黑体" w:cs="黑体"/>
          <w:b w:val="0"/>
          <w:bCs/>
          <w:color w:val="000000" w:themeColor="text1"/>
          <w14:textFill>
            <w14:solidFill>
              <w14:schemeClr w14:val="tx1"/>
            </w14:solidFill>
          </w14:textFill>
        </w:rPr>
        <w:t>第五节 完善人才公共服务体系</w:t>
      </w:r>
      <w:bookmarkEnd w:id="37"/>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加大人才服务环境的营造。</w:t>
      </w:r>
      <w:r>
        <w:rPr>
          <w:rFonts w:eastAsia="方正仿宋简体"/>
          <w:color w:val="000000" w:themeColor="text1"/>
          <w14:textFill>
            <w14:solidFill>
              <w14:schemeClr w14:val="tx1"/>
            </w14:solidFill>
          </w14:textFill>
        </w:rPr>
        <w:t>积极争取各级党委、政府对人才工作的关心和支持，切实加大对人才发展专项资金的投入。推进企业人才引进和培养政策的落实，及时兑现引进人才补贴、社会保险补贴。落实好相关扶持政策，健全人才住房、配偶安置、子女就学、社会保险等生活保障政策，优化申报程序，让更多人才享受政策优惠。加大国家和省各项人才政策宣传力度，积极深入基层、走进企业，协助指导企业开展人才项目申报，帮助企业和人才争取国家和省有关人才项目支持。</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促进人力资源服务业发展</w:t>
      </w:r>
      <w:r>
        <w:rPr>
          <w:rFonts w:eastAsia="方正仿宋简体"/>
          <w:color w:val="000000" w:themeColor="text1"/>
          <w14:textFill>
            <w14:solidFill>
              <w14:schemeClr w14:val="tx1"/>
            </w14:solidFill>
          </w14:textFill>
        </w:rPr>
        <w:t>。坚持“市场主导、政府推动，融合创新、集聚发展，促进交流、开放合作”的原则，以产业引导、政策扶持和环境营造为重点，健全管理制度，完善服务体系，提高服务质量，推动人力资源服务业快速发展。整合优化现有人力资源服务市场，推进我县人力资源服务产业园建设。推动人力资源服务和互联网的深度融合，持续推动人力资源服务行业诚信体系建设。到2025年全县人力资源服务机构总数达到2</w:t>
      </w:r>
      <w:r>
        <w:rPr>
          <w:rFonts w:hint="eastAsia" w:eastAsia="方正仿宋简体"/>
          <w:color w:val="000000" w:themeColor="text1"/>
          <w14:textFill>
            <w14:solidFill>
              <w14:schemeClr w14:val="tx1"/>
            </w14:solidFill>
          </w14:textFill>
        </w:rPr>
        <w:t>7</w:t>
      </w:r>
      <w:r>
        <w:rPr>
          <w:rFonts w:eastAsia="方正仿宋简体"/>
          <w:color w:val="000000" w:themeColor="text1"/>
          <w14:textFill>
            <w14:solidFill>
              <w14:schemeClr w14:val="tx1"/>
            </w14:solidFill>
          </w14:textFill>
        </w:rPr>
        <w:t>家</w:t>
      </w:r>
      <w:r>
        <w:rPr>
          <w:rFonts w:hint="eastAsia" w:eastAsia="方正仿宋简体"/>
          <w:color w:val="000000" w:themeColor="text1"/>
          <w14:textFill>
            <w14:solidFill>
              <w14:schemeClr w14:val="tx1"/>
            </w14:solidFill>
          </w14:textFill>
        </w:rPr>
        <w:t>，</w:t>
      </w:r>
      <w:r>
        <w:rPr>
          <w:rFonts w:eastAsia="方正仿宋简体"/>
          <w:color w:val="000000" w:themeColor="text1"/>
          <w14:textFill>
            <w14:solidFill>
              <w14:schemeClr w14:val="tx1"/>
            </w14:solidFill>
          </w14:textFill>
        </w:rPr>
        <w:t>产业规模达到2亿</w:t>
      </w:r>
      <w:r>
        <w:rPr>
          <w:rFonts w:hint="eastAsia" w:eastAsia="方正仿宋简体"/>
          <w:color w:val="000000" w:themeColor="text1"/>
          <w14:textFill>
            <w14:solidFill>
              <w14:schemeClr w14:val="tx1"/>
            </w14:solidFill>
          </w14:textFill>
        </w:rPr>
        <w:t>，</w:t>
      </w:r>
      <w:r>
        <w:rPr>
          <w:rFonts w:eastAsia="方正仿宋简体"/>
          <w:color w:val="000000" w:themeColor="text1"/>
          <w14:textFill>
            <w14:solidFill>
              <w14:schemeClr w14:val="tx1"/>
            </w14:solidFill>
          </w14:textFill>
        </w:rPr>
        <w:t>从业人员总量超过1</w:t>
      </w:r>
      <w:r>
        <w:rPr>
          <w:rFonts w:hint="eastAsia" w:eastAsia="方正仿宋简体"/>
          <w:color w:val="000000" w:themeColor="text1"/>
          <w14:textFill>
            <w14:solidFill>
              <w14:schemeClr w14:val="tx1"/>
            </w14:solidFill>
          </w14:textFill>
        </w:rPr>
        <w:t>8</w:t>
      </w:r>
      <w:r>
        <w:rPr>
          <w:rFonts w:eastAsia="方正仿宋简体"/>
          <w:color w:val="000000" w:themeColor="text1"/>
          <w14:textFill>
            <w14:solidFill>
              <w14:schemeClr w14:val="tx1"/>
            </w14:solidFill>
          </w14:textFill>
        </w:rPr>
        <w:t>0人。</w:t>
      </w:r>
      <w:bookmarkStart w:id="38" w:name="_Toc93738269"/>
    </w:p>
    <w:bookmarkEnd w:id="38"/>
    <w:p>
      <w:pPr>
        <w:pStyle w:val="3"/>
        <w:spacing w:line="580" w:lineRule="exact"/>
        <w:rPr>
          <w:rFonts w:ascii="方正小标宋简体" w:hAnsi="方正小标宋简体" w:eastAsia="方正小标宋简体" w:cs="方正小标宋简体"/>
          <w:b w:val="0"/>
          <w:bCs/>
          <w:color w:val="000000" w:themeColor="text1"/>
          <w14:textFill>
            <w14:solidFill>
              <w14:schemeClr w14:val="tx1"/>
            </w14:solidFill>
          </w14:textFill>
        </w:rPr>
      </w:pPr>
      <w:r>
        <w:rPr>
          <w:rFonts w:hint="eastAsia" w:ascii="方正小标宋简体" w:hAnsi="方正小标宋简体" w:eastAsia="方正小标宋简体" w:cs="方正小标宋简体"/>
          <w:b w:val="0"/>
          <w:bCs/>
          <w:color w:val="000000" w:themeColor="text1"/>
          <w14:textFill>
            <w14:solidFill>
              <w14:schemeClr w14:val="tx1"/>
            </w14:solidFill>
          </w14:textFill>
        </w:rPr>
        <w:t>第七章  推动技工</w:t>
      </w:r>
      <w:r>
        <w:rPr>
          <w:rFonts w:hint="eastAsia" w:ascii="方正小标宋简体" w:hAnsi="方正小标宋简体" w:eastAsia="方正小标宋简体" w:cs="方正小标宋简体"/>
          <w:color w:val="000000" w:themeColor="text1"/>
          <w14:textFill>
            <w14:solidFill>
              <w14:schemeClr w14:val="tx1"/>
            </w14:solidFill>
          </w14:textFill>
        </w:rPr>
        <w:t>学</w:t>
      </w:r>
      <w:r>
        <w:rPr>
          <w:rFonts w:hint="eastAsia" w:ascii="方正小标宋简体" w:hAnsi="方正小标宋简体" w:eastAsia="方正小标宋简体" w:cs="方正小标宋简体"/>
          <w:b w:val="0"/>
          <w:bCs/>
          <w:color w:val="000000" w:themeColor="text1"/>
          <w14:textFill>
            <w14:solidFill>
              <w14:schemeClr w14:val="tx1"/>
            </w14:solidFill>
          </w14:textFill>
        </w:rPr>
        <w:t>校高质量发展</w:t>
      </w:r>
    </w:p>
    <w:p>
      <w:pPr>
        <w:spacing w:line="580" w:lineRule="exact"/>
        <w:ind w:firstLine="640" w:firstLineChars="200"/>
        <w:rPr>
          <w:color w:val="000000" w:themeColor="text1"/>
          <w14:textFill>
            <w14:solidFill>
              <w14:schemeClr w14:val="tx1"/>
            </w14:solidFill>
          </w14:textFill>
        </w:rPr>
      </w:pPr>
      <w:r>
        <w:rPr>
          <w:rFonts w:eastAsia="方正仿宋简体"/>
          <w:color w:val="000000" w:themeColor="text1"/>
          <w14:textFill>
            <w14:solidFill>
              <w14:schemeClr w14:val="tx1"/>
            </w14:solidFill>
          </w14:textFill>
        </w:rPr>
        <w:t>紧密对接我县现代产业体系发展，优化调整技工</w:t>
      </w:r>
      <w:r>
        <w:rPr>
          <w:rFonts w:hint="eastAsia" w:eastAsia="方正仿宋简体"/>
          <w:color w:val="000000" w:themeColor="text1"/>
          <w14:textFill>
            <w14:solidFill>
              <w14:schemeClr w14:val="tx1"/>
            </w14:solidFill>
          </w14:textFill>
        </w:rPr>
        <w:t>学</w:t>
      </w:r>
      <w:r>
        <w:rPr>
          <w:rFonts w:eastAsia="方正仿宋简体"/>
          <w:color w:val="000000" w:themeColor="text1"/>
          <w14:textFill>
            <w14:solidFill>
              <w14:schemeClr w14:val="tx1"/>
            </w14:solidFill>
          </w14:textFill>
        </w:rPr>
        <w:t>校布局和专业设置，努力建立办学理念先进、体制机制灵活、规模结构合理、办学特色鲜明、与我县产业体系发展相匹配、与社会高质量就业相适应的现代技工教育系统，推动我县成为现代产业工人基地和高技能人才培养高地。</w:t>
      </w:r>
    </w:p>
    <w:p>
      <w:pPr>
        <w:pStyle w:val="2"/>
        <w:spacing w:line="560" w:lineRule="exact"/>
        <w:rPr>
          <w:rFonts w:ascii="黑体" w:hAnsi="黑体" w:eastAsia="黑体" w:cs="黑体"/>
          <w:b w:val="0"/>
          <w:bCs/>
          <w:color w:val="000000" w:themeColor="text1"/>
          <w14:textFill>
            <w14:solidFill>
              <w14:schemeClr w14:val="tx1"/>
            </w14:solidFill>
          </w14:textFill>
        </w:rPr>
      </w:pPr>
      <w:bookmarkStart w:id="39" w:name="_Toc93738270"/>
      <w:r>
        <w:rPr>
          <w:rFonts w:hint="eastAsia" w:ascii="黑体" w:hAnsi="黑体" w:eastAsia="黑体" w:cs="黑体"/>
          <w:b w:val="0"/>
          <w:bCs/>
          <w:color w:val="000000" w:themeColor="text1"/>
          <w14:textFill>
            <w14:solidFill>
              <w14:schemeClr w14:val="tx1"/>
            </w14:solidFill>
          </w14:textFill>
        </w:rPr>
        <w:t>第一节 优化技工学校专业设置</w:t>
      </w:r>
      <w:bookmarkEnd w:id="39"/>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优化技工学校发展建设。</w:t>
      </w:r>
      <w:r>
        <w:rPr>
          <w:rFonts w:eastAsia="方正仿宋简体"/>
          <w:color w:val="000000" w:themeColor="text1"/>
          <w14:textFill>
            <w14:solidFill>
              <w14:schemeClr w14:val="tx1"/>
            </w14:solidFill>
          </w14:textFill>
        </w:rPr>
        <w:t>优先支持技工学校建设，围绕梅州市5311产业集群发展和我县产业发展需要，加强技工学校建设，</w:t>
      </w:r>
      <w:r>
        <w:rPr>
          <w:rFonts w:eastAsia="方正仿宋简体"/>
        </w:rPr>
        <w:t>力争2021年创建省重点技工学校，</w:t>
      </w:r>
      <w:r>
        <w:rPr>
          <w:rFonts w:eastAsia="方正仿宋简体"/>
          <w:color w:val="000000" w:themeColor="text1"/>
          <w14:textFill>
            <w14:solidFill>
              <w14:schemeClr w14:val="tx1"/>
            </w14:solidFill>
          </w14:textFill>
        </w:rPr>
        <w:t>同时加强技工学校的管理，对照高等职业院校设置标准，不断推进技工学校软件和硬件建设，通过五年建设，力争2025年达到</w:t>
      </w:r>
      <w:r>
        <w:rPr>
          <w:rFonts w:hint="eastAsia" w:eastAsia="方正仿宋简体"/>
          <w:color w:val="000000" w:themeColor="text1"/>
          <w14:textFill>
            <w14:solidFill>
              <w14:schemeClr w14:val="tx1"/>
            </w14:solidFill>
          </w14:textFill>
        </w:rPr>
        <w:t>高级技工学校</w:t>
      </w:r>
      <w:r>
        <w:rPr>
          <w:rFonts w:eastAsia="方正仿宋简体"/>
          <w:color w:val="000000" w:themeColor="text1"/>
          <w14:textFill>
            <w14:solidFill>
              <w14:schemeClr w14:val="tx1"/>
            </w14:solidFill>
          </w14:textFill>
        </w:rPr>
        <w:t>办学水平。</w:t>
      </w:r>
    </w:p>
    <w:p>
      <w:pPr>
        <w:spacing w:line="580" w:lineRule="exact"/>
        <w:ind w:firstLine="643" w:firstLineChars="200"/>
        <w:rPr>
          <w:rFonts w:eastAsia="方正仿宋简体"/>
          <w:b/>
          <w:color w:val="FF0000"/>
        </w:rPr>
      </w:pPr>
      <w:r>
        <w:rPr>
          <w:rFonts w:eastAsia="方正仿宋简体"/>
          <w:b/>
          <w:color w:val="000000" w:themeColor="text1"/>
          <w14:textFill>
            <w14:solidFill>
              <w14:schemeClr w14:val="tx1"/>
            </w14:solidFill>
          </w14:textFill>
        </w:rPr>
        <w:t>优化技工学校专业格局。</w:t>
      </w:r>
      <w:r>
        <w:rPr>
          <w:rFonts w:eastAsia="方正仿宋简体"/>
          <w:color w:val="000000" w:themeColor="text1"/>
          <w14:textFill>
            <w14:solidFill>
              <w14:schemeClr w14:val="tx1"/>
            </w14:solidFill>
          </w14:textFill>
        </w:rPr>
        <w:t>加强县技工学校全面改革规划，通过资源整合和强基提质，提高办学水平和办学条件。围绕我县产业集群发展，</w:t>
      </w:r>
      <w:r>
        <w:rPr>
          <w:rFonts w:hint="eastAsia" w:eastAsia="方正仿宋简体"/>
          <w:bCs/>
          <w:kern w:val="0"/>
        </w:rPr>
        <w:t>将口腔义齿制造、电子商务、烹饪、护理等骨干专业打造成建设理念领先、培养模式先进、工学结合特色鲜明、师资结构合理、教学条件优良的地方特色品牌专业，建成1-2个省级示范性专业，形成独具特色品牌专业的办学模式。至2025年，技工学校专业设置达到15个，在校生规模达到6000人。</w:t>
      </w:r>
      <w:r>
        <w:rPr>
          <w:rFonts w:eastAsia="方正仿宋简体"/>
          <w:b/>
        </w:rPr>
        <w:t xml:space="preserve"> </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优化技工人才培养层次。</w:t>
      </w:r>
      <w:r>
        <w:rPr>
          <w:rFonts w:eastAsia="方正仿宋简体"/>
          <w:color w:val="000000" w:themeColor="text1"/>
          <w14:textFill>
            <w14:solidFill>
              <w14:schemeClr w14:val="tx1"/>
            </w14:solidFill>
          </w14:textFill>
        </w:rPr>
        <w:t>学制教育在校生规模达到较高水平，并与当年社会培训规模比例达到1:1 左右，鼓励技工学校学生到技师学院或高职学院深造，毕业生就业率保持在95%以上。积极推行毕业生“双证书”制度，鼓励学生在获得学历证书的同时，积极考取多种职业技能等级证书。</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实施企业新型学徒制和企业适岗培训计划。</w:t>
      </w:r>
      <w:r>
        <w:rPr>
          <w:rFonts w:eastAsia="方正仿宋简体"/>
          <w:bCs/>
          <w:color w:val="000000" w:themeColor="text1"/>
          <w14:textFill>
            <w14:solidFill>
              <w14:schemeClr w14:val="tx1"/>
            </w14:solidFill>
          </w14:textFill>
        </w:rPr>
        <w:t>按照省、市推行企业新型学徒制培训工作要求，大力实施企业新型学徒制培训。结合我县重点用工企业的实际需求，推行招工即招生、招生即招工、校企双制培养为主要内容的企业新型学徒制培训，进一步提高我县企业</w:t>
      </w:r>
      <w:r>
        <w:rPr>
          <w:rFonts w:hint="eastAsia" w:eastAsia="方正仿宋简体"/>
          <w:bCs/>
          <w:color w:val="000000" w:themeColor="text1"/>
          <w14:textFill>
            <w14:solidFill>
              <w14:schemeClr w14:val="tx1"/>
            </w14:solidFill>
          </w14:textFill>
        </w:rPr>
        <w:t>职工</w:t>
      </w:r>
      <w:r>
        <w:rPr>
          <w:rFonts w:eastAsia="方正仿宋简体"/>
          <w:bCs/>
          <w:color w:val="000000" w:themeColor="text1"/>
          <w14:textFill>
            <w14:solidFill>
              <w14:schemeClr w14:val="tx1"/>
            </w14:solidFill>
          </w14:textFill>
        </w:rPr>
        <w:t>的技能水平。</w:t>
      </w:r>
    </w:p>
    <w:p>
      <w:pPr>
        <w:pStyle w:val="2"/>
        <w:spacing w:line="560" w:lineRule="exact"/>
        <w:rPr>
          <w:rFonts w:ascii="黑体" w:hAnsi="黑体" w:eastAsia="黑体" w:cs="黑体"/>
          <w:b w:val="0"/>
          <w:bCs/>
          <w:color w:val="000000" w:themeColor="text1"/>
          <w14:textFill>
            <w14:solidFill>
              <w14:schemeClr w14:val="tx1"/>
            </w14:solidFill>
          </w14:textFill>
        </w:rPr>
      </w:pPr>
      <w:bookmarkStart w:id="40" w:name="_Toc93738271"/>
      <w:r>
        <w:rPr>
          <w:rFonts w:hint="eastAsia" w:ascii="黑体" w:hAnsi="黑体" w:eastAsia="黑体" w:cs="黑体"/>
          <w:b w:val="0"/>
          <w:bCs/>
          <w:color w:val="000000" w:themeColor="text1"/>
          <w14:textFill>
            <w14:solidFill>
              <w14:schemeClr w14:val="tx1"/>
            </w14:solidFill>
          </w14:textFill>
        </w:rPr>
        <w:t>第二节 提升技工教育发展质量</w:t>
      </w:r>
      <w:bookmarkEnd w:id="40"/>
    </w:p>
    <w:p>
      <w:pPr>
        <w:spacing w:line="580" w:lineRule="exact"/>
        <w:ind w:firstLine="643" w:firstLineChars="200"/>
        <w:rPr>
          <w:rFonts w:eastAsia="方正仿宋简体"/>
          <w:color w:val="FF0000"/>
        </w:rPr>
      </w:pPr>
      <w:r>
        <w:rPr>
          <w:rFonts w:eastAsia="方正仿宋简体"/>
          <w:b/>
          <w:color w:val="000000" w:themeColor="text1"/>
          <w14:textFill>
            <w14:solidFill>
              <w14:schemeClr w14:val="tx1"/>
            </w14:solidFill>
          </w14:textFill>
        </w:rPr>
        <w:t>适度引进高水平师资。</w:t>
      </w:r>
      <w:r>
        <w:rPr>
          <w:rFonts w:eastAsia="方正仿宋简体"/>
          <w:color w:val="000000" w:themeColor="text1"/>
          <w14:textFill>
            <w14:solidFill>
              <w14:schemeClr w14:val="tx1"/>
            </w14:solidFill>
          </w14:textFill>
        </w:rPr>
        <w:t>全面落实教师轮训制度。在广东省“百千万”名师领航计划中，争取打造1-2 名广东省技术能手、5名左右具有国际视野、技能精湛、师德高尚的教学能手。建立技工</w:t>
      </w:r>
      <w:r>
        <w:rPr>
          <w:rFonts w:hint="eastAsia" w:eastAsia="方正仿宋简体"/>
          <w:color w:val="000000" w:themeColor="text1"/>
          <w14:textFill>
            <w14:solidFill>
              <w14:schemeClr w14:val="tx1"/>
            </w14:solidFill>
          </w14:textFill>
        </w:rPr>
        <w:t>学</w:t>
      </w:r>
      <w:r>
        <w:rPr>
          <w:rFonts w:eastAsia="方正仿宋简体"/>
          <w:color w:val="000000" w:themeColor="text1"/>
          <w14:textFill>
            <w14:solidFill>
              <w14:schemeClr w14:val="tx1"/>
            </w14:solidFill>
          </w14:textFill>
        </w:rPr>
        <w:t>校教师与企业专业技术人员相互兼职制度，经学校或企业同意，根据有关规定和双方约定确定薪酬。同时鼓励技工</w:t>
      </w:r>
      <w:r>
        <w:rPr>
          <w:rFonts w:hint="eastAsia" w:eastAsia="方正仿宋简体"/>
          <w:color w:val="000000" w:themeColor="text1"/>
          <w14:textFill>
            <w14:solidFill>
              <w14:schemeClr w14:val="tx1"/>
            </w14:solidFill>
          </w14:textFill>
        </w:rPr>
        <w:t>学</w:t>
      </w:r>
      <w:r>
        <w:rPr>
          <w:rFonts w:eastAsia="方正仿宋简体"/>
          <w:color w:val="000000" w:themeColor="text1"/>
          <w14:textFill>
            <w14:solidFill>
              <w14:schemeClr w14:val="tx1"/>
            </w14:solidFill>
          </w14:textFill>
        </w:rPr>
        <w:t>校教学科研人员参与国际国内合作，鼓励技工</w:t>
      </w:r>
      <w:r>
        <w:rPr>
          <w:rFonts w:hint="eastAsia" w:eastAsia="方正仿宋简体"/>
          <w:color w:val="000000" w:themeColor="text1"/>
          <w14:textFill>
            <w14:solidFill>
              <w14:schemeClr w14:val="tx1"/>
            </w14:solidFill>
          </w14:textFill>
        </w:rPr>
        <w:t>学</w:t>
      </w:r>
      <w:r>
        <w:rPr>
          <w:rFonts w:eastAsia="方正仿宋简体"/>
          <w:color w:val="000000" w:themeColor="text1"/>
          <w14:textFill>
            <w14:solidFill>
              <w14:schemeClr w14:val="tx1"/>
            </w14:solidFill>
          </w14:textFill>
        </w:rPr>
        <w:t>校引进高层次人才充实师资队伍。</w:t>
      </w:r>
      <w:r>
        <w:rPr>
          <w:rFonts w:hint="eastAsia" w:eastAsia="方正仿宋简体"/>
        </w:rPr>
        <w:t>力争到2025年引进博士3名、硕士研究生20名。</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健全专业动态调整机制。</w:t>
      </w:r>
      <w:r>
        <w:rPr>
          <w:rFonts w:eastAsia="方正仿宋简体"/>
          <w:color w:val="000000" w:themeColor="text1"/>
          <w14:textFill>
            <w14:solidFill>
              <w14:schemeClr w14:val="tx1"/>
            </w14:solidFill>
          </w14:textFill>
        </w:rPr>
        <w:t>根据各专业招生、培养和就业情况，建立健全专业动态调整机制，推进县技工学校专业建设质量的提高，争取在省级示范性专业建设中建成1-2个品牌专业。</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强化校企合作。</w:t>
      </w:r>
      <w:r>
        <w:rPr>
          <w:rFonts w:eastAsia="方正仿宋简体"/>
          <w:color w:val="000000" w:themeColor="text1"/>
          <w14:textFill>
            <w14:solidFill>
              <w14:schemeClr w14:val="tx1"/>
            </w14:solidFill>
          </w14:textFill>
        </w:rPr>
        <w:t>鼓励技工</w:t>
      </w:r>
      <w:r>
        <w:rPr>
          <w:rFonts w:hint="eastAsia" w:eastAsia="方正仿宋简体"/>
          <w:color w:val="000000" w:themeColor="text1"/>
          <w14:textFill>
            <w14:solidFill>
              <w14:schemeClr w14:val="tx1"/>
            </w14:solidFill>
          </w14:textFill>
        </w:rPr>
        <w:t>学</w:t>
      </w:r>
      <w:r>
        <w:rPr>
          <w:rFonts w:eastAsia="方正仿宋简体"/>
          <w:color w:val="000000" w:themeColor="text1"/>
          <w14:textFill>
            <w14:solidFill>
              <w14:schemeClr w14:val="tx1"/>
            </w14:solidFill>
          </w14:textFill>
        </w:rPr>
        <w:t>校与行业、企业联合培养人才，联合建设实践教学基地、实训中心、职工培训中心等，促进企业主动参与技工学校的人才培养，促进技工学校按企业要求实现订单式人才培养，并为企业员工开发和提供相应培训课程。</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深化招生制度改革。</w:t>
      </w:r>
      <w:r>
        <w:rPr>
          <w:rFonts w:eastAsia="方正仿宋简体"/>
          <w:color w:val="000000" w:themeColor="text1"/>
          <w14:textFill>
            <w14:solidFill>
              <w14:schemeClr w14:val="tx1"/>
            </w14:solidFill>
          </w14:textFill>
        </w:rPr>
        <w:t>在国家提出高等职业院校扩招的背景下，鼓励技工学校联合相关高等职业院校办学，作为其继续教育办学点共同承担扩招任务，同时推进技工学校扩大生源，提高生源质量。</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提升技能人才培养质量。</w:t>
      </w:r>
      <w:r>
        <w:rPr>
          <w:rFonts w:eastAsia="方正仿宋简体"/>
          <w:color w:val="000000" w:themeColor="text1"/>
          <w14:textFill>
            <w14:solidFill>
              <w14:schemeClr w14:val="tx1"/>
            </w14:solidFill>
          </w14:textFill>
        </w:rPr>
        <w:t>推行学生评价改革，创新实施毕业生“双证书”制度，鼓励学生考取多种职业技能等能证书。深化教育教学改革，提升学生实操水平，加强学生就业创业教育和指导服务，增强学生职业综合素养，实现毕业生就业率和用人单位满意度保持在95%以上。</w:t>
      </w:r>
    </w:p>
    <w:p>
      <w:pPr>
        <w:pStyle w:val="2"/>
        <w:spacing w:line="560" w:lineRule="exact"/>
        <w:rPr>
          <w:rFonts w:ascii="黑体" w:hAnsi="黑体" w:eastAsia="黑体" w:cs="黑体"/>
          <w:b w:val="0"/>
          <w:bCs/>
          <w:color w:val="000000" w:themeColor="text1"/>
          <w14:textFill>
            <w14:solidFill>
              <w14:schemeClr w14:val="tx1"/>
            </w14:solidFill>
          </w14:textFill>
        </w:rPr>
      </w:pPr>
      <w:bookmarkStart w:id="41" w:name="_Toc93738272"/>
      <w:r>
        <w:rPr>
          <w:rFonts w:hint="eastAsia" w:ascii="黑体" w:hAnsi="黑体" w:eastAsia="黑体" w:cs="黑体"/>
          <w:b w:val="0"/>
          <w:bCs/>
          <w:color w:val="000000" w:themeColor="text1"/>
          <w14:textFill>
            <w14:solidFill>
              <w14:schemeClr w14:val="tx1"/>
            </w14:solidFill>
          </w14:textFill>
        </w:rPr>
        <w:t>第三节 促进技工学校服务地方经济</w:t>
      </w:r>
      <w:bookmarkEnd w:id="41"/>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实施服务我县特色产业行动。</w:t>
      </w:r>
      <w:r>
        <w:rPr>
          <w:rFonts w:eastAsia="方正仿宋简体"/>
        </w:rPr>
        <w:t>支持技工学校为我县高质量构建“</w:t>
      </w:r>
      <w:r>
        <w:rPr>
          <w:rFonts w:hint="eastAsia" w:eastAsia="方正仿宋简体"/>
        </w:rPr>
        <w:t>一城</w:t>
      </w:r>
      <w:r>
        <w:rPr>
          <w:rFonts w:eastAsia="方正仿宋简体"/>
        </w:rPr>
        <w:t>两带四区”发展新格局，</w:t>
      </w:r>
      <w:r>
        <w:rPr>
          <w:rFonts w:eastAsia="方正仿宋简体"/>
          <w:color w:val="000000" w:themeColor="text1"/>
          <w14:textFill>
            <w14:solidFill>
              <w14:schemeClr w14:val="tx1"/>
            </w14:solidFill>
          </w14:textFill>
        </w:rPr>
        <w:t>传承和壮大我县“石匠”“牙匠”“客家菜”等特色工匠技艺，在人才培养与社会服务方面实施特别行动，</w:t>
      </w:r>
      <w:r>
        <w:rPr>
          <w:rFonts w:eastAsia="方正仿宋简体"/>
        </w:rPr>
        <w:t>继续加大县技工学校“建筑施工”“口腔义齿制造”“烹饪”等省重点专业的建设力度，</w:t>
      </w:r>
      <w:r>
        <w:rPr>
          <w:rFonts w:eastAsia="方正仿宋简体"/>
          <w:color w:val="000000" w:themeColor="text1"/>
          <w14:textFill>
            <w14:solidFill>
              <w14:schemeClr w14:val="tx1"/>
            </w14:solidFill>
          </w14:textFill>
        </w:rPr>
        <w:t>扩大招生规模，不断提高培养质量，为我县产业化结构调整，建设“工匠之乡</w:t>
      </w:r>
      <w:r>
        <w:rPr>
          <w:rFonts w:hint="eastAsia" w:eastAsia="方正仿宋简体"/>
          <w:color w:val="505050"/>
        </w:rPr>
        <w:t>·</w:t>
      </w:r>
      <w:r>
        <w:rPr>
          <w:rFonts w:eastAsia="方正仿宋简体"/>
          <w:color w:val="000000" w:themeColor="text1"/>
          <w14:textFill>
            <w14:solidFill>
              <w14:schemeClr w14:val="tx1"/>
            </w14:solidFill>
          </w14:textFill>
        </w:rPr>
        <w:t>宜居五华”提供人才支撑，不断增强我县经济建设的服务能力。</w:t>
      </w:r>
    </w:p>
    <w:p>
      <w:pPr>
        <w:spacing w:line="580" w:lineRule="exact"/>
        <w:ind w:firstLine="643" w:firstLineChars="200"/>
        <w:rPr>
          <w:rFonts w:eastAsia="方正仿宋简体"/>
          <w:b/>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开展具有特色的技能培训。</w:t>
      </w:r>
      <w:r>
        <w:rPr>
          <w:rFonts w:eastAsia="方正仿宋简体"/>
          <w:color w:val="000000" w:themeColor="text1"/>
          <w14:textFill>
            <w14:solidFill>
              <w14:schemeClr w14:val="tx1"/>
            </w14:solidFill>
          </w14:textFill>
        </w:rPr>
        <w:t>大力实施“粤菜师傅”和“南粤家政”工程，加强专业、场地、设施、师资等建设，大规模培养“粤菜师傅”和母婴、居家、养老、医护服务家政人员。完善帮扶机制，使有意愿的困难家庭子女100%得到免费技工教育和技能晋升培训，100%推荐就业。</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落实技工</w:t>
      </w:r>
      <w:r>
        <w:rPr>
          <w:rFonts w:hint="eastAsia" w:eastAsia="方正仿宋简体"/>
          <w:b/>
          <w:color w:val="000000" w:themeColor="text1"/>
          <w14:textFill>
            <w14:solidFill>
              <w14:schemeClr w14:val="tx1"/>
            </w14:solidFill>
          </w14:textFill>
        </w:rPr>
        <w:t>学</w:t>
      </w:r>
      <w:r>
        <w:rPr>
          <w:rFonts w:eastAsia="方正仿宋简体"/>
          <w:b/>
          <w:color w:val="000000" w:themeColor="text1"/>
          <w14:textFill>
            <w14:solidFill>
              <w14:schemeClr w14:val="tx1"/>
            </w14:solidFill>
          </w14:textFill>
        </w:rPr>
        <w:t>校毕业生待遇。</w:t>
      </w:r>
      <w:r>
        <w:rPr>
          <w:rFonts w:eastAsia="方正仿宋简体"/>
          <w:color w:val="000000" w:themeColor="text1"/>
          <w14:textFill>
            <w14:solidFill>
              <w14:schemeClr w14:val="tx1"/>
            </w14:solidFill>
          </w14:textFill>
        </w:rPr>
        <w:t>对技工</w:t>
      </w:r>
      <w:r>
        <w:rPr>
          <w:rFonts w:hint="eastAsia" w:eastAsia="方正仿宋简体"/>
          <w:color w:val="000000" w:themeColor="text1"/>
          <w14:textFill>
            <w14:solidFill>
              <w14:schemeClr w14:val="tx1"/>
            </w14:solidFill>
          </w14:textFill>
        </w:rPr>
        <w:t>学</w:t>
      </w:r>
      <w:r>
        <w:rPr>
          <w:rFonts w:eastAsia="方正仿宋简体"/>
          <w:color w:val="000000" w:themeColor="text1"/>
          <w14:textFill>
            <w14:solidFill>
              <w14:schemeClr w14:val="tx1"/>
            </w14:solidFill>
          </w14:textFill>
        </w:rPr>
        <w:t>校中级技工班、高级技工班、预备技师（技师）班毕业生，在公务员录用、企事业单位招聘、确定工资起点标准、职称评审、职位晋升、专业技术资格考试、就业创业扶持、“三支一扶”招募、应征入伍等方面，分别按中专、大专、本科学历人员对待。</w:t>
      </w:r>
    </w:p>
    <w:p>
      <w:pPr>
        <w:pStyle w:val="2"/>
        <w:spacing w:line="560" w:lineRule="exact"/>
        <w:rPr>
          <w:rFonts w:ascii="黑体" w:hAnsi="黑体" w:eastAsia="黑体" w:cs="黑体"/>
          <w:b w:val="0"/>
          <w:bCs/>
          <w:color w:val="000000" w:themeColor="text1"/>
          <w14:textFill>
            <w14:solidFill>
              <w14:schemeClr w14:val="tx1"/>
            </w14:solidFill>
          </w14:textFill>
        </w:rPr>
      </w:pPr>
      <w:r>
        <w:rPr>
          <w:rFonts w:hint="eastAsia" w:ascii="黑体" w:hAnsi="黑体" w:eastAsia="黑体" w:cs="黑体"/>
          <w:b w:val="0"/>
          <w:bCs/>
          <w:color w:val="000000" w:themeColor="text1"/>
          <w14:textFill>
            <w14:solidFill>
              <w14:schemeClr w14:val="tx1"/>
            </w14:solidFill>
          </w14:textFill>
        </w:rPr>
        <w:t>第四节 加强技工教育基础建设</w:t>
      </w:r>
    </w:p>
    <w:p>
      <w:pPr>
        <w:widowControl/>
        <w:kinsoku w:val="0"/>
        <w:autoSpaceDE w:val="0"/>
        <w:autoSpaceDN w:val="0"/>
        <w:adjustRightInd w:val="0"/>
        <w:snapToGrid w:val="0"/>
        <w:spacing w:line="540" w:lineRule="exact"/>
        <w:ind w:firstLine="635"/>
        <w:textAlignment w:val="baseline"/>
        <w:rPr>
          <w:rFonts w:eastAsia="方正仿宋简体"/>
        </w:rPr>
      </w:pPr>
      <w:r>
        <w:rPr>
          <w:rFonts w:eastAsia="方正仿宋简体"/>
          <w:b/>
        </w:rPr>
        <w:t>加强技工学校党组织建设。</w:t>
      </w:r>
      <w:r>
        <w:rPr>
          <w:rFonts w:eastAsia="方正仿宋简体"/>
          <w:spacing w:val="-6"/>
        </w:rPr>
        <w:t>推动实现技工学校党组织建设全</w:t>
      </w:r>
      <w:r>
        <w:rPr>
          <w:rFonts w:eastAsia="方正仿宋简体"/>
          <w:spacing w:val="10"/>
        </w:rPr>
        <w:t xml:space="preserve"> </w:t>
      </w:r>
      <w:r>
        <w:rPr>
          <w:rFonts w:eastAsia="方正仿宋简体"/>
          <w:spacing w:val="-6"/>
        </w:rPr>
        <w:t>覆盖，在技工学校实行党支部领导的校长负责制。进一步加强学校党建工作领导和党务工作队伍建设。把党的领导贯穿办学治校、教书育人全过程，引领学校德育和思想政治工作，培育和指引广大师生践行社会主义核心价值观。</w:t>
      </w:r>
    </w:p>
    <w:p>
      <w:pPr>
        <w:widowControl/>
        <w:kinsoku w:val="0"/>
        <w:autoSpaceDE w:val="0"/>
        <w:autoSpaceDN w:val="0"/>
        <w:adjustRightInd w:val="0"/>
        <w:snapToGrid w:val="0"/>
        <w:spacing w:line="540" w:lineRule="exact"/>
        <w:ind w:firstLine="650"/>
        <w:textAlignment w:val="baseline"/>
        <w:rPr>
          <w:rFonts w:eastAsia="方正仿宋简体"/>
          <w:spacing w:val="-6"/>
        </w:rPr>
      </w:pPr>
      <w:r>
        <w:rPr>
          <w:rFonts w:eastAsia="方正仿宋简体"/>
          <w:b/>
        </w:rPr>
        <w:t>强化思想政治理论课建设。</w:t>
      </w:r>
      <w:r>
        <w:rPr>
          <w:rFonts w:eastAsia="方正仿宋简体"/>
          <w:spacing w:val="-6"/>
        </w:rPr>
        <w:t>落实全员全过程全方位育人，全面统筹技工学校育人资源，教育引导青少年学生增强爱党爱国意识。落实思政课建设责任制，加强技工学校思政课教师队伍建设，培养思政课名师，培训专兼职思政课教师。加强思政课教育教学改革，推进思政课程规范化，完善思政课程体系，加强教学研究。</w:t>
      </w:r>
      <w:r>
        <w:rPr>
          <w:rFonts w:hint="eastAsia" w:eastAsia="方正仿宋简体"/>
          <w:spacing w:val="-6"/>
        </w:rPr>
        <w:t xml:space="preserve"> </w:t>
      </w:r>
    </w:p>
    <w:p>
      <w:pPr>
        <w:widowControl/>
        <w:kinsoku w:val="0"/>
        <w:autoSpaceDE w:val="0"/>
        <w:autoSpaceDN w:val="0"/>
        <w:adjustRightInd w:val="0"/>
        <w:snapToGrid w:val="0"/>
        <w:spacing w:line="540" w:lineRule="exact"/>
        <w:ind w:firstLine="650"/>
        <w:textAlignment w:val="baseline"/>
        <w:rPr>
          <w:rFonts w:eastAsia="方正仿宋简体"/>
          <w:spacing w:val="-6"/>
        </w:rPr>
      </w:pPr>
      <w:r>
        <w:rPr>
          <w:rFonts w:eastAsia="方正仿宋简体"/>
          <w:b/>
        </w:rPr>
        <w:t>加强高水平师资队伍建设。</w:t>
      </w:r>
      <w:r>
        <w:rPr>
          <w:rFonts w:eastAsia="方正仿宋简体"/>
          <w:spacing w:val="-6"/>
        </w:rPr>
        <w:t>推进技工学校人事制度改革，扩大人事管理自主权，完善绩效工资激励机制，落实教师全员轮训制度。鼓励技工学校引进优秀高层次人才和高技能人才，培养教学能手。鼓励技工学校和县内外企业共建教师培训基地，建立技工学校教师与企业专业技术人员相互兼职等常态化双向交流机制，校企联合培养“一体化”教师。把教师资格证书获取与教师在职培养结合起来，同时鼓励技工学校教师参与各项交流合作。</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8522" w:type="dxa"/>
            <w:shd w:val="clear" w:color="auto" w:fill="FFC000" w:themeFill="accent4"/>
            <w:vAlign w:val="center"/>
          </w:tcPr>
          <w:p>
            <w:pPr>
              <w:adjustRightInd w:val="0"/>
              <w:snapToGrid w:val="0"/>
              <w:jc w:val="center"/>
              <w:rPr>
                <w:color w:val="000000" w:themeColor="text1"/>
                <w:kern w:val="0"/>
                <w:sz w:val="28"/>
                <w:szCs w:val="28"/>
                <w14:textFill>
                  <w14:solidFill>
                    <w14:schemeClr w14:val="tx1"/>
                  </w14:solidFill>
                </w14:textFill>
              </w:rPr>
            </w:pPr>
            <w:r>
              <w:rPr>
                <w:rFonts w:hint="eastAsia" w:ascii="黑体" w:hAnsi="黑体" w:eastAsia="黑体" w:cs="黑体"/>
                <w:color w:val="000000" w:themeColor="text1"/>
                <w:kern w:val="0"/>
                <w:sz w:val="28"/>
                <w:szCs w:val="28"/>
                <w14:textFill>
                  <w14:solidFill>
                    <w14:schemeClr w14:val="tx1"/>
                  </w14:solidFill>
                </w14:textFill>
              </w:rPr>
              <w:t>专栏八  技工学校建设工程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spacing w:line="560" w:lineRule="exact"/>
              <w:ind w:firstLine="482" w:firstLineChars="200"/>
              <w:rPr>
                <w:rFonts w:eastAsia="方正仿宋简体"/>
              </w:rPr>
            </w:pPr>
            <w:r>
              <w:rPr>
                <w:rFonts w:eastAsia="方正仿宋简体"/>
                <w:b/>
                <w:bCs/>
                <w:color w:val="000000" w:themeColor="text1"/>
                <w:sz w:val="24"/>
                <w:szCs w:val="24"/>
                <w14:textFill>
                  <w14:solidFill>
                    <w14:schemeClr w14:val="tx1"/>
                  </w14:solidFill>
                </w14:textFill>
              </w:rPr>
              <w:t>五华县技工学校升级高级技工学校项目。</w:t>
            </w:r>
            <w:r>
              <w:rPr>
                <w:rFonts w:eastAsia="方正仿宋简体"/>
                <w:color w:val="000000" w:themeColor="text1"/>
                <w:sz w:val="24"/>
                <w:szCs w:val="24"/>
                <w14:textFill>
                  <w14:solidFill>
                    <w14:schemeClr w14:val="tx1"/>
                  </w14:solidFill>
                </w14:textFill>
              </w:rPr>
              <w:t>通过实施高技能公共实训基地暨技能竞赛集训基地项目建设，着力解决学校发展空间不足的问题，力争2025年达到高级技工学校办学水平。</w:t>
            </w:r>
          </w:p>
          <w:p>
            <w:pPr>
              <w:rPr>
                <w:rFonts w:eastAsia="方正仿宋简体"/>
                <w:color w:val="000000" w:themeColor="text1"/>
                <w:kern w:val="0"/>
                <w:sz w:val="24"/>
                <w:szCs w:val="24"/>
                <w14:textFill>
                  <w14:solidFill>
                    <w14:schemeClr w14:val="tx1"/>
                  </w14:solidFill>
                </w14:textFill>
              </w:rPr>
            </w:pPr>
          </w:p>
        </w:tc>
      </w:tr>
    </w:tbl>
    <w:p>
      <w:pPr>
        <w:pStyle w:val="3"/>
        <w:spacing w:line="580" w:lineRule="exact"/>
        <w:rPr>
          <w:rFonts w:ascii="方正小标宋简体" w:hAnsi="方正小标宋简体" w:eastAsia="方正小标宋简体" w:cs="方正小标宋简体"/>
          <w:b w:val="0"/>
          <w:bCs/>
          <w:color w:val="000000" w:themeColor="text1"/>
          <w14:textFill>
            <w14:solidFill>
              <w14:schemeClr w14:val="tx1"/>
            </w14:solidFill>
          </w14:textFill>
        </w:rPr>
      </w:pPr>
      <w:bookmarkStart w:id="42" w:name="_Toc93738273"/>
      <w:r>
        <w:rPr>
          <w:rFonts w:hint="eastAsia" w:ascii="方正小标宋简体" w:hAnsi="方正小标宋简体" w:eastAsia="方正小标宋简体" w:cs="方正小标宋简体"/>
          <w:b w:val="0"/>
          <w:bCs/>
          <w:color w:val="000000" w:themeColor="text1"/>
          <w14:textFill>
            <w14:solidFill>
              <w14:schemeClr w14:val="tx1"/>
            </w14:solidFill>
          </w14:textFill>
        </w:rPr>
        <w:t>第八章 形成更具活力的事业单位用人机制</w:t>
      </w:r>
      <w:bookmarkEnd w:id="42"/>
    </w:p>
    <w:p>
      <w:pPr>
        <w:spacing w:line="580" w:lineRule="exact"/>
        <w:ind w:firstLine="640" w:firstLineChars="200"/>
        <w:rPr>
          <w:rFonts w:ascii="方正仿宋简体" w:hAnsi="仿宋" w:eastAsia="方正仿宋简体" w:cs="仿宋"/>
        </w:rPr>
      </w:pPr>
      <w:r>
        <w:rPr>
          <w:rFonts w:hint="eastAsia" w:ascii="方正仿宋简体" w:hAnsi="仿宋" w:eastAsia="方正仿宋简体" w:cs="仿宋"/>
        </w:rPr>
        <w:t>以加快建立政事分开、事企分开、管办分离的事业单位人事管理机制为目标，不断推动事业单位人事制度改革，完善事业单位薪酬分配制度，提高事业单位人事管理法制化、科学化水平，以先进的人事管理促进事业单位提高工作效能。</w:t>
      </w:r>
    </w:p>
    <w:p>
      <w:pPr>
        <w:pStyle w:val="2"/>
        <w:spacing w:line="560" w:lineRule="exact"/>
        <w:rPr>
          <w:rFonts w:ascii="黑体" w:hAnsi="黑体" w:eastAsia="黑体" w:cs="黑体"/>
          <w:b w:val="0"/>
          <w:bCs/>
        </w:rPr>
      </w:pPr>
      <w:bookmarkStart w:id="43" w:name="_Toc59531941"/>
      <w:r>
        <w:rPr>
          <w:rFonts w:hint="eastAsia" w:ascii="黑体" w:hAnsi="黑体" w:eastAsia="黑体" w:cs="黑体"/>
          <w:b w:val="0"/>
          <w:bCs/>
        </w:rPr>
        <w:t>第一节 完善事业单位人事</w:t>
      </w:r>
      <w:bookmarkEnd w:id="43"/>
      <w:r>
        <w:rPr>
          <w:rFonts w:hint="eastAsia" w:ascii="黑体" w:hAnsi="黑体" w:eastAsia="黑体" w:cs="黑体"/>
          <w:b w:val="0"/>
          <w:bCs/>
        </w:rPr>
        <w:t>管理政策体系</w:t>
      </w:r>
    </w:p>
    <w:p>
      <w:pPr>
        <w:pStyle w:val="21"/>
        <w:tabs>
          <w:tab w:val="right" w:leader="dot" w:pos="8296"/>
        </w:tabs>
        <w:spacing w:line="580" w:lineRule="exact"/>
        <w:ind w:left="0" w:leftChars="0" w:firstLine="643" w:firstLineChars="200"/>
        <w:rPr>
          <w:rFonts w:ascii="方正仿宋简体" w:hAnsi="仿宋" w:eastAsia="方正仿宋简体"/>
        </w:rPr>
      </w:pPr>
      <w:r>
        <w:rPr>
          <w:rFonts w:hint="eastAsia" w:ascii="方正仿宋简体" w:hAnsi="仿宋" w:eastAsia="方正仿宋简体" w:cs="仿宋"/>
          <w:b/>
        </w:rPr>
        <w:t>完善岗位管理制度。</w:t>
      </w:r>
      <w:r>
        <w:rPr>
          <w:rFonts w:hint="eastAsia" w:ascii="方正仿宋简体" w:hAnsi="仿宋" w:eastAsia="方正仿宋简体"/>
        </w:rPr>
        <w:t>根据文化、教育、卫生等各行业事业单位岗位设置管理实施意见，建立和完善分类、分层、分规模的事业单位专业技术岗位结构比例范围及动态调整机制，盘活用好沉淀和低效配置的岗位资源。充分发挥聘用制度的基础性效应，强化聘用合同功能，打破不同类型岗位间人员流动壁垒。</w:t>
      </w:r>
    </w:p>
    <w:p>
      <w:pPr>
        <w:spacing w:line="580" w:lineRule="exact"/>
        <w:ind w:firstLine="643" w:firstLineChars="200"/>
        <w:rPr>
          <w:rFonts w:ascii="方正仿宋简体" w:hAnsi="仿宋" w:eastAsia="方正仿宋简体" w:cs="仿宋"/>
        </w:rPr>
      </w:pPr>
      <w:r>
        <w:rPr>
          <w:rFonts w:hint="eastAsia" w:ascii="方正仿宋简体" w:hAnsi="仿宋" w:eastAsia="方正仿宋简体" w:cs="仿宋"/>
          <w:b/>
        </w:rPr>
        <w:t>完善公开招聘制度。</w:t>
      </w:r>
      <w:r>
        <w:rPr>
          <w:rFonts w:hint="eastAsia" w:ascii="方正仿宋简体" w:hAnsi="仿宋" w:eastAsia="方正仿宋简体"/>
        </w:rPr>
        <w:t>全力提升招聘效能，持续优化专项招聘机制，推进事业单位人才资源均衡配置。进一步完善聘用合同制度，发挥聘用合同在人员聘用、待遇、考核、奖惩方面的基础性作用。推进和完善县以下事业单位管理岗位职员等级晋升制度改革，拓宽基层人才成长空间，促进人才要素自由流动。</w:t>
      </w:r>
    </w:p>
    <w:p>
      <w:pPr>
        <w:spacing w:line="580" w:lineRule="exact"/>
        <w:ind w:firstLine="643" w:firstLineChars="200"/>
        <w:rPr>
          <w:rFonts w:ascii="方正仿宋简体" w:hAnsi="仿宋" w:eastAsia="方正仿宋简体"/>
        </w:rPr>
      </w:pPr>
      <w:r>
        <w:rPr>
          <w:rFonts w:hint="eastAsia" w:ascii="方正仿宋简体" w:hAnsi="仿宋" w:eastAsia="方正仿宋简体" w:cs="仿宋"/>
          <w:b/>
        </w:rPr>
        <w:t>落实事业单位用人自主权。</w:t>
      </w:r>
      <w:r>
        <w:rPr>
          <w:rFonts w:hint="eastAsia" w:ascii="方正仿宋简体" w:hAnsi="仿宋" w:eastAsia="方正仿宋简体" w:cs="仿宋"/>
        </w:rPr>
        <w:t>在国家、省和市的政策规定和指导下，探索</w:t>
      </w:r>
      <w:r>
        <w:rPr>
          <w:rFonts w:hint="eastAsia" w:ascii="方正仿宋简体" w:hAnsi="仿宋" w:eastAsia="方正仿宋简体"/>
        </w:rPr>
        <w:t>推进部分事业单位自主设岗、自主招聘、自主考核、自主评审、自主聘用、自主分配等人事管理改革，赋予面向社会提供公益服务的事业单位更大自主权，建立健全事业单位人员交流管理办法。</w:t>
      </w:r>
    </w:p>
    <w:p>
      <w:pPr>
        <w:pStyle w:val="2"/>
        <w:spacing w:line="560" w:lineRule="exact"/>
        <w:rPr>
          <w:rFonts w:ascii="黑体" w:hAnsi="黑体" w:eastAsia="黑体" w:cs="黑体"/>
          <w:b w:val="0"/>
          <w:bCs/>
        </w:rPr>
      </w:pPr>
      <w:bookmarkStart w:id="44" w:name="_Toc59531942"/>
      <w:r>
        <w:rPr>
          <w:rFonts w:hint="eastAsia" w:ascii="黑体" w:hAnsi="黑体" w:eastAsia="黑体" w:cs="黑体"/>
          <w:b w:val="0"/>
          <w:bCs/>
        </w:rPr>
        <w:t>第二节 完善事业单位薪酬分配制度</w:t>
      </w:r>
      <w:bookmarkEnd w:id="44"/>
    </w:p>
    <w:p>
      <w:pPr>
        <w:spacing w:line="580" w:lineRule="exact"/>
        <w:ind w:firstLine="643" w:firstLineChars="200"/>
        <w:rPr>
          <w:rFonts w:ascii="方正仿宋简体" w:hAnsi="仿宋" w:eastAsia="方正仿宋简体" w:cs="仿宋"/>
        </w:rPr>
      </w:pPr>
      <w:r>
        <w:rPr>
          <w:rFonts w:hint="eastAsia" w:ascii="方正仿宋简体" w:hAnsi="仿宋" w:eastAsia="方正仿宋简体" w:cs="仿宋"/>
          <w:b/>
        </w:rPr>
        <w:t>完善事业单位绩效工资制度。</w:t>
      </w:r>
      <w:r>
        <w:rPr>
          <w:rFonts w:hint="eastAsia" w:ascii="方正仿宋简体" w:hAnsi="仿宋" w:eastAsia="方正仿宋简体"/>
        </w:rPr>
        <w:t>按照国家和广东省统一部署，及时调整事业单位工作人员基本工资标准。在事业单位现有分配制度的基础上，合理体现行业特点、岗位职责、工作业绩、实际贡献等因素，强化引导激励，建立健全绩效工资水平正常增长机制和绩效工资总量核定办法，健全事业单位绩效工资水平核定机制。</w:t>
      </w:r>
    </w:p>
    <w:p>
      <w:pPr>
        <w:spacing w:line="580" w:lineRule="exact"/>
        <w:ind w:firstLine="643" w:firstLineChars="200"/>
        <w:rPr>
          <w:rFonts w:ascii="方正仿宋简体" w:hAnsi="仿宋" w:eastAsia="方正仿宋简体" w:cs="仿宋"/>
        </w:rPr>
      </w:pPr>
      <w:r>
        <w:rPr>
          <w:rFonts w:hint="eastAsia" w:ascii="方正仿宋简体" w:hAnsi="仿宋" w:eastAsia="方正仿宋简体" w:cs="仿宋"/>
          <w:b/>
        </w:rPr>
        <w:t>探索灵活多样的薪酬分配机制。</w:t>
      </w:r>
      <w:r>
        <w:rPr>
          <w:rFonts w:hint="eastAsia" w:ascii="方正仿宋简体" w:hAnsi="仿宋" w:eastAsia="方正仿宋简体"/>
        </w:rPr>
        <w:t>落实以增加知识价值为导向的收入分配政策，充分尊重科研、技术、管理人才，充分体现不同人力资本含量的价值。进一步完善高层次人才、急需紧缺人才分配激励机制，探索灵活多样薪酬分配机制。</w:t>
      </w:r>
    </w:p>
    <w:p>
      <w:pPr>
        <w:spacing w:line="580" w:lineRule="exact"/>
        <w:ind w:firstLine="643" w:firstLineChars="200"/>
        <w:rPr>
          <w:rFonts w:ascii="方正仿宋简体" w:hAnsi="仿宋" w:eastAsia="方正仿宋简体" w:cs="仿宋"/>
        </w:rPr>
      </w:pPr>
      <w:r>
        <w:rPr>
          <w:rFonts w:hint="eastAsia" w:ascii="方正仿宋简体" w:hAnsi="仿宋" w:eastAsia="方正仿宋简体" w:cs="仿宋"/>
          <w:b/>
        </w:rPr>
        <w:t>推进重点领域薪酬制度改革。</w:t>
      </w:r>
      <w:r>
        <w:rPr>
          <w:rFonts w:hint="eastAsia" w:ascii="方正仿宋简体" w:hAnsi="仿宋" w:eastAsia="方正仿宋简体"/>
        </w:rPr>
        <w:t>支持对符合规定条件的高层次人才或急需紧缺人才实行协议工资、年薪工资、项目工资等灵活多样分配方式。推进公立医院薪酬制度改革，完善公立医院绩效工资总量核定办法，落实“两个允许”。</w:t>
      </w:r>
    </w:p>
    <w:p>
      <w:pPr>
        <w:pStyle w:val="2"/>
        <w:spacing w:line="560" w:lineRule="exact"/>
        <w:rPr>
          <w:rFonts w:ascii="黑体" w:hAnsi="黑体" w:eastAsia="黑体" w:cs="黑体"/>
          <w:b w:val="0"/>
          <w:bCs/>
        </w:rPr>
      </w:pPr>
      <w:bookmarkStart w:id="45" w:name="_Toc59531943"/>
      <w:r>
        <w:rPr>
          <w:rFonts w:hint="eastAsia" w:ascii="黑体" w:hAnsi="黑体" w:eastAsia="黑体" w:cs="黑体"/>
          <w:b w:val="0"/>
          <w:bCs/>
        </w:rPr>
        <w:t>第三节 深化事业单位人事管理</w:t>
      </w:r>
      <w:bookmarkEnd w:id="45"/>
      <w:r>
        <w:rPr>
          <w:rFonts w:hint="eastAsia" w:ascii="黑体" w:hAnsi="黑体" w:eastAsia="黑体" w:cs="黑体"/>
          <w:b w:val="0"/>
          <w:bCs/>
        </w:rPr>
        <w:t>机制改革</w:t>
      </w:r>
    </w:p>
    <w:p>
      <w:pPr>
        <w:spacing w:line="580" w:lineRule="exact"/>
        <w:ind w:firstLine="643" w:firstLineChars="200"/>
        <w:rPr>
          <w:rFonts w:ascii="方正仿宋简体" w:hAnsi="仿宋" w:eastAsia="方正仿宋简体"/>
        </w:rPr>
      </w:pPr>
      <w:r>
        <w:rPr>
          <w:rFonts w:hint="eastAsia" w:ascii="方正仿宋简体" w:hAnsi="仿宋" w:eastAsia="方正仿宋简体"/>
          <w:b/>
        </w:rPr>
        <w:t>完善人事管理机制改革。</w:t>
      </w:r>
      <w:r>
        <w:rPr>
          <w:rFonts w:hint="eastAsia" w:ascii="方正仿宋简体" w:hAnsi="仿宋" w:eastAsia="方正仿宋简体"/>
        </w:rPr>
        <w:t>明确事业单位人事管理的政策底线与权力红线，在底线之上、红线以内，进一步下放岗位设置、职称评审、人员聘用、公开招聘、薪酬分配等五项权限，充分赋予事业单位岗位任职条件、职称评审标准、选人用人方式、绩效工资总量、考核奖惩机制等自主管理权。构建事中事后监督机制，坚持协同监管与内部约束相结合、严格管理和激发活力相结合、日常监督和专项监督相结合，健全规则，落实责任，强化部门联动管理和综合约束。</w:t>
      </w:r>
    </w:p>
    <w:p>
      <w:pPr>
        <w:spacing w:line="580" w:lineRule="exact"/>
        <w:ind w:firstLine="643" w:firstLineChars="200"/>
        <w:rPr>
          <w:rFonts w:ascii="方正仿宋简体" w:hAnsi="仿宋" w:eastAsia="方正仿宋简体"/>
        </w:rPr>
      </w:pPr>
      <w:r>
        <w:rPr>
          <w:rFonts w:hint="eastAsia" w:ascii="方正仿宋简体" w:hAnsi="仿宋" w:eastAsia="方正仿宋简体"/>
          <w:b/>
        </w:rPr>
        <w:t>深化科研人员创新创业机制改革。</w:t>
      </w:r>
      <w:r>
        <w:rPr>
          <w:rFonts w:hint="eastAsia" w:ascii="方正仿宋简体" w:hAnsi="仿宋" w:eastAsia="方正仿宋简体"/>
        </w:rPr>
        <w:t>充分激发科研院所等事业单位科研人员科技创新活力和科技成果转化创业热情，全面破解事业单位在编在岗科研人员申请离岗创办企业、在职创办企业和兼职创新过程中的制度障碍，全面取消职称、年龄、资历、科技成果形式、获奖层次、获得专利等前置性限制。建立健全创新岗位科研人员权益保障机制，完善绩效工资分配向创新岗位科研人员倾斜机制。</w:t>
      </w:r>
      <w:r>
        <w:rPr>
          <w:rFonts w:ascii="方正仿宋简体" w:hAnsi="仿宋" w:eastAsia="方正仿宋简体"/>
        </w:rPr>
        <w:t xml:space="preserve">    </w:t>
      </w:r>
      <w:r>
        <w:rPr>
          <w:rFonts w:hint="eastAsia" w:ascii="方正仿宋简体" w:hAnsi="仿宋" w:eastAsia="方正仿宋简体"/>
        </w:rPr>
        <w:t xml:space="preserve">      </w:t>
      </w:r>
    </w:p>
    <w:p>
      <w:pPr>
        <w:spacing w:line="580" w:lineRule="exact"/>
        <w:ind w:firstLine="643" w:firstLineChars="200"/>
        <w:rPr>
          <w:rFonts w:ascii="方正仿宋简体" w:hAnsi="仿宋" w:eastAsia="方正仿宋简体"/>
        </w:rPr>
      </w:pPr>
      <w:r>
        <w:rPr>
          <w:rFonts w:hint="eastAsia" w:ascii="方正仿宋简体" w:hAnsi="仿宋" w:eastAsia="方正仿宋简体"/>
          <w:b/>
        </w:rPr>
        <w:t>提高信息化管理服务水平。</w:t>
      </w:r>
      <w:r>
        <w:rPr>
          <w:rFonts w:hint="eastAsia" w:ascii="方正仿宋简体" w:hAnsi="仿宋" w:eastAsia="方正仿宋简体"/>
        </w:rPr>
        <w:t>梳理整合公开招聘、人员调入调出、解除聘用合同、开除、退休等业务关联的编制实名、薪酬待遇、养老保险、</w:t>
      </w:r>
      <w:r>
        <w:rPr>
          <w:rFonts w:hint="eastAsia" w:ascii="方正仿宋简体" w:hAnsi="仿宋" w:eastAsia="方正仿宋简体"/>
          <w:highlight w:val="yellow"/>
        </w:rPr>
        <w:t>医疗保险、生育保险、</w:t>
      </w:r>
      <w:r>
        <w:rPr>
          <w:rFonts w:hint="eastAsia" w:ascii="方正仿宋简体" w:hAnsi="仿宋" w:eastAsia="方正仿宋简体"/>
        </w:rPr>
        <w:t>工伤保险和失业保险等办理事项，争取实现一次申报、并联办理、分类反馈，塑造人事管理业务全周期、一体化经办新模式。逐步完善信息化管理办法，建立全面系统的事业单位岗位信息数据库，提高事业单位人事管理效率。</w:t>
      </w:r>
    </w:p>
    <w:p>
      <w:pPr>
        <w:pStyle w:val="2"/>
        <w:spacing w:line="560" w:lineRule="exact"/>
        <w:rPr>
          <w:rFonts w:ascii="黑体" w:hAnsi="黑体" w:eastAsia="黑体" w:cs="黑体"/>
          <w:b w:val="0"/>
          <w:bCs/>
        </w:rPr>
      </w:pPr>
      <w:r>
        <w:rPr>
          <w:rFonts w:hint="eastAsia" w:ascii="黑体" w:hAnsi="黑体" w:eastAsia="黑体" w:cs="黑体"/>
          <w:b w:val="0"/>
          <w:bCs/>
        </w:rPr>
        <w:t>第四节 强化事业单位人事管理服务</w:t>
      </w:r>
    </w:p>
    <w:p>
      <w:pPr>
        <w:spacing w:line="580" w:lineRule="exact"/>
        <w:ind w:firstLine="643" w:firstLineChars="200"/>
        <w:rPr>
          <w:rFonts w:ascii="方正仿宋简体" w:hAnsi="仿宋" w:eastAsia="方正仿宋简体"/>
        </w:rPr>
      </w:pPr>
      <w:r>
        <w:rPr>
          <w:rFonts w:hint="eastAsia" w:ascii="方正仿宋简体" w:hAnsi="仿宋" w:eastAsia="方正仿宋简体"/>
          <w:b/>
        </w:rPr>
        <w:t>建设专业化事业单位人事管理队伍。</w:t>
      </w:r>
      <w:r>
        <w:rPr>
          <w:rFonts w:hint="eastAsia" w:ascii="方正仿宋简体" w:hAnsi="仿宋" w:eastAsia="方正仿宋简体"/>
        </w:rPr>
        <w:t>提升事业单位人事管理干部业务能力，成立和配齐县级申诉公正委员会，打造事业单位申诉案件审理队伍，维护事业单位人员合法权益。建设事业单位公开招聘面试评委库，形成一支纪律严明、业务精湛、作风过硬的评委队伍，为把好事业单位人员入口关提供有效保证。</w:t>
      </w:r>
    </w:p>
    <w:p>
      <w:pPr>
        <w:spacing w:line="580" w:lineRule="exact"/>
        <w:ind w:firstLine="643" w:firstLineChars="200"/>
        <w:rPr>
          <w:rFonts w:ascii="方正仿宋简体" w:hAnsi="仿宋" w:eastAsia="方正仿宋简体"/>
        </w:rPr>
      </w:pPr>
      <w:r>
        <w:rPr>
          <w:rFonts w:hint="eastAsia" w:ascii="方正仿宋简体" w:hAnsi="仿宋" w:eastAsia="方正仿宋简体"/>
          <w:b/>
        </w:rPr>
        <w:t>加快考试基地建设。</w:t>
      </w:r>
      <w:r>
        <w:rPr>
          <w:rFonts w:hint="eastAsia" w:ascii="方正仿宋简体" w:hAnsi="仿宋" w:eastAsia="方正仿宋简体"/>
        </w:rPr>
        <w:t xml:space="preserve">配合省市两级工作统筹，加快人事考试基地建设，强化标准化考场和考试机房建设。以县内技工学校为主体，打造事业单位公开招聘笔试（计算机）标准化考场。完善人事考试风险防控网络体系，加强内部管控和外部联防。             </w:t>
      </w:r>
    </w:p>
    <w:p>
      <w:pPr>
        <w:spacing w:line="580" w:lineRule="exact"/>
        <w:ind w:firstLine="643" w:firstLineChars="200"/>
        <w:rPr>
          <w:rFonts w:ascii="方正仿宋简体" w:hAnsi="仿宋" w:eastAsia="方正仿宋简体"/>
        </w:rPr>
      </w:pPr>
      <w:r>
        <w:rPr>
          <w:rFonts w:hint="eastAsia" w:ascii="方正仿宋简体" w:hAnsi="仿宋" w:eastAsia="方正仿宋简体"/>
          <w:b/>
        </w:rPr>
        <w:t>完善岗前培训。</w:t>
      </w:r>
      <w:r>
        <w:rPr>
          <w:rFonts w:hint="eastAsia" w:ascii="方正仿宋简体" w:hAnsi="仿宋" w:eastAsia="方正仿宋简体"/>
        </w:rPr>
        <w:t>以习近平新时代中国特色社会主义思想为指导，突出政治训练，对事业单位新聘工作人员要求全员参加事业单位工作人员岗前公共科目培训，提升其理想信念、职业道德和综合素质。建立事业单位工作人员培训档案，保障培训的纪律性与规范性。</w:t>
      </w:r>
    </w:p>
    <w:p>
      <w:pPr>
        <w:pStyle w:val="3"/>
        <w:spacing w:line="580" w:lineRule="exact"/>
        <w:rPr>
          <w:rFonts w:ascii="方正小标宋简体" w:hAnsi="方正小标宋简体" w:eastAsia="方正小标宋简体" w:cs="方正小标宋简体"/>
          <w:b w:val="0"/>
          <w:bCs/>
          <w:color w:val="000000" w:themeColor="text1"/>
          <w14:textFill>
            <w14:solidFill>
              <w14:schemeClr w14:val="tx1"/>
            </w14:solidFill>
          </w14:textFill>
        </w:rPr>
      </w:pPr>
      <w:r>
        <w:fldChar w:fldCharType="begin"/>
      </w:r>
      <w:r>
        <w:instrText xml:space="preserve"> HYPERLINK \l "_Toc16094" </w:instrText>
      </w:r>
      <w:r>
        <w:fldChar w:fldCharType="separate"/>
      </w:r>
      <w:bookmarkStart w:id="46" w:name="_Toc93738277"/>
      <w:r>
        <w:rPr>
          <w:rFonts w:hint="eastAsia" w:ascii="方正小标宋简体" w:hAnsi="方正小标宋简体" w:eastAsia="方正小标宋简体" w:cs="方正小标宋简体"/>
          <w:b w:val="0"/>
          <w:bCs/>
          <w:color w:val="000000" w:themeColor="text1"/>
          <w14:textFill>
            <w14:solidFill>
              <w14:schemeClr w14:val="tx1"/>
            </w14:solidFill>
          </w14:textFill>
        </w:rPr>
        <w:t>第九章 构建更加和谐稳定的劳动关系</w:t>
      </w:r>
      <w:bookmarkEnd w:id="46"/>
      <w:r>
        <w:rPr>
          <w:rFonts w:hint="eastAsia" w:ascii="方正小标宋简体" w:hAnsi="方正小标宋简体" w:eastAsia="方正小标宋简体" w:cs="方正小标宋简体"/>
          <w:b w:val="0"/>
          <w:bCs/>
          <w:color w:val="000000" w:themeColor="text1"/>
          <w14:textFill>
            <w14:solidFill>
              <w14:schemeClr w14:val="tx1"/>
            </w14:solidFill>
          </w14:textFill>
        </w:rPr>
        <w:fldChar w:fldCharType="end"/>
      </w:r>
    </w:p>
    <w:p>
      <w:pPr>
        <w:spacing w:line="580" w:lineRule="exact"/>
        <w:ind w:firstLine="640" w:firstLineChars="200"/>
        <w:rPr>
          <w:rFonts w:eastAsia="方正仿宋简体"/>
          <w:color w:val="000000" w:themeColor="text1"/>
          <w14:textFill>
            <w14:solidFill>
              <w14:schemeClr w14:val="tx1"/>
            </w14:solidFill>
          </w14:textFill>
        </w:rPr>
      </w:pPr>
      <w:r>
        <w:rPr>
          <w:rFonts w:eastAsia="方正仿宋简体"/>
          <w:color w:val="000000" w:themeColor="text1"/>
          <w14:textFill>
            <w14:solidFill>
              <w14:schemeClr w14:val="tx1"/>
            </w14:solidFill>
          </w14:textFill>
        </w:rPr>
        <w:t>以促进企业发展、维护职工权益为出发点和落脚点，坚持和完善党委领导、政府负责、社会协同、企业和职工参与、法治保障的工作格局。实现劳动用工更加规范，职工工资合理增长，有效预防和化解劳动关系矛盾，加大对劳动保障违法行为的查处力度，提高劳动关系的稳定性，切实维护双方的合法权益，逐步建立规范有序、公正合理、和谐稳定、互利共赢的新型劳动关系。着力打造山区和谐劳动关系示范县，促进我县经济健康有序发展。</w:t>
      </w:r>
    </w:p>
    <w:p>
      <w:pPr>
        <w:pStyle w:val="2"/>
        <w:spacing w:line="560" w:lineRule="exact"/>
        <w:rPr>
          <w:rFonts w:ascii="黑体" w:hAnsi="黑体" w:eastAsia="黑体" w:cs="黑体"/>
          <w:b w:val="0"/>
          <w:bCs/>
          <w:color w:val="000000" w:themeColor="text1"/>
          <w14:textFill>
            <w14:solidFill>
              <w14:schemeClr w14:val="tx1"/>
            </w14:solidFill>
          </w14:textFill>
        </w:rPr>
      </w:pPr>
      <w:r>
        <w:fldChar w:fldCharType="begin"/>
      </w:r>
      <w:r>
        <w:instrText xml:space="preserve"> HYPERLINK \l "_Toc17269" </w:instrText>
      </w:r>
      <w:r>
        <w:fldChar w:fldCharType="separate"/>
      </w:r>
      <w:bookmarkStart w:id="47" w:name="_Toc93738278"/>
      <w:r>
        <w:rPr>
          <w:rFonts w:hint="eastAsia" w:ascii="黑体" w:hAnsi="黑体" w:eastAsia="黑体" w:cs="黑体"/>
          <w:b w:val="0"/>
          <w:bCs/>
          <w:color w:val="000000" w:themeColor="text1"/>
          <w14:textFill>
            <w14:solidFill>
              <w14:schemeClr w14:val="tx1"/>
            </w14:solidFill>
          </w14:textFill>
        </w:rPr>
        <w:t>第一节 构建和谐劳动关系</w:t>
      </w:r>
      <w:bookmarkEnd w:id="47"/>
      <w:r>
        <w:rPr>
          <w:rFonts w:hint="eastAsia" w:ascii="黑体" w:hAnsi="黑体" w:eastAsia="黑体" w:cs="黑体"/>
          <w:b w:val="0"/>
          <w:bCs/>
          <w:color w:val="000000" w:themeColor="text1"/>
          <w14:textFill>
            <w14:solidFill>
              <w14:schemeClr w14:val="tx1"/>
            </w14:solidFill>
          </w14:textFill>
        </w:rPr>
        <w:fldChar w:fldCharType="end"/>
      </w:r>
    </w:p>
    <w:p>
      <w:pPr>
        <w:pStyle w:val="66"/>
        <w:pBdr>
          <w:top w:val="none" w:color="auto" w:sz="0" w:space="0"/>
          <w:left w:val="none" w:color="auto" w:sz="0" w:space="0"/>
          <w:bottom w:val="none" w:color="auto" w:sz="0" w:space="0"/>
          <w:right w:val="none" w:color="auto" w:sz="0" w:space="0"/>
        </w:pBdr>
        <w:spacing w:line="580" w:lineRule="exact"/>
        <w:ind w:firstLine="643" w:firstLineChars="200"/>
        <w:rPr>
          <w:rFonts w:ascii="Times New Roman" w:hAnsi="Times New Roman" w:eastAsia="方正仿宋简体" w:cs="Times New Roman"/>
          <w:color w:val="000000" w:themeColor="text1"/>
          <w:kern w:val="0"/>
          <w:sz w:val="32"/>
          <w:szCs w:val="32"/>
          <w14:textFill>
            <w14:solidFill>
              <w14:schemeClr w14:val="tx1"/>
            </w14:solidFill>
          </w14:textFill>
        </w:rPr>
      </w:pPr>
      <w:r>
        <w:rPr>
          <w:rFonts w:ascii="Times New Roman" w:hAnsi="Times New Roman" w:eastAsia="方正仿宋简体" w:cs="Times New Roman"/>
          <w:b/>
          <w:bCs/>
          <w:color w:val="000000" w:themeColor="text1"/>
          <w:sz w:val="32"/>
          <w:szCs w:val="32"/>
          <w14:textFill>
            <w14:solidFill>
              <w14:schemeClr w14:val="tx1"/>
            </w14:solidFill>
          </w14:textFill>
        </w:rPr>
        <w:t>健全新型劳动关系协调机制。</w:t>
      </w:r>
      <w:r>
        <w:rPr>
          <w:rFonts w:ascii="Times New Roman" w:hAnsi="Times New Roman" w:eastAsia="方正仿宋简体" w:cs="Times New Roman"/>
          <w:color w:val="000000" w:themeColor="text1"/>
          <w:sz w:val="32"/>
          <w:szCs w:val="32"/>
          <w14:textFill>
            <w14:solidFill>
              <w14:schemeClr w14:val="tx1"/>
            </w14:solidFill>
          </w14:textFill>
        </w:rPr>
        <w:t>以解决企业分配中存在的突出问题为突破口，以建立劳动关系协调机制为重点，以开展和谐劳动关系创建活动为载体，加快形成源头治理、动态管理、应急处置相结合的工作机制，进一步加强劳动保障监察力度。继续抓牢抓严抓实劳资纠纷多发的重点领域、重点行业的排查。落实好企业劳动保障守法诚信等级评价办法，从源头上预防化解劳资纠纷。</w:t>
      </w:r>
      <w:r>
        <w:rPr>
          <w:rFonts w:ascii="Times New Roman" w:hAnsi="Times New Roman" w:eastAsia="方正仿宋简体" w:cs="Times New Roman"/>
          <w:color w:val="000000" w:themeColor="text1"/>
          <w:kern w:val="0"/>
          <w:sz w:val="32"/>
          <w:szCs w:val="32"/>
          <w14:textFill>
            <w14:solidFill>
              <w14:schemeClr w14:val="tx1"/>
            </w14:solidFill>
          </w14:textFill>
        </w:rPr>
        <w:t>实现劳动关系矛盾的系统治理、依法治理、源头治理和综合治理，建立规范有序、公正合理、互利共赢、和谐稳定的劳动关系。</w:t>
      </w:r>
    </w:p>
    <w:p>
      <w:pPr>
        <w:spacing w:line="580" w:lineRule="exact"/>
        <w:ind w:firstLine="662" w:firstLineChars="206"/>
        <w:rPr>
          <w:rFonts w:eastAsia="仿宋"/>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着力规范企业用工。</w:t>
      </w:r>
      <w:r>
        <w:rPr>
          <w:rFonts w:eastAsia="方正仿宋简体"/>
          <w:color w:val="000000" w:themeColor="text1"/>
          <w:shd w:val="clear" w:color="auto" w:fill="FFFFFF"/>
          <w14:textFill>
            <w14:solidFill>
              <w14:schemeClr w14:val="tx1"/>
            </w14:solidFill>
          </w14:textFill>
        </w:rPr>
        <w:t>加强</w:t>
      </w:r>
      <w:r>
        <w:rPr>
          <w:rFonts w:eastAsia="方正仿宋简体"/>
          <w:color w:val="000000" w:themeColor="text1"/>
          <w14:textFill>
            <w14:solidFill>
              <w14:schemeClr w14:val="tx1"/>
            </w14:solidFill>
          </w14:textFill>
        </w:rPr>
        <w:t>劳动关系</w:t>
      </w:r>
      <w:r>
        <w:rPr>
          <w:rFonts w:eastAsia="方正仿宋简体"/>
          <w:color w:val="000000" w:themeColor="text1"/>
          <w:shd w:val="clear" w:color="auto" w:fill="FFFFFF"/>
          <w14:textFill>
            <w14:solidFill>
              <w14:schemeClr w14:val="tx1"/>
            </w14:solidFill>
          </w14:textFill>
        </w:rPr>
        <w:t>机制建设</w:t>
      </w:r>
      <w:r>
        <w:rPr>
          <w:rFonts w:eastAsia="方正仿宋简体"/>
          <w:color w:val="000000" w:themeColor="text1"/>
          <w14:textFill>
            <w14:solidFill>
              <w14:schemeClr w14:val="tx1"/>
            </w14:solidFill>
          </w14:textFill>
        </w:rPr>
        <w:t>，全面落实劳动合同制度，推动各类企业普遍与职工签订并严格履行劳动合同。</w:t>
      </w:r>
      <w:r>
        <w:rPr>
          <w:rFonts w:eastAsia="方正仿宋简体"/>
          <w:bCs/>
          <w:color w:val="000000" w:themeColor="text1"/>
          <w14:textFill>
            <w14:solidFill>
              <w14:schemeClr w14:val="tx1"/>
            </w14:solidFill>
          </w14:textFill>
        </w:rPr>
        <w:t>继续推进集体协商，规范集体合同签订。</w:t>
      </w:r>
      <w:r>
        <w:rPr>
          <w:rFonts w:eastAsia="方正仿宋简体"/>
          <w:color w:val="000000" w:themeColor="text1"/>
          <w14:textFill>
            <w14:solidFill>
              <w14:schemeClr w14:val="tx1"/>
            </w14:solidFill>
          </w14:textFill>
        </w:rPr>
        <w:t>继续规范国有企事业单位改革中的劳动关系。积极维护劳动者合法权益，切实保障职工的劳动报酬权、休息休假权、劳动安全卫生保护权、社会保障权和职业技能培训权。健全劳资纠纷排查和预防预警长效机制。开展新产业新业态新模式领域劳动关系发展趋势分析研判。引导企业建立良好用工环境和管理模式，逐步建成适应经济发展方式转变，体现人文关怀、和谐稳定的新型劳动关系。打造山区和谐劳动关系示范县。到2025年，企业劳动合同签订率达到100%，进城务工人员合同签订率达到95%以上。</w:t>
      </w:r>
    </w:p>
    <w:p>
      <w:pPr>
        <w:pStyle w:val="2"/>
        <w:spacing w:line="560" w:lineRule="exact"/>
        <w:rPr>
          <w:rFonts w:ascii="Times New Roman" w:hAnsi="Times New Roman"/>
          <w:bCs/>
          <w:color w:val="000000" w:themeColor="text1"/>
          <w14:textFill>
            <w14:solidFill>
              <w14:schemeClr w14:val="tx1"/>
            </w14:solidFill>
          </w14:textFill>
        </w:rPr>
      </w:pPr>
      <w:r>
        <w:fldChar w:fldCharType="begin"/>
      </w:r>
      <w:r>
        <w:instrText xml:space="preserve"> HYPERLINK \l "_Toc19190" </w:instrText>
      </w:r>
      <w:r>
        <w:fldChar w:fldCharType="separate"/>
      </w:r>
      <w:bookmarkStart w:id="48" w:name="_Toc93738279"/>
      <w:r>
        <w:rPr>
          <w:rFonts w:hint="eastAsia" w:ascii="黑体" w:hAnsi="黑体" w:eastAsia="黑体" w:cs="黑体"/>
          <w:b w:val="0"/>
          <w:bCs/>
          <w:color w:val="000000" w:themeColor="text1"/>
          <w14:textFill>
            <w14:solidFill>
              <w14:schemeClr w14:val="tx1"/>
            </w14:solidFill>
          </w14:textFill>
        </w:rPr>
        <w:t>第二节 完善企业工资收入分配</w:t>
      </w:r>
      <w:r>
        <w:rPr>
          <w:rFonts w:hint="eastAsia" w:ascii="黑体" w:hAnsi="黑体" w:eastAsia="黑体" w:cs="黑体"/>
          <w:b w:val="0"/>
          <w:bCs/>
          <w:color w:val="000000" w:themeColor="text1"/>
          <w14:textFill>
            <w14:solidFill>
              <w14:schemeClr w14:val="tx1"/>
            </w14:solidFill>
          </w14:textFill>
        </w:rPr>
        <w:fldChar w:fldCharType="end"/>
      </w:r>
      <w:r>
        <w:rPr>
          <w:rFonts w:hint="eastAsia" w:ascii="黑体" w:hAnsi="黑体" w:eastAsia="黑体" w:cs="黑体"/>
          <w:b w:val="0"/>
          <w:bCs/>
          <w:color w:val="000000" w:themeColor="text1"/>
          <w14:textFill>
            <w14:solidFill>
              <w14:schemeClr w14:val="tx1"/>
            </w14:solidFill>
          </w14:textFill>
        </w:rPr>
        <w:t>制度</w:t>
      </w:r>
      <w:bookmarkEnd w:id="48"/>
    </w:p>
    <w:p>
      <w:pPr>
        <w:spacing w:line="580" w:lineRule="exact"/>
        <w:ind w:firstLine="662" w:firstLineChars="206"/>
        <w:rPr>
          <w:rFonts w:eastAsia="方正仿宋简体"/>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完善最低工资保障制度和发布工资指导线。</w:t>
      </w:r>
      <w:r>
        <w:rPr>
          <w:rFonts w:eastAsia="方正仿宋简体"/>
          <w:bCs/>
          <w:color w:val="000000" w:themeColor="text1"/>
          <w14:textFill>
            <w14:solidFill>
              <w14:schemeClr w14:val="tx1"/>
            </w14:solidFill>
          </w14:textFill>
        </w:rPr>
        <w:t>完善最低工资标准制度，根据省、市文件精神制定</w:t>
      </w:r>
      <w:r>
        <w:rPr>
          <w:rFonts w:eastAsia="方正仿宋简体"/>
          <w:color w:val="000000" w:themeColor="text1"/>
          <w14:textFill>
            <w14:solidFill>
              <w14:schemeClr w14:val="tx1"/>
            </w14:solidFill>
          </w14:textFill>
        </w:rPr>
        <w:t>最低工资标准调整机制，使劳动者享受到改革发展成果。根据省发布人力资源市场工资指导价位和工资指导线，引导企业工资水平的</w:t>
      </w:r>
      <w:r>
        <w:rPr>
          <w:rFonts w:eastAsia="方正仿宋简体"/>
          <w:bCs/>
          <w:color w:val="000000" w:themeColor="text1"/>
          <w14:textFill>
            <w14:solidFill>
              <w14:schemeClr w14:val="tx1"/>
            </w14:solidFill>
          </w14:textFill>
        </w:rPr>
        <w:t>合理增长。</w:t>
      </w:r>
      <w:r>
        <w:rPr>
          <w:rFonts w:eastAsia="方正仿宋简体"/>
          <w:color w:val="000000" w:themeColor="text1"/>
          <w14:textFill>
            <w14:solidFill>
              <w14:schemeClr w14:val="tx1"/>
            </w14:solidFill>
          </w14:textFill>
        </w:rPr>
        <w:t>完善企业人工成本监测、薪酬调查、工资指导线制度和企业最低工资评估机制。</w:t>
      </w:r>
    </w:p>
    <w:p>
      <w:pPr>
        <w:spacing w:line="580" w:lineRule="exact"/>
        <w:ind w:firstLine="662" w:firstLineChars="206"/>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完善工资宏观调控指导机制。</w:t>
      </w:r>
      <w:r>
        <w:rPr>
          <w:rFonts w:eastAsia="方正仿宋简体"/>
          <w:color w:val="000000" w:themeColor="text1"/>
          <w14:textFill>
            <w14:solidFill>
              <w14:schemeClr w14:val="tx1"/>
            </w14:solidFill>
          </w14:textFill>
        </w:rPr>
        <w:t>根据市建立健全企业薪酬调查和信息发布制度，实现企业薪酬调查制度与人力资源市场工资指导价位制度、行业人工成本信息指导制度并轨，完善市级企业薪酬调查发布体系。持续开展“粤菜师傅”“广东技工” “南粤家政”三项工程薪酬调查。积极开展以先进制造业、战略性新兴产业、现代服务业为重点的薪酬调查，为五华特色经济发展、人才流动提供支持。</w:t>
      </w:r>
    </w:p>
    <w:p>
      <w:pPr>
        <w:spacing w:line="580" w:lineRule="exact"/>
        <w:ind w:firstLine="630"/>
        <w:rPr>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深化国有企业薪酬制度改革。</w:t>
      </w:r>
      <w:r>
        <w:rPr>
          <w:rFonts w:eastAsia="方正仿宋简体"/>
          <w:color w:val="000000" w:themeColor="text1"/>
          <w14:textFill>
            <w14:solidFill>
              <w14:schemeClr w14:val="tx1"/>
            </w14:solidFill>
          </w14:textFill>
        </w:rPr>
        <w:t>严格按照国务院、省有关要求继续指导和推进县属国有企业监管部门抓好国有企业工资决定机制改革。落实国家、省、市关于国有企业工资内外收益监督管理办法、津补贴和福利管理意见等政策，会同财政、国资监管等部门强化督促指导，定期对国有企业执行国家和省、市、县收入分配政策情况开展监督检查，促进国有企业工资分配更合理、更有序。</w:t>
      </w:r>
    </w:p>
    <w:p>
      <w:pPr>
        <w:pStyle w:val="2"/>
        <w:spacing w:line="560" w:lineRule="exact"/>
        <w:rPr>
          <w:rFonts w:ascii="Times New Roman" w:hAnsi="Times New Roman"/>
          <w:color w:val="000000" w:themeColor="text1"/>
          <w14:textFill>
            <w14:solidFill>
              <w14:schemeClr w14:val="tx1"/>
            </w14:solidFill>
          </w14:textFill>
        </w:rPr>
      </w:pPr>
      <w:r>
        <w:fldChar w:fldCharType="begin"/>
      </w:r>
      <w:r>
        <w:instrText xml:space="preserve"> HYPERLINK \l "_Toc1233" </w:instrText>
      </w:r>
      <w:r>
        <w:fldChar w:fldCharType="separate"/>
      </w:r>
      <w:bookmarkStart w:id="49" w:name="_Toc93738280"/>
      <w:r>
        <w:rPr>
          <w:rFonts w:hint="eastAsia" w:ascii="黑体" w:hAnsi="黑体" w:eastAsia="黑体" w:cs="黑体"/>
          <w:b w:val="0"/>
          <w:bCs/>
          <w:color w:val="000000" w:themeColor="text1"/>
          <w14:textFill>
            <w14:solidFill>
              <w14:schemeClr w14:val="tx1"/>
            </w14:solidFill>
          </w14:textFill>
        </w:rPr>
        <w:t>第三节 完善劳动人事争议调解仲裁</w:t>
      </w:r>
      <w:r>
        <w:rPr>
          <w:rFonts w:hint="eastAsia" w:ascii="黑体" w:hAnsi="黑体" w:eastAsia="黑体" w:cs="黑体"/>
          <w:b w:val="0"/>
          <w:bCs/>
          <w:color w:val="000000" w:themeColor="text1"/>
          <w14:textFill>
            <w14:solidFill>
              <w14:schemeClr w14:val="tx1"/>
            </w14:solidFill>
          </w14:textFill>
        </w:rPr>
        <w:fldChar w:fldCharType="end"/>
      </w:r>
      <w:r>
        <w:rPr>
          <w:rFonts w:hint="eastAsia" w:ascii="黑体" w:hAnsi="黑体" w:eastAsia="黑体" w:cs="黑体"/>
          <w:b w:val="0"/>
          <w:bCs/>
          <w:color w:val="000000" w:themeColor="text1"/>
          <w14:textFill>
            <w14:solidFill>
              <w14:schemeClr w14:val="tx1"/>
            </w14:solidFill>
          </w14:textFill>
        </w:rPr>
        <w:t>制度</w:t>
      </w:r>
      <w:bookmarkEnd w:id="49"/>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完善争议多元化解机制</w:t>
      </w:r>
      <w:r>
        <w:rPr>
          <w:rFonts w:eastAsia="方正仿宋简体"/>
          <w:b/>
          <w:bCs/>
          <w:color w:val="000000" w:themeColor="text1"/>
          <w14:textFill>
            <w14:solidFill>
              <w14:schemeClr w14:val="tx1"/>
            </w14:solidFill>
          </w14:textFill>
        </w:rPr>
        <w:t>。</w:t>
      </w:r>
      <w:r>
        <w:rPr>
          <w:rFonts w:eastAsia="方正仿宋简体"/>
          <w:color w:val="000000" w:themeColor="text1"/>
          <w14:textFill>
            <w14:solidFill>
              <w14:schemeClr w14:val="tx1"/>
            </w14:solidFill>
          </w14:textFill>
        </w:rPr>
        <w:t>发挥协商、调解在劳动人事争议处理中的基础性作用，指导推进基层劳动人事争议调解工作体系建设，推进劳动人事争议调解与人民调解、行政调解、仲裁调解、司法调解衔接联动。研究制定加强争议预防和协商政策，协调有关部门加大对用人单位源头预防的指导力度，建立内部申诉和协商回应制度，推动用人单位提高自主预防解决争议的能力。强化属地化解机制，搭建区域性调解服务平台，建立地方标准体系和考评激励机制。鼓励引导社会力量提供专业性调解服务。健全集体劳动人事争议应急调解制度。</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推进仲裁办案方式改革。</w:t>
      </w:r>
      <w:r>
        <w:rPr>
          <w:rFonts w:eastAsia="方正仿宋简体"/>
          <w:bCs/>
          <w:color w:val="000000" w:themeColor="text1"/>
          <w14:textFill>
            <w14:solidFill>
              <w14:schemeClr w14:val="tx1"/>
            </w14:solidFill>
          </w14:textFill>
        </w:rPr>
        <w:t>完善仲裁“准司法”制度体系，创新办案机制，提升仲裁终结率。规范简易仲裁程序，灵活便捷处理小额简单争议案件，</w:t>
      </w:r>
      <w:r>
        <w:rPr>
          <w:rFonts w:eastAsia="方正仿宋简体"/>
          <w:color w:val="000000" w:themeColor="text1"/>
          <w14:textFill>
            <w14:solidFill>
              <w14:schemeClr w14:val="tx1"/>
            </w14:solidFill>
          </w14:textFill>
        </w:rPr>
        <w:t>建立健全集体劳动争议快速仲裁特别程序。推进派驻仲裁庭、巡回仲裁庭、流动仲裁庭建设。逐步实现仲裁裁决书网上公开，接受社会监督，提升案件处理智能化水平和服务当事人能力。加强调解仲裁机构队伍建设，充实一线专职调解员、仲裁员力量，完善仲裁员分类管理办法，完善“准司法”职业保障机制，开展“互联网+调解仲裁”工作。</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加强调解、仲裁与诉讼衔接。</w:t>
      </w:r>
      <w:r>
        <w:rPr>
          <w:rFonts w:eastAsia="方正仿宋简体"/>
          <w:bCs/>
          <w:color w:val="000000" w:themeColor="text1"/>
          <w14:textFill>
            <w14:solidFill>
              <w14:schemeClr w14:val="tx1"/>
            </w14:solidFill>
          </w14:textFill>
        </w:rPr>
        <w:t>建立</w:t>
      </w:r>
      <w:r>
        <w:rPr>
          <w:rFonts w:eastAsia="方正仿宋简体"/>
          <w:color w:val="000000" w:themeColor="text1"/>
          <w14:textFill>
            <w14:solidFill>
              <w14:schemeClr w14:val="tx1"/>
            </w14:solidFill>
          </w14:textFill>
        </w:rPr>
        <w:t>健全裁审受理范围一致、裁审标准统一、裁审程序有效衔接的新规则、新制度。建设裁审衔接信息平台，实现案件数据信息共享，联合人民法院建立健全定期联席会议、案件信息交流、联合业务培训等体制机制，出台办案指导意见。</w:t>
      </w:r>
    </w:p>
    <w:p>
      <w:pPr>
        <w:spacing w:line="580" w:lineRule="exact"/>
        <w:ind w:firstLine="643" w:firstLineChars="200"/>
        <w:rPr>
          <w:color w:val="000000" w:themeColor="text1"/>
          <w14:textFill>
            <w14:solidFill>
              <w14:schemeClr w14:val="tx1"/>
            </w14:solidFill>
          </w14:textFill>
        </w:rPr>
      </w:pPr>
      <w:r>
        <w:rPr>
          <w:rFonts w:eastAsia="方正仿宋简体"/>
          <w:b/>
          <w:bCs/>
          <w:color w:val="000000" w:themeColor="text1"/>
          <w14:textFill>
            <w14:solidFill>
              <w14:schemeClr w14:val="tx1"/>
            </w14:solidFill>
          </w14:textFill>
        </w:rPr>
        <w:t>健全完善基层调解工作机制。</w:t>
      </w:r>
      <w:r>
        <w:rPr>
          <w:rFonts w:eastAsia="方正仿宋简体"/>
          <w:color w:val="000000" w:themeColor="text1"/>
          <w14:textFill>
            <w14:solidFill>
              <w14:schemeClr w14:val="tx1"/>
            </w14:solidFill>
          </w14:textFill>
        </w:rPr>
        <w:t>完善共建共治共享的多元化解机制。完善人民调解、行政调解、仲裁调解、司法调解联动机制。</w:t>
      </w:r>
      <w:r>
        <w:rPr>
          <w:rFonts w:eastAsia="方正仿宋简体"/>
          <w:color w:val="000000" w:themeColor="text1"/>
          <w:kern w:val="0"/>
          <w14:textFill>
            <w14:solidFill>
              <w14:schemeClr w14:val="tx1"/>
            </w14:solidFill>
          </w14:textFill>
        </w:rPr>
        <w:t>以鼓励和解、强化调解、优化仲裁、衔接诉讼为主线，以依托乡镇街道人社所的劳动人事争议调解组织为重点，健全基层调解组织网络，进一步提高调解的灵活性、便捷性、专业性、有效性，实现案结事了。</w:t>
      </w:r>
      <w:r>
        <w:rPr>
          <w:rFonts w:eastAsia="方正仿宋简体"/>
          <w:color w:val="000000" w:themeColor="text1"/>
          <w14:textFill>
            <w14:solidFill>
              <w14:schemeClr w14:val="tx1"/>
            </w14:solidFill>
          </w14:textFill>
        </w:rPr>
        <w:t>充分发挥基层调解组织分布广泛、灵活便捷、成本低、效率高等优势，从源头上减少不安定、不和谐因素。积极推动大中型企业、行业商会（协会）建立健全劳动争议调解组织，推动更多村镇劳动人事争议调解中心成为广东省乡镇（街道）劳动保障服务所（中心）调解组织建设省级综合示范单位。</w:t>
      </w:r>
    </w:p>
    <w:p>
      <w:pPr>
        <w:pStyle w:val="2"/>
        <w:spacing w:line="560" w:lineRule="exact"/>
        <w:rPr>
          <w:rFonts w:ascii="黑体" w:hAnsi="黑体" w:eastAsia="黑体" w:cs="黑体"/>
          <w:b w:val="0"/>
          <w:bCs/>
          <w:color w:val="000000" w:themeColor="text1"/>
          <w14:textFill>
            <w14:solidFill>
              <w14:schemeClr w14:val="tx1"/>
            </w14:solidFill>
          </w14:textFill>
        </w:rPr>
      </w:pPr>
      <w:r>
        <w:fldChar w:fldCharType="begin"/>
      </w:r>
      <w:r>
        <w:instrText xml:space="preserve"> HYPERLINK \l "_Toc30106" </w:instrText>
      </w:r>
      <w:r>
        <w:fldChar w:fldCharType="separate"/>
      </w:r>
      <w:bookmarkStart w:id="50" w:name="_Toc93738281"/>
      <w:r>
        <w:rPr>
          <w:rFonts w:hint="eastAsia" w:ascii="黑体" w:hAnsi="黑体" w:eastAsia="黑体" w:cs="黑体"/>
          <w:b w:val="0"/>
          <w:bCs/>
          <w:color w:val="000000" w:themeColor="text1"/>
          <w14:textFill>
            <w14:solidFill>
              <w14:schemeClr w14:val="tx1"/>
            </w14:solidFill>
          </w14:textFill>
        </w:rPr>
        <w:t>第四节 提高劳动保障监察治理效能</w:t>
      </w:r>
      <w:bookmarkEnd w:id="50"/>
      <w:r>
        <w:rPr>
          <w:rFonts w:hint="eastAsia" w:ascii="黑体" w:hAnsi="黑体" w:eastAsia="黑体" w:cs="黑体"/>
          <w:b w:val="0"/>
          <w:bCs/>
          <w:color w:val="000000" w:themeColor="text1"/>
          <w14:textFill>
            <w14:solidFill>
              <w14:schemeClr w14:val="tx1"/>
            </w14:solidFill>
          </w14:textFill>
        </w:rPr>
        <w:fldChar w:fldCharType="end"/>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bCs/>
          <w:color w:val="000000" w:themeColor="text1"/>
          <w:lang w:val="zh-CN"/>
          <w14:textFill>
            <w14:solidFill>
              <w14:schemeClr w14:val="tx1"/>
            </w14:solidFill>
          </w14:textFill>
        </w:rPr>
        <w:t>加大根治欠薪工作力度。</w:t>
      </w:r>
      <w:r>
        <w:rPr>
          <w:rFonts w:eastAsia="方正仿宋简体"/>
          <w:color w:val="000000" w:themeColor="text1"/>
          <w14:textFill>
            <w14:solidFill>
              <w14:schemeClr w14:val="tx1"/>
            </w14:solidFill>
          </w14:textFill>
        </w:rPr>
        <w:t>对标中央和省、市 “根治欠薪”部署要求，坚持</w:t>
      </w:r>
      <w:r>
        <w:rPr>
          <w:rFonts w:hint="eastAsia" w:eastAsia="方正仿宋简体"/>
          <w:color w:val="000000" w:themeColor="text1"/>
          <w14:textFill>
            <w14:solidFill>
              <w14:schemeClr w14:val="tx1"/>
            </w14:solidFill>
          </w14:textFill>
        </w:rPr>
        <w:t>县</w:t>
      </w:r>
      <w:r>
        <w:rPr>
          <w:rFonts w:eastAsia="方正仿宋简体"/>
          <w:color w:val="000000" w:themeColor="text1"/>
          <w14:textFill>
            <w14:solidFill>
              <w14:schemeClr w14:val="tx1"/>
            </w14:solidFill>
          </w14:textFill>
        </w:rPr>
        <w:t>委政府抓总、各部门齐抓共管工作格局，健全县根治拖欠农民工工资工作领导小组工作机制。以工程建设领域等行业领域为重点，推动全面落实用工实名制、工资保证金、工资分账管理等制度，着力构建不敢欠、不能欠、不想欠的制度体系。加强企业工资支付诚信体系建设，通过深化政企银合作，确保农民工工资及时足额到账。建立治欠保支工作信息汇集机制。综合劳动保障监察、仲裁、信访等渠道反映的欠薪情况，定期开展治欠保支工作形势分析研判。加大对重大欠薪违法行为的社会公布力度，密切协同公安机关、检察院、法院等强化“两法衔接”打击恶意欠薪，推动完善快立、快捕、快诉、快审、快判机制。强化治欠保支舆论宣传，做好舆情的监控和引导，对欠薪违法行为形成有力的舆论震慑。</w:t>
      </w:r>
    </w:p>
    <w:p>
      <w:pPr>
        <w:spacing w:line="580" w:lineRule="exact"/>
        <w:ind w:firstLine="643" w:firstLineChars="200"/>
        <w:rPr>
          <w:rFonts w:eastAsia="方正仿宋简体"/>
          <w:color w:val="000000" w:themeColor="text1"/>
          <w:lang w:val="zh-CN"/>
          <w14:textFill>
            <w14:solidFill>
              <w14:schemeClr w14:val="tx1"/>
            </w14:solidFill>
          </w14:textFill>
        </w:rPr>
      </w:pPr>
      <w:r>
        <w:rPr>
          <w:rFonts w:eastAsia="方正仿宋简体"/>
          <w:b/>
          <w:bCs/>
          <w:color w:val="000000" w:themeColor="text1"/>
          <w:lang w:val="zh-CN"/>
          <w14:textFill>
            <w14:solidFill>
              <w14:schemeClr w14:val="tx1"/>
            </w14:solidFill>
          </w14:textFill>
        </w:rPr>
        <w:t>深入推进劳资纠纷预防化解处置。</w:t>
      </w:r>
      <w:r>
        <w:rPr>
          <w:rFonts w:eastAsia="方正仿宋简体"/>
          <w:color w:val="000000" w:themeColor="text1"/>
          <w14:textFill>
            <w14:solidFill>
              <w14:schemeClr w14:val="tx1"/>
            </w14:solidFill>
          </w14:textFill>
        </w:rPr>
        <w:t>加强和创新劳资纠纷治理，完善党委领导、政府负责、民主协商、社会协同、公众参与、法治保障、科技支撑的劳资纠纷治理体系。构建基层劳资纠纷治理新格局，完善群众参与基层劳资纠纷治理的制度化渠道，推行网格化管理和服务，发挥群团组织、社会组织作用，发挥行业协会商会自律功能，实现政府治理和社会调节、居民自治良性互动。完善以职工代表大会为基本形式的企业民主管理制度，丰富职工民主参与形式，畅通职工民主参与渠道。强化劳资纠纷隐患排查风险预警，将矛盾隐患化解在苗头和萌芽。深入贯彻落实广东省劳资纠纷风险预警防范办法，联动研判企业经营异动信息，分级预警、跟踪化解。健全劳资纠纷群体性事件预防和应急处置机制，明确分级响应、处置程序和处置措施。健全群体性事件应急联动处置机制，及时妥善处置群体性事件。</w:t>
      </w:r>
    </w:p>
    <w:p>
      <w:pPr>
        <w:spacing w:line="580" w:lineRule="exact"/>
        <w:ind w:firstLine="630"/>
        <w:rPr>
          <w:rFonts w:eastAsia="方正仿宋简体"/>
          <w:color w:val="000000" w:themeColor="text1"/>
          <w:lang w:val="zh-CN"/>
          <w14:textFill>
            <w14:solidFill>
              <w14:schemeClr w14:val="tx1"/>
            </w14:solidFill>
          </w14:textFill>
        </w:rPr>
      </w:pPr>
      <w:r>
        <w:rPr>
          <w:rFonts w:eastAsia="方正仿宋简体"/>
          <w:b/>
          <w:bCs/>
          <w:color w:val="000000" w:themeColor="text1"/>
          <w:lang w:val="zh-CN"/>
          <w14:textFill>
            <w14:solidFill>
              <w14:schemeClr w14:val="tx1"/>
            </w14:solidFill>
          </w14:textFill>
        </w:rPr>
        <w:t>依法严厉打击违反劳动保障法律法规违法行为。</w:t>
      </w:r>
      <w:r>
        <w:rPr>
          <w:rFonts w:eastAsia="方正仿宋简体"/>
          <w:color w:val="000000" w:themeColor="text1"/>
          <w14:textFill>
            <w14:solidFill>
              <w14:schemeClr w14:val="tx1"/>
            </w14:solidFill>
          </w14:textFill>
        </w:rPr>
        <w:t>加强日常监察执法。畅通举报投诉渠道。创新劳动监察执法方式，实现监察执法向主动预防和统筹城乡转变。畅通劳动者多元维权渠道，劳动监察网络投诉平台。强化保障工资支付、清理整顿人力资源市场秩序、劳动用工和社会保险专项执法。加大对非法用工查处力度，严厉打击使用童工、强迫劳动、拒不支付劳动报酬等违法犯罪行为。加强劳动保障诚信等级评价制度建设，建立健全企业诚信档案。健全劳动监察执法监督和重大案件督查督办制度，落实劳动保障监察执法“双随机一公开”制度。</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bCs/>
          <w:color w:val="000000" w:themeColor="text1"/>
          <w:lang w:val="zh-CN"/>
          <w14:textFill>
            <w14:solidFill>
              <w14:schemeClr w14:val="tx1"/>
            </w14:solidFill>
          </w14:textFill>
        </w:rPr>
        <w:t>加强劳动保障监察基础能力建设。</w:t>
      </w:r>
      <w:r>
        <w:rPr>
          <w:rFonts w:eastAsia="方正仿宋简体"/>
          <w:color w:val="000000" w:themeColor="text1"/>
          <w14:textFill>
            <w14:solidFill>
              <w14:schemeClr w14:val="tx1"/>
            </w14:solidFill>
          </w14:textFill>
        </w:rPr>
        <w:t>深入推进劳动监察综合执法改革，配齐、配足劳动监察执法人员队伍，充实基层（镇街）劳动保障监察执法辅助人员。推动农民工工资支付监控预警平台的建立，实现人社、发改、财政、住建、交通、水利等部门的工程项目审批、资金落实、施工许可、劳动用工、工资支付等信息及时共享，提高欠薪案件处置效率。加强日常巡视检查，发挥基层劳动保障监察“两网化”管理平台优势，对农民工工资支付情况实行动态监控，落实按月足额支付工资的法律规定。提高劳动监察执法人员素质，加强劳动监察执法人员岗位业务能力培训，提高劳动监察执法规范化、专业化水平。</w:t>
      </w:r>
    </w:p>
    <w:p>
      <w:pPr>
        <w:pStyle w:val="2"/>
        <w:spacing w:line="560" w:lineRule="exact"/>
        <w:rPr>
          <w:rFonts w:ascii="黑体" w:hAnsi="黑体" w:eastAsia="黑体" w:cs="黑体"/>
          <w:b w:val="0"/>
          <w:bCs/>
          <w:color w:val="000000" w:themeColor="text1"/>
          <w14:textFill>
            <w14:solidFill>
              <w14:schemeClr w14:val="tx1"/>
            </w14:solidFill>
          </w14:textFill>
        </w:rPr>
      </w:pPr>
      <w:r>
        <w:fldChar w:fldCharType="begin"/>
      </w:r>
      <w:r>
        <w:instrText xml:space="preserve"> HYPERLINK \l "_Toc30106" </w:instrText>
      </w:r>
      <w:r>
        <w:fldChar w:fldCharType="separate"/>
      </w:r>
      <w:r>
        <w:rPr>
          <w:rFonts w:hint="eastAsia" w:ascii="黑体" w:hAnsi="黑体" w:eastAsia="黑体" w:cs="黑体"/>
          <w:b w:val="0"/>
          <w:bCs/>
          <w:color w:val="000000" w:themeColor="text1"/>
          <w14:textFill>
            <w14:solidFill>
              <w14:schemeClr w14:val="tx1"/>
            </w14:solidFill>
          </w14:textFill>
        </w:rPr>
        <w:t>第五节 加强异地务工人员服务保障</w:t>
      </w:r>
      <w:r>
        <w:rPr>
          <w:rFonts w:hint="eastAsia" w:ascii="黑体" w:hAnsi="黑体" w:eastAsia="黑体" w:cs="黑体"/>
          <w:b w:val="0"/>
          <w:bCs/>
          <w:color w:val="000000" w:themeColor="text1"/>
          <w14:textFill>
            <w14:solidFill>
              <w14:schemeClr w14:val="tx1"/>
            </w14:solidFill>
          </w14:textFill>
        </w:rPr>
        <w:fldChar w:fldCharType="end"/>
      </w:r>
    </w:p>
    <w:p>
      <w:pPr>
        <w:spacing w:line="580" w:lineRule="exact"/>
        <w:ind w:firstLine="640" w:firstLineChars="200"/>
      </w:pPr>
      <w:r>
        <w:rPr>
          <w:rFonts w:hint="eastAsia" w:eastAsia="方正仿宋简体"/>
        </w:rPr>
        <w:t>加快推进异地务工人员市民化。不断提升异地务工人员平等享受城镇基本公共服务水平。重点促进县域内稳定就业生活的异地务工人员市民化。落实异地务工人员与城镇职工平等就业制度。多渠道促进异地务工人员就业创业，加强异地务工人员相关就业创业政策宣传，同时加强异地务工人员输入输出地劳务对接，支持异地务工人员返乡创业和就地就近就业。实施异地务工人员素质提升工程，大规模开展异地务工人员培训。推动异地务工人员依法签订劳动合同。落实异地务工人员与城镇职工享受同工同酬的权利。健全异地务工人员劳动权益保护机制， 扩大异地务工人员参加城镇职工社会保险覆盖范围，实现有稳定劳动关系的异地务工人员全部参保。引导异地务工人员就地就近解决工资争议，优先受理拖欠异地务工人员工资仲裁案件。提高异地务工人员基层服务能力，完善异地务工人员服务就业创业保障机制。发挥异地务工人员在乡村振兴中的作用，鼓励和引导更多异地务工人员投身乡村振兴建设。加强异地务工人员工作宣传，积极营造全社会关心关爱异地务工人员的良好氛围。</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shd w:val="clear" w:color="auto" w:fill="FFC000" w:themeFill="accent4"/>
            <w:vAlign w:val="center"/>
          </w:tcPr>
          <w:p>
            <w:pPr>
              <w:spacing w:line="360" w:lineRule="auto"/>
              <w:jc w:val="center"/>
              <w:rPr>
                <w:rFonts w:eastAsia="黑体"/>
                <w:color w:val="000000" w:themeColor="text1"/>
                <w:kern w:val="0"/>
                <w:sz w:val="28"/>
                <w:szCs w:val="28"/>
                <w14:textFill>
                  <w14:solidFill>
                    <w14:schemeClr w14:val="tx1"/>
                  </w14:solidFill>
                </w14:textFill>
              </w:rPr>
            </w:pPr>
            <w:r>
              <w:rPr>
                <w:rFonts w:eastAsia="黑体"/>
                <w:color w:val="000000" w:themeColor="text1"/>
                <w:kern w:val="0"/>
                <w:sz w:val="28"/>
                <w:szCs w:val="28"/>
                <w14:textFill>
                  <w14:solidFill>
                    <w14:schemeClr w14:val="tx1"/>
                  </w14:solidFill>
                </w14:textFill>
              </w:rPr>
              <w:t>专栏九  构建新型和谐劳动关系行动计划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8296" w:type="dxa"/>
            <w:tcBorders>
              <w:bottom w:val="single" w:color="auto" w:sz="4" w:space="0"/>
            </w:tcBorders>
            <w:vAlign w:val="center"/>
          </w:tcPr>
          <w:p>
            <w:pPr>
              <w:ind w:firstLine="482" w:firstLineChars="200"/>
              <w:rPr>
                <w:rFonts w:eastAsia="方正仿宋简体"/>
                <w:bCs/>
                <w:color w:val="000000" w:themeColor="text1"/>
                <w:kern w:val="0"/>
                <w:sz w:val="24"/>
                <w:szCs w:val="24"/>
                <w14:textFill>
                  <w14:solidFill>
                    <w14:schemeClr w14:val="tx1"/>
                  </w14:solidFill>
                </w14:textFill>
              </w:rPr>
            </w:pPr>
            <w:r>
              <w:rPr>
                <w:rFonts w:eastAsia="方正仿宋简体"/>
                <w:b/>
                <w:bCs/>
                <w:color w:val="000000" w:themeColor="text1"/>
                <w:kern w:val="0"/>
                <w:sz w:val="24"/>
                <w:szCs w:val="24"/>
                <w14:textFill>
                  <w14:solidFill>
                    <w14:schemeClr w14:val="tx1"/>
                  </w14:solidFill>
                </w14:textFill>
              </w:rPr>
              <w:t>1.深入实施和谐劳动关系示范创建工程。</w:t>
            </w:r>
            <w:r>
              <w:rPr>
                <w:rFonts w:eastAsia="方正仿宋简体"/>
                <w:bCs/>
                <w:color w:val="000000" w:themeColor="text1"/>
                <w:kern w:val="0"/>
                <w:sz w:val="24"/>
                <w:szCs w:val="24"/>
                <w14:textFill>
                  <w14:solidFill>
                    <w14:schemeClr w14:val="tx1"/>
                  </w14:solidFill>
                </w14:textFill>
              </w:rPr>
              <w:t>推进劳动关系治理体制机制和模式创新，通过协调劳动关系三方四家共同行动，培育“企业关爱职工，职工热爱企业”的和谐理念，打造我县具有影响力的劳动关系和谐企业典型。</w:t>
            </w:r>
          </w:p>
          <w:p>
            <w:pPr>
              <w:ind w:firstLine="482" w:firstLineChars="200"/>
              <w:rPr>
                <w:rFonts w:eastAsia="方正仿宋简体"/>
                <w:bCs/>
                <w:color w:val="000000" w:themeColor="text1"/>
                <w:kern w:val="0"/>
                <w:sz w:val="24"/>
                <w:szCs w:val="24"/>
                <w14:textFill>
                  <w14:solidFill>
                    <w14:schemeClr w14:val="tx1"/>
                  </w14:solidFill>
                </w14:textFill>
              </w:rPr>
            </w:pPr>
            <w:r>
              <w:rPr>
                <w:rFonts w:eastAsia="方正仿宋简体"/>
                <w:b/>
                <w:bCs/>
                <w:color w:val="000000" w:themeColor="text1"/>
                <w:kern w:val="0"/>
                <w:sz w:val="24"/>
                <w:szCs w:val="24"/>
                <w14:textFill>
                  <w14:solidFill>
                    <w14:schemeClr w14:val="tx1"/>
                  </w14:solidFill>
                </w14:textFill>
              </w:rPr>
              <w:t>2.重点企业用工指导计划。</w:t>
            </w:r>
            <w:r>
              <w:rPr>
                <w:rFonts w:eastAsia="方正仿宋简体"/>
                <w:bCs/>
                <w:color w:val="000000" w:themeColor="text1"/>
                <w:kern w:val="0"/>
                <w:sz w:val="24"/>
                <w:szCs w:val="24"/>
                <w14:textFill>
                  <w14:solidFill>
                    <w14:schemeClr w14:val="tx1"/>
                  </w14:solidFill>
                </w14:textFill>
              </w:rPr>
              <w:t>以用工规模较大、生产经营存在较大困难的企业为重点，指导企业采取多种措施稳定工作岗位，发挥集体协商协调劳动关系重要作用，引导企业与职工共渡难关，尽量不裁员、少裁员，稳定劳动关系。</w:t>
            </w:r>
          </w:p>
          <w:p>
            <w:pPr>
              <w:ind w:firstLine="482" w:firstLineChars="200"/>
              <w:rPr>
                <w:rFonts w:eastAsia="方正仿宋简体"/>
                <w:color w:val="000000" w:themeColor="text1"/>
                <w:sz w:val="24"/>
                <w:szCs w:val="24"/>
                <w14:textFill>
                  <w14:solidFill>
                    <w14:schemeClr w14:val="tx1"/>
                  </w14:solidFill>
                </w14:textFill>
              </w:rPr>
            </w:pPr>
            <w:r>
              <w:rPr>
                <w:rFonts w:eastAsia="方正仿宋简体"/>
                <w:b/>
                <w:bCs/>
                <w:color w:val="000000" w:themeColor="text1"/>
                <w:kern w:val="0"/>
                <w:sz w:val="24"/>
                <w:szCs w:val="24"/>
                <w14:textFill>
                  <w14:solidFill>
                    <w14:schemeClr w14:val="tx1"/>
                  </w14:solidFill>
                </w14:textFill>
              </w:rPr>
              <w:t>3.劳动监察执法人员素质力提升计划。</w:t>
            </w:r>
            <w:r>
              <w:rPr>
                <w:rFonts w:eastAsia="方正仿宋简体"/>
                <w:color w:val="000000" w:themeColor="text1"/>
                <w:sz w:val="24"/>
                <w:szCs w:val="24"/>
                <w14:textFill>
                  <w14:solidFill>
                    <w14:schemeClr w14:val="tx1"/>
                  </w14:solidFill>
                </w14:textFill>
              </w:rPr>
              <w:t>组织开展《</w:t>
            </w:r>
            <w:r>
              <w:rPr>
                <w:rFonts w:hint="eastAsia" w:eastAsia="方正仿宋简体"/>
                <w:color w:val="000000" w:themeColor="text1"/>
                <w:sz w:val="24"/>
                <w:szCs w:val="24"/>
                <w14:textFill>
                  <w14:solidFill>
                    <w14:schemeClr w14:val="tx1"/>
                  </w14:solidFill>
                </w14:textFill>
              </w:rPr>
              <w:t>保障</w:t>
            </w:r>
            <w:r>
              <w:rPr>
                <w:rFonts w:eastAsia="方正仿宋简体"/>
                <w:color w:val="000000" w:themeColor="text1"/>
                <w:sz w:val="24"/>
                <w:szCs w:val="24"/>
                <w14:textFill>
                  <w14:solidFill>
                    <w14:schemeClr w14:val="tx1"/>
                  </w14:solidFill>
                </w14:textFill>
              </w:rPr>
              <w:t>农民工工资支付条例》专项培训学习，全面提升法律素质和执法能力，做好知法、传法、用法，切实保障《条例》的贯彻实施。至2022年底前，实现对全县劳动监察执法人员全员培训。</w:t>
            </w:r>
          </w:p>
          <w:p>
            <w:pPr>
              <w:ind w:firstLine="482" w:firstLineChars="200"/>
              <w:rPr>
                <w:rFonts w:eastAsia="方正仿宋简体"/>
                <w:color w:val="000000" w:themeColor="text1"/>
                <w:sz w:val="24"/>
                <w:szCs w:val="24"/>
                <w14:textFill>
                  <w14:solidFill>
                    <w14:schemeClr w14:val="tx1"/>
                  </w14:solidFill>
                </w14:textFill>
              </w:rPr>
            </w:pPr>
            <w:r>
              <w:rPr>
                <w:rFonts w:eastAsia="方正仿宋简体"/>
                <w:b/>
                <w:bCs/>
                <w:color w:val="000000" w:themeColor="text1"/>
                <w:kern w:val="0"/>
                <w:sz w:val="24"/>
                <w:szCs w:val="24"/>
                <w14:textFill>
                  <w14:solidFill>
                    <w14:schemeClr w14:val="tx1"/>
                  </w14:solidFill>
                </w14:textFill>
              </w:rPr>
              <w:t>4.建立五华县工资支付监控预警平台。</w:t>
            </w:r>
            <w:r>
              <w:rPr>
                <w:rFonts w:eastAsia="方正仿宋简体"/>
                <w:color w:val="000000" w:themeColor="text1"/>
                <w:sz w:val="24"/>
                <w:szCs w:val="24"/>
                <w14:textFill>
                  <w14:solidFill>
                    <w14:schemeClr w14:val="tx1"/>
                  </w14:solidFill>
                </w14:textFill>
              </w:rPr>
              <w:t>汇总人社、发改、司法、财政、住建、交通、水务、市场监管、银行等多个部门和行业的数据，及时共享工程项目审批、资金落实、施工许可、劳动用工、工资支付等信息，实现工资支付监控和劳资纠纷预警预判。工资支付监控预警平台计划于2021年底前完成，并向市级平台推送数据。</w:t>
            </w:r>
          </w:p>
          <w:p>
            <w:pPr>
              <w:ind w:firstLine="482" w:firstLineChars="200"/>
              <w:rPr>
                <w:rFonts w:eastAsia="方正仿宋简体"/>
                <w:color w:val="000000" w:themeColor="text1"/>
                <w:sz w:val="24"/>
                <w:szCs w:val="24"/>
                <w14:textFill>
                  <w14:solidFill>
                    <w14:schemeClr w14:val="tx1"/>
                  </w14:solidFill>
                </w14:textFill>
              </w:rPr>
            </w:pPr>
            <w:r>
              <w:rPr>
                <w:rFonts w:eastAsia="方正仿宋简体"/>
                <w:b/>
                <w:bCs/>
                <w:color w:val="000000" w:themeColor="text1"/>
                <w:kern w:val="0"/>
                <w:sz w:val="24"/>
                <w:szCs w:val="24"/>
                <w14:textFill>
                  <w14:solidFill>
                    <w14:schemeClr w14:val="tx1"/>
                  </w14:solidFill>
                </w14:textFill>
              </w:rPr>
              <w:t>5.优化调解仲裁信息化建设。</w:t>
            </w:r>
            <w:r>
              <w:rPr>
                <w:rFonts w:eastAsia="方正仿宋简体"/>
                <w:color w:val="000000" w:themeColor="text1"/>
                <w:sz w:val="24"/>
                <w:szCs w:val="24"/>
                <w14:textFill>
                  <w14:solidFill>
                    <w14:schemeClr w14:val="tx1"/>
                  </w14:solidFill>
                </w14:textFill>
              </w:rPr>
              <w:t>完成人社部《“互联网+调解仲裁”2020行动实施计划》，推进智慧调解仲裁建设，优化在线调解仲裁服务标准和流程，完善预约咨询、在线申请、短信提醒、视频调解、在线庭审、远程质证、电子签名、网上送达、进度查询、法律查询、案例参考、裁判指引、统计分析等在线调解仲裁服务功能，打造裁审衔接平台，实现劳动人事争议案件的智立、智调、智审、智享、智达、智辅。</w:t>
            </w:r>
          </w:p>
          <w:p>
            <w:pPr>
              <w:ind w:firstLine="482" w:firstLineChars="200"/>
              <w:rPr>
                <w:b/>
                <w:color w:val="000000" w:themeColor="text1"/>
                <w:kern w:val="0"/>
                <w:sz w:val="24"/>
                <w:szCs w:val="24"/>
                <w14:textFill>
                  <w14:solidFill>
                    <w14:schemeClr w14:val="tx1"/>
                  </w14:solidFill>
                </w14:textFill>
              </w:rPr>
            </w:pPr>
            <w:r>
              <w:rPr>
                <w:rFonts w:eastAsia="方正仿宋简体"/>
                <w:b/>
                <w:bCs/>
                <w:color w:val="000000" w:themeColor="text1"/>
                <w:kern w:val="0"/>
                <w:sz w:val="24"/>
                <w:szCs w:val="24"/>
                <w14:textFill>
                  <w14:solidFill>
                    <w14:schemeClr w14:val="tx1"/>
                  </w14:solidFill>
                </w14:textFill>
              </w:rPr>
              <w:t>6.推进调解仲裁机构队伍建设。</w:t>
            </w:r>
            <w:r>
              <w:rPr>
                <w:rFonts w:eastAsia="方正仿宋简体"/>
                <w:color w:val="000000" w:themeColor="text1"/>
                <w:sz w:val="24"/>
                <w:szCs w:val="24"/>
                <w14:textFill>
                  <w14:solidFill>
                    <w14:schemeClr w14:val="tx1"/>
                  </w14:solidFill>
                </w14:textFill>
              </w:rPr>
              <w:t>积极争取组织部门、编制管理部门的支持，推动厘清仲裁机构实体化的本质涵义及标准，充实调解仲裁队伍。多层次多角度开展专业培训，积极参与岗位练兵，提升调解员、仲裁员综合素质和办案水平。规范跨县统筹办案力量管理，拓宽仲裁员职业保障和发展渠道。</w:t>
            </w:r>
          </w:p>
        </w:tc>
      </w:tr>
    </w:tbl>
    <w:p>
      <w:pPr>
        <w:pStyle w:val="3"/>
        <w:spacing w:line="580" w:lineRule="exact"/>
        <w:rPr>
          <w:rFonts w:ascii="方正小标宋简体" w:hAnsi="方正小标宋简体" w:eastAsia="方正小标宋简体" w:cs="方正小标宋简体"/>
          <w:b w:val="0"/>
          <w:bCs/>
          <w:color w:val="000000" w:themeColor="text1"/>
          <w14:textFill>
            <w14:solidFill>
              <w14:schemeClr w14:val="tx1"/>
            </w14:solidFill>
          </w14:textFill>
        </w:rPr>
      </w:pPr>
      <w:bookmarkStart w:id="51" w:name="_Toc93738286"/>
      <w:r>
        <w:rPr>
          <w:rFonts w:hint="eastAsia" w:ascii="方正小标宋简体" w:hAnsi="方正小标宋简体" w:eastAsia="方正小标宋简体" w:cs="方正小标宋简体"/>
          <w:b w:val="0"/>
          <w:bCs/>
          <w:color w:val="000000" w:themeColor="text1"/>
          <w14:textFill>
            <w14:solidFill>
              <w14:schemeClr w14:val="tx1"/>
            </w14:solidFill>
          </w14:textFill>
        </w:rPr>
        <w:t>第十章 提升公共服务能力和水平</w:t>
      </w:r>
      <w:bookmarkEnd w:id="51"/>
    </w:p>
    <w:p>
      <w:pPr>
        <w:spacing w:line="580" w:lineRule="exact"/>
        <w:ind w:firstLine="640" w:firstLineChars="200"/>
        <w:rPr>
          <w:rFonts w:eastAsia="方正仿宋简体"/>
          <w:color w:val="000000" w:themeColor="text1"/>
          <w14:textFill>
            <w14:solidFill>
              <w14:schemeClr w14:val="tx1"/>
            </w14:solidFill>
          </w14:textFill>
        </w:rPr>
      </w:pPr>
      <w:r>
        <w:rPr>
          <w:rFonts w:eastAsia="方正仿宋简体"/>
          <w:color w:val="000000" w:themeColor="text1"/>
          <w14:textFill>
            <w14:solidFill>
              <w14:schemeClr w14:val="tx1"/>
            </w14:solidFill>
          </w14:textFill>
        </w:rPr>
        <w:t>大力推进基本公共服务均等化</w:t>
      </w:r>
      <w:r>
        <w:rPr>
          <w:rFonts w:hint="eastAsia" w:eastAsia="方正仿宋简体"/>
          <w:color w:val="000000" w:themeColor="text1"/>
          <w14:textFill>
            <w14:solidFill>
              <w14:schemeClr w14:val="tx1"/>
            </w14:solidFill>
          </w14:textFill>
        </w:rPr>
        <w:t>、</w:t>
      </w:r>
      <w:r>
        <w:rPr>
          <w:rFonts w:eastAsia="方正仿宋简体"/>
          <w:color w:val="000000" w:themeColor="text1"/>
          <w14:textFill>
            <w14:solidFill>
              <w14:schemeClr w14:val="tx1"/>
            </w14:solidFill>
          </w14:textFill>
        </w:rPr>
        <w:t>标准化和信息化，加强公共就业、社会保险、人事人才、调解仲裁和劳动保障监察等服务设施建设，加强系统行风建设，为人民群众提供更加全面、更加均衡、更高质量、更加便捷、更可持续的人力资源和社会保障基本公共服务。</w:t>
      </w:r>
    </w:p>
    <w:p>
      <w:pPr>
        <w:pStyle w:val="2"/>
        <w:numPr>
          <w:ilvl w:val="0"/>
          <w:numId w:val="2"/>
        </w:numPr>
        <w:spacing w:line="560" w:lineRule="exact"/>
        <w:ind w:left="1202" w:hanging="1202"/>
        <w:rPr>
          <w:rFonts w:ascii="黑体" w:hAnsi="黑体" w:eastAsia="黑体" w:cs="黑体"/>
          <w:b w:val="0"/>
          <w:bCs/>
          <w:color w:val="000000" w:themeColor="text1"/>
          <w14:textFill>
            <w14:solidFill>
              <w14:schemeClr w14:val="tx1"/>
            </w14:solidFill>
          </w14:textFill>
        </w:rPr>
      </w:pPr>
      <w:bookmarkStart w:id="52" w:name="_Toc93738287"/>
      <w:r>
        <w:rPr>
          <w:rFonts w:hint="eastAsia" w:ascii="黑体" w:hAnsi="黑体" w:eastAsia="黑体" w:cs="黑体"/>
          <w:b w:val="0"/>
          <w:bCs/>
          <w:color w:val="000000" w:themeColor="text1"/>
          <w14:textFill>
            <w14:solidFill>
              <w14:schemeClr w14:val="tx1"/>
            </w14:solidFill>
          </w14:textFill>
        </w:rPr>
        <w:t>加强公共服务能力建设</w:t>
      </w:r>
      <w:bookmarkEnd w:id="52"/>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推进公共服务设施建设。</w:t>
      </w:r>
      <w:r>
        <w:rPr>
          <w:rFonts w:eastAsia="方正仿宋简体"/>
          <w:color w:val="000000" w:themeColor="text1"/>
          <w14:textFill>
            <w14:solidFill>
              <w14:schemeClr w14:val="tx1"/>
            </w14:solidFill>
          </w14:textFill>
        </w:rPr>
        <w:t>完善基层平台建设，推动基本公共服务</w:t>
      </w:r>
      <w:r>
        <w:rPr>
          <w:rFonts w:hint="eastAsia" w:eastAsia="方正仿宋简体"/>
          <w:color w:val="000000" w:themeColor="text1"/>
          <w14:textFill>
            <w14:solidFill>
              <w14:schemeClr w14:val="tx1"/>
            </w14:solidFill>
          </w14:textFill>
        </w:rPr>
        <w:t>重心</w:t>
      </w:r>
      <w:r>
        <w:rPr>
          <w:rFonts w:eastAsia="方正仿宋简体"/>
          <w:color w:val="000000" w:themeColor="text1"/>
          <w14:textFill>
            <w14:solidFill>
              <w14:schemeClr w14:val="tx1"/>
            </w14:solidFill>
          </w14:textFill>
        </w:rPr>
        <w:t>下移、资源下沉，积极推行一站式办理、网上办理、委托代办等服务，简化办事手续、优化服务流程、明确办理时限。综合采取新建、改建和扩建等方式，加强公共服务设施建设，不断健全人力资源市场、社会保险服务中心、劳动人事争议仲裁院、基层巡回仲裁庭、农民工综合服务中心等服务平台，实现人力资源和社会保障管理服务的均等化和规范化，提高管理服务的效率，为城乡居民提供高效优质服务。</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加强公共服务效能建设。</w:t>
      </w:r>
      <w:r>
        <w:rPr>
          <w:rFonts w:eastAsia="方正仿宋简体"/>
          <w:color w:val="000000" w:themeColor="text1"/>
          <w14:textFill>
            <w14:solidFill>
              <w14:schemeClr w14:val="tx1"/>
            </w14:solidFill>
          </w14:textFill>
        </w:rPr>
        <w:t>持续推进人力资源</w:t>
      </w:r>
      <w:r>
        <w:rPr>
          <w:rFonts w:hint="eastAsia" w:eastAsia="方正仿宋简体"/>
          <w:color w:val="000000" w:themeColor="text1"/>
          <w14:textFill>
            <w14:solidFill>
              <w14:schemeClr w14:val="tx1"/>
            </w14:solidFill>
          </w14:textFill>
        </w:rPr>
        <w:t>和</w:t>
      </w:r>
      <w:r>
        <w:rPr>
          <w:rFonts w:eastAsia="方正仿宋简体"/>
          <w:color w:val="000000" w:themeColor="text1"/>
          <w14:textFill>
            <w14:solidFill>
              <w14:schemeClr w14:val="tx1"/>
            </w14:solidFill>
          </w14:textFill>
        </w:rPr>
        <w:t>社会保障公共服务标准化、规范化、专业化建设，健全促进城乡基本公共服务均等化的机制体制，促进公共服务资源在城乡之间均衡配置。探索建立基本公共服务购买机制，初步构建政府主导、社会参与的多元供给格局。推进社会保险经办机构、劳动能力鉴定机构和人力资源服务机构不断完善，提升其服务功能和服务标准。深入开展窗口服务“明察暗访”行动，建立人社政务服务“好差评”评价体系，主动接受服务对象和社会监督。</w:t>
      </w:r>
    </w:p>
    <w:p>
      <w:pPr>
        <w:pBdr>
          <w:top w:val="none" w:color="000000" w:sz="0" w:space="0"/>
          <w:left w:val="none" w:color="000000" w:sz="0" w:space="0"/>
          <w:bottom w:val="none" w:color="000000" w:sz="0" w:space="15"/>
          <w:right w:val="none" w:color="000000" w:sz="0" w:space="1"/>
        </w:pBdr>
        <w:autoSpaceDN w:val="0"/>
        <w:spacing w:line="580" w:lineRule="exact"/>
        <w:ind w:firstLine="643" w:firstLineChars="200"/>
        <w:rPr>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深化行政审批制度改革。</w:t>
      </w:r>
      <w:r>
        <w:rPr>
          <w:rFonts w:eastAsia="方正仿宋简体"/>
          <w:color w:val="000000" w:themeColor="text1"/>
          <w14:textFill>
            <w14:solidFill>
              <w14:schemeClr w14:val="tx1"/>
            </w14:solidFill>
          </w14:textFill>
        </w:rPr>
        <w:t>加大简政放权力度，创新审批服务方式。为深入贯彻落实“放管服”改革要求，优化营商环境，推进“清减压”行动，推动服务窗口向村居、社区下沉前移。建立就业和社会保障领域权力清单、责任清单，建立健全政策和经办规程的清理制度，努力做到依法履职。</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8522" w:type="dxa"/>
            <w:shd w:val="clear" w:color="auto" w:fill="FFC000" w:themeFill="accent4"/>
            <w:vAlign w:val="center"/>
          </w:tcPr>
          <w:p>
            <w:pPr>
              <w:adjustRightInd w:val="0"/>
              <w:snapToGrid w:val="0"/>
              <w:jc w:val="center"/>
              <w:rPr>
                <w:rFonts w:eastAsia="黑体"/>
                <w:color w:val="000000" w:themeColor="text1"/>
                <w:kern w:val="0"/>
                <w:sz w:val="28"/>
                <w:szCs w:val="28"/>
                <w14:textFill>
                  <w14:solidFill>
                    <w14:schemeClr w14:val="tx1"/>
                  </w14:solidFill>
                </w14:textFill>
              </w:rPr>
            </w:pPr>
            <w:r>
              <w:rPr>
                <w:rFonts w:eastAsia="黑体"/>
                <w:color w:val="000000" w:themeColor="text1"/>
                <w:kern w:val="0"/>
                <w:sz w:val="28"/>
                <w:szCs w:val="28"/>
                <w14:textFill>
                  <w14:solidFill>
                    <w14:schemeClr w14:val="tx1"/>
                  </w14:solidFill>
                </w14:textFill>
              </w:rPr>
              <w:t>专栏十  “清减压”行动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center"/>
          </w:tcPr>
          <w:p>
            <w:pPr>
              <w:ind w:firstLine="482" w:firstLineChars="200"/>
              <w:rPr>
                <w:rFonts w:eastAsia="方正仿宋简体"/>
                <w:color w:val="000000" w:themeColor="text1"/>
                <w:kern w:val="0"/>
                <w:sz w:val="24"/>
                <w:szCs w:val="24"/>
                <w14:textFill>
                  <w14:solidFill>
                    <w14:schemeClr w14:val="tx1"/>
                  </w14:solidFill>
                </w14:textFill>
              </w:rPr>
            </w:pPr>
            <w:r>
              <w:rPr>
                <w:rFonts w:eastAsia="方正仿宋简体"/>
                <w:b/>
                <w:bCs/>
                <w:color w:val="000000" w:themeColor="text1"/>
                <w:kern w:val="0"/>
                <w:sz w:val="24"/>
                <w:szCs w:val="24"/>
                <w14:textFill>
                  <w14:solidFill>
                    <w14:schemeClr w14:val="tx1"/>
                  </w14:solidFill>
                </w14:textFill>
              </w:rPr>
              <w:t>1.实施“清事项”行动。</w:t>
            </w:r>
            <w:r>
              <w:rPr>
                <w:rFonts w:eastAsia="方正仿宋简体"/>
                <w:bCs/>
                <w:color w:val="000000" w:themeColor="text1"/>
                <w:kern w:val="0"/>
                <w:sz w:val="24"/>
                <w:szCs w:val="24"/>
                <w14:textFill>
                  <w14:solidFill>
                    <w14:schemeClr w14:val="tx1"/>
                  </w14:solidFill>
                </w14:textFill>
              </w:rPr>
              <w:t>清理规范行政备案、登记注册、年检年报、指定认证等行政管理事项。动态调整政务服务事项清单和办事指南，推动流程相近、材料相同、结果关联的多个事项整合为“一件事”。</w:t>
            </w:r>
          </w:p>
          <w:p>
            <w:pPr>
              <w:ind w:firstLine="482" w:firstLineChars="200"/>
              <w:rPr>
                <w:rFonts w:eastAsia="方正仿宋简体"/>
                <w:bCs/>
                <w:color w:val="000000" w:themeColor="text1"/>
                <w:kern w:val="0"/>
                <w:sz w:val="24"/>
                <w:szCs w:val="24"/>
                <w14:textFill>
                  <w14:solidFill>
                    <w14:schemeClr w14:val="tx1"/>
                  </w14:solidFill>
                </w14:textFill>
              </w:rPr>
            </w:pPr>
            <w:r>
              <w:rPr>
                <w:rFonts w:eastAsia="方正仿宋简体"/>
                <w:b/>
                <w:bCs/>
                <w:color w:val="000000" w:themeColor="text1"/>
                <w:kern w:val="0"/>
                <w:sz w:val="24"/>
                <w:szCs w:val="24"/>
                <w14:textFill>
                  <w14:solidFill>
                    <w14:schemeClr w14:val="tx1"/>
                  </w14:solidFill>
                </w14:textFill>
              </w:rPr>
              <w:t>2.实施“减材料”行动。</w:t>
            </w:r>
            <w:r>
              <w:rPr>
                <w:rFonts w:eastAsia="方正仿宋简体"/>
                <w:bCs/>
                <w:color w:val="000000" w:themeColor="text1"/>
                <w:kern w:val="0"/>
                <w:sz w:val="24"/>
                <w:szCs w:val="24"/>
                <w14:textFill>
                  <w14:solidFill>
                    <w14:schemeClr w14:val="tx1"/>
                  </w14:solidFill>
                </w14:textFill>
              </w:rPr>
              <w:t>积极推进“证照分离”改革试点，推行“容缺受理”制度。深入开展“减证便民”行动，推广证明事项告知和承诺制。实施行政审批线上监督，对违规要求提供材料进行即时预警。</w:t>
            </w:r>
          </w:p>
          <w:p>
            <w:pPr>
              <w:ind w:firstLine="482" w:firstLineChars="200"/>
              <w:rPr>
                <w:b/>
                <w:bCs/>
                <w:color w:val="000000" w:themeColor="text1"/>
                <w:kern w:val="0"/>
                <w:sz w:val="28"/>
                <w:szCs w:val="28"/>
                <w14:textFill>
                  <w14:solidFill>
                    <w14:schemeClr w14:val="tx1"/>
                  </w14:solidFill>
                </w14:textFill>
              </w:rPr>
            </w:pPr>
            <w:r>
              <w:rPr>
                <w:rFonts w:eastAsia="方正仿宋简体"/>
                <w:b/>
                <w:bCs/>
                <w:color w:val="000000" w:themeColor="text1"/>
                <w:kern w:val="0"/>
                <w:sz w:val="24"/>
                <w:szCs w:val="24"/>
                <w14:textFill>
                  <w14:solidFill>
                    <w14:schemeClr w14:val="tx1"/>
                  </w14:solidFill>
                </w14:textFill>
              </w:rPr>
              <w:t>3.实施“压时限”行动。</w:t>
            </w:r>
            <w:r>
              <w:rPr>
                <w:rFonts w:eastAsia="方正仿宋简体"/>
                <w:bCs/>
                <w:color w:val="000000" w:themeColor="text1"/>
                <w:kern w:val="0"/>
                <w:sz w:val="24"/>
                <w:szCs w:val="24"/>
                <w14:textFill>
                  <w14:solidFill>
                    <w14:schemeClr w14:val="tx1"/>
                  </w14:solidFill>
                </w14:textFill>
              </w:rPr>
              <w:t>开展“服务快办”行动，推出一批“秒批”、“秒办”服务项目。聚焦群众反映强烈的社保关系转移接续、工伤认定、社保卡办理、培训补贴申领、失业保险金申领等事项压缩办事时限。</w:t>
            </w:r>
          </w:p>
        </w:tc>
      </w:tr>
    </w:tbl>
    <w:p>
      <w:pPr>
        <w:pStyle w:val="2"/>
        <w:numPr>
          <w:ilvl w:val="0"/>
          <w:numId w:val="2"/>
        </w:numPr>
        <w:spacing w:line="560" w:lineRule="exact"/>
        <w:ind w:left="1202" w:hanging="1202"/>
        <w:rPr>
          <w:rFonts w:ascii="黑体" w:hAnsi="黑体" w:eastAsia="黑体" w:cs="黑体"/>
          <w:b w:val="0"/>
          <w:bCs/>
          <w:color w:val="000000" w:themeColor="text1"/>
          <w14:textFill>
            <w14:solidFill>
              <w14:schemeClr w14:val="tx1"/>
            </w14:solidFill>
          </w14:textFill>
        </w:rPr>
      </w:pPr>
      <w:bookmarkStart w:id="53" w:name="_Toc93738288"/>
      <w:r>
        <w:rPr>
          <w:rFonts w:hint="eastAsia" w:ascii="黑体" w:hAnsi="黑体" w:eastAsia="黑体" w:cs="黑体"/>
          <w:b w:val="0"/>
          <w:bCs/>
          <w:color w:val="000000" w:themeColor="text1"/>
          <w14:textFill>
            <w14:solidFill>
              <w14:schemeClr w14:val="tx1"/>
            </w14:solidFill>
          </w14:textFill>
        </w:rPr>
        <w:t>大力推进信息化建设</w:t>
      </w:r>
      <w:bookmarkEnd w:id="53"/>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加快一体化信息系统建设。</w:t>
      </w:r>
      <w:r>
        <w:rPr>
          <w:rFonts w:eastAsia="方正仿宋简体"/>
          <w:color w:val="000000" w:themeColor="text1"/>
          <w14:textFill>
            <w14:solidFill>
              <w14:schemeClr w14:val="tx1"/>
            </w14:solidFill>
          </w14:textFill>
        </w:rPr>
        <w:t>推动和规范就业服务、人事人才、人事考试等信息系统集约化建设。实现劳动保障监察信息系统的网格化管理，按照部署要求做好社会保险异地业务应用系统的建设。推动各业务系统的全覆盖、标准化、规范化，将县区各项业务数据集中到市级数据库，整合分散的信息系统，实现全县范围内的人社业务协同。建设统一的“互联网+人社政务服务”综合信息服务平台。整合门户网站、自助终端、基层站点、咨询电话、手机客户端和社交媒体服务功能，拓展网上服务领域和内容。加强社保卡线上线下综合应用，以电子社保卡为载体打通线上线下公共服务渠道。</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推进“智慧人社”平台建设。</w:t>
      </w:r>
      <w:r>
        <w:rPr>
          <w:rFonts w:eastAsia="方正仿宋简体"/>
          <w:color w:val="000000" w:themeColor="text1"/>
          <w14:textFill>
            <w14:solidFill>
              <w14:schemeClr w14:val="tx1"/>
            </w14:solidFill>
          </w14:textFill>
        </w:rPr>
        <w:t>健全人社统计指标体系，完善数据共享发布制度和统计分析咨询机制，推动统计调查数据、业务行政记录、政府部门数据、社会公开披露数据的归集挖掘和关联分析，实现基于大数据的决策支持功能。从数据安全、网络安全、硬件安全、软件安全、环境安全等多方面进行人社系统安全设计和维护，建立安全检测监控系统，建设县级容灾备份中心，对重要应用系统数据和关键的主机系统实行冗余备份和灾难恢复，确保系统和数据安全。</w:t>
      </w:r>
    </w:p>
    <w:p>
      <w:pPr>
        <w:spacing w:line="580" w:lineRule="exact"/>
        <w:ind w:firstLine="643" w:firstLineChars="200"/>
        <w:rPr>
          <w:rFonts w:eastAsia="方正仿宋简体"/>
          <w:b/>
          <w:color w:val="000000" w:themeColor="text1"/>
          <w:highlight w:val="yellow"/>
          <w:lang w:val="zh-CN"/>
          <w14:textFill>
            <w14:solidFill>
              <w14:schemeClr w14:val="tx1"/>
            </w14:solidFill>
          </w14:textFill>
        </w:rPr>
      </w:pPr>
      <w:r>
        <w:rPr>
          <w:rFonts w:hint="eastAsia" w:ascii="方正仿宋简体" w:hAnsi="宋体" w:eastAsia="方正仿宋简体"/>
          <w:b/>
          <w:bCs/>
          <w:highlight w:val="yellow"/>
        </w:rPr>
        <w:t>推进医疗保障信息化建设。</w:t>
      </w:r>
      <w:r>
        <w:rPr>
          <w:rFonts w:hint="eastAsia" w:ascii="方正仿宋简体" w:hAnsi="宋体" w:eastAsia="方正仿宋简体"/>
          <w:highlight w:val="yellow"/>
        </w:rPr>
        <w:t>在成功上线国家医疗保障信息平台基础上，加快实现医保业务编码标准统一、医保数据规范统一。大力推广医保电子凭证应用，拓展医保电子支付凭证功能，逐步实现医保经办业务“网上办”和“掌上办”，提高运行效率和服务质量，实现让“信息多跑路，群众少跑腿”的服务目标。加强“互联网+医保监控”建设，逐步实现对两定机构、医保医师和参保人员在门诊、住院、药店购药等全流程监控。利用医保大数据的定量分析评估与研判医保政策的实施效果、现存问题及发展趋势，以实践指导政策的调整，保持医保政策调整的精准性、科学性和连续性。</w:t>
      </w:r>
    </w:p>
    <w:p>
      <w:pPr>
        <w:pStyle w:val="2"/>
        <w:numPr>
          <w:ilvl w:val="0"/>
          <w:numId w:val="2"/>
        </w:numPr>
        <w:spacing w:line="560" w:lineRule="exact"/>
        <w:ind w:left="3044"/>
        <w:jc w:val="both"/>
        <w:rPr>
          <w:rFonts w:ascii="黑体" w:hAnsi="黑体" w:eastAsia="黑体" w:cs="黑体"/>
          <w:b w:val="0"/>
          <w:bCs/>
          <w:color w:val="000000" w:themeColor="text1"/>
          <w14:textFill>
            <w14:solidFill>
              <w14:schemeClr w14:val="tx1"/>
            </w14:solidFill>
          </w14:textFill>
        </w:rPr>
      </w:pPr>
      <w:bookmarkStart w:id="54" w:name="_Toc93738289"/>
      <w:r>
        <w:rPr>
          <w:rFonts w:hint="eastAsia" w:ascii="黑体" w:hAnsi="黑体" w:eastAsia="黑体" w:cs="黑体"/>
          <w:b w:val="0"/>
          <w:bCs/>
          <w:color w:val="000000" w:themeColor="text1"/>
          <w14:textFill>
            <w14:solidFill>
              <w14:schemeClr w14:val="tx1"/>
            </w14:solidFill>
          </w14:textFill>
        </w:rPr>
        <w:t>加强人社系统队伍行风建设</w:t>
      </w:r>
      <w:bookmarkEnd w:id="54"/>
    </w:p>
    <w:p>
      <w:pPr>
        <w:spacing w:line="580" w:lineRule="exact"/>
        <w:ind w:firstLine="643" w:firstLineChars="200"/>
        <w:rPr>
          <w:rFonts w:eastAsia="方正仿宋简体"/>
          <w:color w:val="000000" w:themeColor="text1"/>
          <w14:textFill>
            <w14:solidFill>
              <w14:schemeClr w14:val="tx1"/>
            </w14:solidFill>
          </w14:textFill>
        </w:rPr>
      </w:pPr>
      <w:r>
        <w:rPr>
          <w:rFonts w:hint="eastAsia" w:eastAsia="方正仿宋简体"/>
          <w:b/>
          <w:color w:val="000000" w:themeColor="text1"/>
          <w14:textFill>
            <w14:solidFill>
              <w14:schemeClr w14:val="tx1"/>
            </w14:solidFill>
          </w14:textFill>
        </w:rPr>
        <w:t>厚植</w:t>
      </w:r>
      <w:r>
        <w:rPr>
          <w:rFonts w:eastAsia="方正仿宋简体"/>
          <w:b/>
          <w:color w:val="000000" w:themeColor="text1"/>
          <w14:textFill>
            <w14:solidFill>
              <w14:schemeClr w14:val="tx1"/>
            </w14:solidFill>
          </w14:textFill>
        </w:rPr>
        <w:t>优质服务作风。</w:t>
      </w:r>
      <w:r>
        <w:rPr>
          <w:rFonts w:eastAsia="方正仿宋简体"/>
          <w:color w:val="000000" w:themeColor="text1"/>
          <w14:textFill>
            <w14:solidFill>
              <w14:schemeClr w14:val="tx1"/>
            </w14:solidFill>
          </w14:textFill>
        </w:rPr>
        <w:t>推动行风建设与履职尽责互进共融，贯穿政策制定、日常监管、优化服务全过程，确保政策落实“最后一公里”接地气、有温度。常态化开展业务技能练兵比武，营造学政策、钻业务、练技能、强服务的良好氛围。深入推进人社系统窗口服务人员能力提升计划，深入开展“人社服务标兵”主题宣传。</w:t>
      </w:r>
    </w:p>
    <w:p>
      <w:pPr>
        <w:spacing w:line="580" w:lineRule="exact"/>
        <w:ind w:firstLine="643" w:firstLineChars="200"/>
        <w:rPr>
          <w:rFonts w:eastAsia="方正仿宋简体"/>
          <w:color w:val="000000" w:themeColor="text1"/>
          <w14:textFill>
            <w14:solidFill>
              <w14:schemeClr w14:val="tx1"/>
            </w14:solidFill>
          </w14:textFill>
        </w:rPr>
      </w:pPr>
      <w:r>
        <w:rPr>
          <w:rFonts w:eastAsia="方正仿宋简体"/>
          <w:b/>
          <w:color w:val="000000" w:themeColor="text1"/>
          <w14:textFill>
            <w14:solidFill>
              <w14:schemeClr w14:val="tx1"/>
            </w14:solidFill>
          </w14:textFill>
        </w:rPr>
        <w:t>打造忠诚干净担当的干部队伍。</w:t>
      </w:r>
      <w:r>
        <w:rPr>
          <w:rFonts w:eastAsia="方正仿宋简体"/>
          <w:color w:val="000000" w:themeColor="text1"/>
          <w14:textFill>
            <w14:solidFill>
              <w14:schemeClr w14:val="tx1"/>
            </w14:solidFill>
          </w14:textFill>
        </w:rPr>
        <w:t>持续深化党建引领作用</w:t>
      </w:r>
      <w:r>
        <w:rPr>
          <w:rFonts w:hint="eastAsia" w:eastAsia="方正仿宋简体"/>
          <w:color w:val="000000" w:themeColor="text1"/>
          <w14:textFill>
            <w14:solidFill>
              <w14:schemeClr w14:val="tx1"/>
            </w14:solidFill>
          </w14:textFill>
        </w:rPr>
        <w:t>，</w:t>
      </w:r>
      <w:r>
        <w:rPr>
          <w:rFonts w:eastAsia="方正仿宋简体"/>
          <w:color w:val="000000" w:themeColor="text1"/>
          <w14:textFill>
            <w14:solidFill>
              <w14:schemeClr w14:val="tx1"/>
            </w14:solidFill>
          </w14:textFill>
        </w:rPr>
        <w:t>抓基层、强示范、提质量，不断提高党的建设水平和组织工作质量。把“不忘初心、牢记使命”作为加强党的建设的永恒课题和全体党员干部的终身课题常抓不懈。充实高素质人力资源社会保障队伍，优化人员结构。完善廉政风险防控机制，加强基金安全、行政许可、行政审批等重点领域的廉政风险管理。坚决纠治形式主义、官僚主义，守好人社领域意识形态阵地。</w:t>
      </w:r>
    </w:p>
    <w:p>
      <w:pPr>
        <w:pStyle w:val="3"/>
        <w:spacing w:line="580" w:lineRule="exact"/>
        <w:rPr>
          <w:rFonts w:ascii="方正小标宋简体" w:hAnsi="方正小标宋简体" w:eastAsia="方正小标宋简体" w:cs="方正小标宋简体"/>
          <w:b w:val="0"/>
          <w:bCs/>
        </w:rPr>
      </w:pPr>
      <w:bookmarkStart w:id="55" w:name="_Toc93738290"/>
      <w:r>
        <w:rPr>
          <w:rFonts w:hint="eastAsia" w:ascii="方正小标宋简体" w:hAnsi="方正小标宋简体" w:eastAsia="方正小标宋简体" w:cs="方正小标宋简体"/>
          <w:b w:val="0"/>
          <w:bCs/>
        </w:rPr>
        <w:t>第十一章 强化规划实施保障措施</w:t>
      </w:r>
      <w:bookmarkEnd w:id="55"/>
    </w:p>
    <w:p>
      <w:pPr>
        <w:spacing w:line="580" w:lineRule="exact"/>
        <w:ind w:firstLine="640" w:firstLineChars="200"/>
        <w:rPr>
          <w:rFonts w:eastAsia="方正仿宋简体"/>
        </w:rPr>
      </w:pPr>
      <w:r>
        <w:rPr>
          <w:rFonts w:hint="eastAsia" w:eastAsia="方正仿宋简体"/>
        </w:rPr>
        <w:t>围绕</w:t>
      </w:r>
      <w:r>
        <w:rPr>
          <w:rFonts w:eastAsia="方正仿宋简体"/>
        </w:rPr>
        <w:t>“十四五”时期人力资源和社会保障事业</w:t>
      </w:r>
      <w:r>
        <w:rPr>
          <w:rFonts w:hint="eastAsia" w:eastAsia="方正仿宋简体"/>
        </w:rPr>
        <w:t>高质量发展任务</w:t>
      </w:r>
      <w:r>
        <w:rPr>
          <w:rFonts w:eastAsia="方正仿宋简体"/>
        </w:rPr>
        <w:t>，广泛发动各方力量，完善法治、政策、资金、人力、数据等各项保障措施，突出重点、统揽全局，推动规划确定的各项目标任务落实落地。</w:t>
      </w:r>
    </w:p>
    <w:p>
      <w:pPr>
        <w:pStyle w:val="2"/>
        <w:numPr>
          <w:ilvl w:val="255"/>
          <w:numId w:val="0"/>
        </w:numPr>
        <w:spacing w:line="560" w:lineRule="exact"/>
        <w:rPr>
          <w:rFonts w:ascii="黑体" w:hAnsi="黑体" w:eastAsia="黑体" w:cs="黑体"/>
          <w:b w:val="0"/>
          <w:bCs/>
          <w:color w:val="000000" w:themeColor="text1"/>
          <w14:textFill>
            <w14:solidFill>
              <w14:schemeClr w14:val="tx1"/>
            </w14:solidFill>
          </w14:textFill>
        </w:rPr>
      </w:pPr>
      <w:bookmarkStart w:id="56" w:name="_Toc93738291"/>
      <w:r>
        <w:rPr>
          <w:rFonts w:hint="eastAsia" w:ascii="黑体" w:hAnsi="黑体" w:eastAsia="黑体" w:cs="黑体"/>
          <w:b w:val="0"/>
          <w:bCs/>
          <w:color w:val="000000" w:themeColor="text1"/>
          <w14:textFill>
            <w14:solidFill>
              <w14:schemeClr w14:val="tx1"/>
            </w14:solidFill>
          </w14:textFill>
        </w:rPr>
        <w:t>第一节 坚持党的全面领导</w:t>
      </w:r>
      <w:bookmarkEnd w:id="56"/>
    </w:p>
    <w:p>
      <w:pPr>
        <w:spacing w:line="580" w:lineRule="exact"/>
        <w:ind w:firstLine="640" w:firstLineChars="200"/>
        <w:rPr>
          <w:rFonts w:eastAsia="方正仿宋简体"/>
        </w:rPr>
      </w:pPr>
      <w:r>
        <w:rPr>
          <w:rFonts w:eastAsia="方正仿宋简体"/>
          <w:kern w:val="0"/>
        </w:rPr>
        <w:t>规划引领经济社会发展，是党治国理政的重要方式，是中国特色社会主义发展模式的重要体现。必须坚持和加强党的全面领导，不断提高党员干部政治判断力、政治领悟力、政治执行力，把党的领导贯穿到规划实施的各领域和全过程，保障我县人社事业高质量发展。完善上下贯通、执行有力的组织体系，以高质量党建推进高质量发展，充分发挥基层党组织和党员的作用，最大限度凝聚全社会共识和力量，共同推动我县人社事业发展“十四五”规划蓝图实施。持之以恒落实中央八项规定精神，严防推进规划实施过程中的形式主义、官僚主义问题。</w:t>
      </w:r>
    </w:p>
    <w:p>
      <w:pPr>
        <w:pStyle w:val="2"/>
        <w:spacing w:line="560" w:lineRule="exact"/>
        <w:rPr>
          <w:rFonts w:ascii="黑体" w:hAnsi="黑体" w:eastAsia="黑体" w:cs="黑体"/>
          <w:b w:val="0"/>
          <w:bCs/>
          <w:color w:val="000000" w:themeColor="text1"/>
          <w14:textFill>
            <w14:solidFill>
              <w14:schemeClr w14:val="tx1"/>
            </w14:solidFill>
          </w14:textFill>
        </w:rPr>
      </w:pPr>
      <w:bookmarkStart w:id="57" w:name="_Toc72186281"/>
      <w:bookmarkStart w:id="58" w:name="_Toc93738292"/>
      <w:r>
        <w:rPr>
          <w:rFonts w:hint="eastAsia" w:ascii="黑体" w:hAnsi="黑体" w:eastAsia="黑体" w:cs="黑体"/>
          <w:b w:val="0"/>
          <w:bCs/>
          <w:color w:val="000000" w:themeColor="text1"/>
          <w14:textFill>
            <w14:solidFill>
              <w14:schemeClr w14:val="tx1"/>
            </w14:solidFill>
          </w14:textFill>
        </w:rPr>
        <w:t>第二节 强化法治建设</w:t>
      </w:r>
      <w:bookmarkEnd w:id="57"/>
      <w:bookmarkEnd w:id="58"/>
    </w:p>
    <w:p>
      <w:pPr>
        <w:spacing w:line="580" w:lineRule="exact"/>
        <w:ind w:firstLine="640" w:firstLineChars="200"/>
        <w:rPr>
          <w:rFonts w:eastAsia="方正仿宋简体"/>
        </w:rPr>
      </w:pPr>
      <w:r>
        <w:rPr>
          <w:rFonts w:eastAsia="方正仿宋简体"/>
        </w:rPr>
        <w:t>强化法治建设，全面落实人力资源和社会保障法律法规体系，进一步加强依法行政综合保障，实现行政管理更加高效、权力行使更加规范、法律体系更加完备、法治机制更加优化。推进行政决策科学化、民主化、法治化，完善规范性文件的制发和管理，建立健全集体参与、专家论证、风险评估、合法性审查、征求公众意见等决策制定程序常态化机制。加强内部层级监督，主动接受司法监督。完善人力资源和社会保障领域矛盾纠纷多元预防调处化解综合机制，认真做好行政复议和行政应诉工作。</w:t>
      </w:r>
    </w:p>
    <w:p>
      <w:pPr>
        <w:pStyle w:val="2"/>
        <w:spacing w:line="560" w:lineRule="exact"/>
        <w:rPr>
          <w:rFonts w:ascii="黑体" w:hAnsi="黑体" w:eastAsia="黑体" w:cs="黑体"/>
          <w:b w:val="0"/>
          <w:bCs/>
          <w:color w:val="000000" w:themeColor="text1"/>
          <w14:textFill>
            <w14:solidFill>
              <w14:schemeClr w14:val="tx1"/>
            </w14:solidFill>
          </w14:textFill>
        </w:rPr>
      </w:pPr>
      <w:bookmarkStart w:id="59" w:name="_Toc72186282"/>
      <w:bookmarkStart w:id="60" w:name="_Toc93738293"/>
      <w:r>
        <w:rPr>
          <w:rFonts w:hint="eastAsia" w:ascii="黑体" w:hAnsi="黑体" w:eastAsia="黑体" w:cs="黑体"/>
          <w:b w:val="0"/>
          <w:bCs/>
          <w:color w:val="000000" w:themeColor="text1"/>
          <w14:textFill>
            <w14:solidFill>
              <w14:schemeClr w14:val="tx1"/>
            </w14:solidFill>
          </w14:textFill>
        </w:rPr>
        <w:t>第三节 实施重大项目</w:t>
      </w:r>
      <w:bookmarkEnd w:id="59"/>
      <w:bookmarkEnd w:id="60"/>
    </w:p>
    <w:p>
      <w:pPr>
        <w:spacing w:line="580" w:lineRule="exact"/>
        <w:ind w:firstLine="640" w:firstLineChars="200"/>
        <w:rPr>
          <w:rFonts w:eastAsia="方正仿宋简体"/>
        </w:rPr>
      </w:pPr>
      <w:r>
        <w:rPr>
          <w:rFonts w:eastAsia="方正仿宋简体"/>
        </w:rPr>
        <w:t>针对人力资源和社会保障公共服务领域的关键部位和薄弱环节，因地制宜、突出重点，安排实施一批涉及公共就业、社会保障、人事人才、职业培训等方面的重大项目，实现政策措施与重大项目有机结合，促进基础设施的改善和管理服务能力的提升。加强项目实施的组织领导，明确项目实施责任主体，认真做好立项审批、资金筹集、项目实施、竣工验收各项工作，确保项目保质保量如期完成。加大财政对就业专项资金的投入力度，逐步提高社会保障支出占财政支出的比重，保障重大项目顺利实施。加强人力资源和社会保障专项资金管理，建立科学化、精细化理财模式，提高专项资金使用绩效。</w:t>
      </w:r>
    </w:p>
    <w:p>
      <w:pPr>
        <w:pStyle w:val="2"/>
        <w:spacing w:line="560" w:lineRule="exact"/>
        <w:rPr>
          <w:rFonts w:ascii="黑体" w:hAnsi="黑体" w:eastAsia="黑体" w:cs="黑体"/>
          <w:b w:val="0"/>
          <w:bCs/>
          <w:color w:val="000000" w:themeColor="text1"/>
          <w14:textFill>
            <w14:solidFill>
              <w14:schemeClr w14:val="tx1"/>
            </w14:solidFill>
          </w14:textFill>
        </w:rPr>
      </w:pPr>
      <w:bookmarkStart w:id="61" w:name="_Toc72186283"/>
      <w:bookmarkStart w:id="62" w:name="_Toc93738294"/>
      <w:r>
        <w:rPr>
          <w:rFonts w:hint="eastAsia" w:ascii="黑体" w:hAnsi="黑体" w:eastAsia="黑体" w:cs="黑体"/>
          <w:b w:val="0"/>
          <w:bCs/>
          <w:color w:val="000000" w:themeColor="text1"/>
          <w14:textFill>
            <w14:solidFill>
              <w14:schemeClr w14:val="tx1"/>
            </w14:solidFill>
          </w14:textFill>
        </w:rPr>
        <w:t>第四节 强化规划实施</w:t>
      </w:r>
      <w:bookmarkEnd w:id="61"/>
      <w:bookmarkEnd w:id="62"/>
    </w:p>
    <w:p>
      <w:pPr>
        <w:spacing w:line="580" w:lineRule="exact"/>
        <w:ind w:firstLine="640" w:firstLineChars="200"/>
        <w:rPr>
          <w:rFonts w:eastAsia="方正仿宋简体"/>
          <w:color w:val="FF0000"/>
        </w:rPr>
      </w:pPr>
      <w:r>
        <w:rPr>
          <w:rFonts w:eastAsia="方正仿宋简体"/>
        </w:rPr>
        <w:t>完善规划绩效评估制度，本规划确定的就业创业、社会保险、人才队伍建设等规划重点指标特别是约束性指标分解到各级各部门后，要纳入部门工作目标考核体系。建立规划目标任务逐年分解制度，加强督促检查，确保规划各项发展目标落到实处。加强对规划实施的动态监测和跟踪分析，及时发现和解决规划执行过程中存在的问题，定期组织对规划实施情况的检查，开展规划执行情况期中和期末评估，确保各项任务落到实处。健全规划实施统计监测评估机制，开展动态统计监测评估工作，把统计监测评估结果作为改进人力资源和社会保障工作的重要依据。</w:t>
      </w:r>
    </w:p>
    <w:p>
      <w:pPr>
        <w:pStyle w:val="2"/>
        <w:spacing w:line="560" w:lineRule="exact"/>
        <w:rPr>
          <w:rFonts w:ascii="黑体" w:hAnsi="黑体" w:eastAsia="黑体" w:cs="黑体"/>
          <w:b w:val="0"/>
          <w:bCs/>
          <w:color w:val="000000" w:themeColor="text1"/>
          <w14:textFill>
            <w14:solidFill>
              <w14:schemeClr w14:val="tx1"/>
            </w14:solidFill>
          </w14:textFill>
        </w:rPr>
      </w:pPr>
      <w:bookmarkStart w:id="63" w:name="_Toc72186284"/>
      <w:bookmarkStart w:id="64" w:name="_Toc93738295"/>
      <w:r>
        <w:rPr>
          <w:rFonts w:hint="eastAsia" w:ascii="黑体" w:hAnsi="黑体" w:eastAsia="黑体" w:cs="黑体"/>
          <w:b w:val="0"/>
          <w:bCs/>
          <w:color w:val="000000" w:themeColor="text1"/>
          <w14:textFill>
            <w14:solidFill>
              <w14:schemeClr w14:val="tx1"/>
            </w14:solidFill>
          </w14:textFill>
        </w:rPr>
        <w:t>第五节 加强宣传引导</w:t>
      </w:r>
      <w:bookmarkEnd w:id="63"/>
      <w:bookmarkEnd w:id="64"/>
    </w:p>
    <w:p>
      <w:pPr>
        <w:spacing w:line="580" w:lineRule="exact"/>
        <w:ind w:firstLine="640" w:firstLineChars="200"/>
        <w:rPr>
          <w:rFonts w:eastAsia="方正仿宋简体"/>
        </w:rPr>
      </w:pPr>
      <w:r>
        <w:rPr>
          <w:rFonts w:eastAsia="方正仿宋简体"/>
        </w:rPr>
        <w:t>加大规划宣传力度，提升社会宣传效应，进一步提高全社会对人力资源和社会保障事业的认识，充分利用数字化新媒体和报刊、广播、电视等传统媒体，加强政策宣传和舆论引导，全方位多角度宣传人力资源和社会保障法律法规和政策，营造有利于人力资源和社会保障事业发展的舆论氛围。</w:t>
      </w:r>
    </w:p>
    <w:p>
      <w:pPr>
        <w:widowControl/>
        <w:spacing w:line="580" w:lineRule="exact"/>
        <w:jc w:val="left"/>
        <w:rPr>
          <w:rFonts w:eastAsia="方正仿宋简体"/>
          <w:b/>
          <w:color w:val="000000" w:themeColor="text1"/>
          <w14:textFill>
            <w14:solidFill>
              <w14:schemeClr w14:val="tx1"/>
            </w14:solidFill>
          </w14:textFill>
        </w:rPr>
      </w:pPr>
    </w:p>
    <w:p>
      <w:pPr>
        <w:pStyle w:val="2"/>
        <w:spacing w:line="580" w:lineRule="exact"/>
        <w:ind w:left="1600" w:leftChars="200" w:hanging="960" w:hangingChars="300"/>
        <w:jc w:val="both"/>
        <w:rPr>
          <w:rFonts w:ascii="Times New Roman" w:hAnsi="Times New Roman" w:eastAsia="方正仿宋简体"/>
          <w:b w:val="0"/>
          <w:color w:val="000000" w:themeColor="text1"/>
          <w14:textFill>
            <w14:solidFill>
              <w14:schemeClr w14:val="tx1"/>
            </w14:solidFill>
          </w14:textFill>
        </w:rPr>
      </w:pPr>
      <w:bookmarkStart w:id="65" w:name="_Toc93738296"/>
      <w:r>
        <w:rPr>
          <w:rFonts w:ascii="Times New Roman" w:hAnsi="Times New Roman" w:eastAsia="方正仿宋简体"/>
          <w:b w:val="0"/>
          <w:color w:val="000000" w:themeColor="text1"/>
          <w14:textFill>
            <w14:solidFill>
              <w14:schemeClr w14:val="tx1"/>
            </w14:solidFill>
          </w14:textFill>
        </w:rPr>
        <w:t>附件：五华县人力资源和社会保障事业发展“十四五”规划重大项目表</w:t>
      </w:r>
      <w:bookmarkEnd w:id="65"/>
    </w:p>
    <w:p>
      <w:pPr>
        <w:rPr>
          <w:rFonts w:ascii="Arial" w:hAnsi="Arial" w:eastAsia="楷体"/>
          <w:color w:val="000000" w:themeColor="text1"/>
          <w14:textFill>
            <w14:solidFill>
              <w14:schemeClr w14:val="tx1"/>
            </w14:solidFill>
          </w14:textFill>
        </w:rPr>
        <w:sectPr>
          <w:headerReference r:id="rId3" w:type="default"/>
          <w:footerReference r:id="rId4" w:type="default"/>
          <w:pgSz w:w="11906" w:h="16838"/>
          <w:pgMar w:top="1871" w:right="1588" w:bottom="1871" w:left="1588" w:header="851" w:footer="992" w:gutter="0"/>
          <w:pgNumType w:start="1" w:chapStyle="1"/>
          <w:cols w:space="425" w:num="1"/>
          <w:docGrid w:type="lines" w:linePitch="435" w:charSpace="0"/>
        </w:sectPr>
      </w:pPr>
    </w:p>
    <w:p>
      <w:pPr>
        <w:ind w:left="-141" w:leftChars="-44"/>
        <w:rPr>
          <w:rFonts w:ascii="方正楷体简体" w:hAnsi="方正楷体简体" w:eastAsia="方正楷体简体" w:cs="方正楷体简体"/>
          <w:color w:val="000000" w:themeColor="text1"/>
          <w:sz w:val="28"/>
          <w:szCs w:val="28"/>
          <w14:textFill>
            <w14:solidFill>
              <w14:schemeClr w14:val="tx1"/>
            </w14:solidFill>
          </w14:textFill>
        </w:rPr>
      </w:pPr>
      <w:r>
        <w:rPr>
          <w:rFonts w:hint="eastAsia" w:ascii="方正楷体简体" w:hAnsi="方正楷体简体" w:eastAsia="方正楷体简体" w:cs="方正楷体简体"/>
          <w:color w:val="000000" w:themeColor="text1"/>
          <w:sz w:val="28"/>
          <w:szCs w:val="28"/>
          <w14:textFill>
            <w14:solidFill>
              <w14:schemeClr w14:val="tx1"/>
            </w14:solidFill>
          </w14:textFill>
        </w:rPr>
        <w:t>附件</w:t>
      </w:r>
    </w:p>
    <w:p>
      <w:pPr>
        <w:jc w:val="center"/>
        <w:rPr>
          <w:rFonts w:ascii="方正小标宋简体" w:eastAsia="方正小标宋简体"/>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五华县人力资源和社会保障事业发展“十四五”规划重大项目表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50"/>
        <w:gridCol w:w="1753"/>
        <w:gridCol w:w="940"/>
        <w:gridCol w:w="5540"/>
        <w:gridCol w:w="1188"/>
        <w:gridCol w:w="1092"/>
        <w:gridCol w:w="1152"/>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34" w:type="dxa"/>
            <w:vAlign w:val="center"/>
          </w:tcPr>
          <w:p>
            <w:pPr>
              <w:spacing w:line="320" w:lineRule="exact"/>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序号</w:t>
            </w:r>
          </w:p>
        </w:tc>
        <w:tc>
          <w:tcPr>
            <w:tcW w:w="850" w:type="dxa"/>
            <w:vAlign w:val="center"/>
          </w:tcPr>
          <w:p>
            <w:pPr>
              <w:spacing w:line="320" w:lineRule="exact"/>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项目</w:t>
            </w:r>
          </w:p>
          <w:p>
            <w:pPr>
              <w:spacing w:line="320" w:lineRule="exact"/>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建设</w:t>
            </w:r>
          </w:p>
          <w:p>
            <w:pPr>
              <w:spacing w:line="320" w:lineRule="exact"/>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阶段</w:t>
            </w:r>
          </w:p>
        </w:tc>
        <w:tc>
          <w:tcPr>
            <w:tcW w:w="1753" w:type="dxa"/>
            <w:vAlign w:val="center"/>
          </w:tcPr>
          <w:p>
            <w:pPr>
              <w:spacing w:line="320" w:lineRule="exact"/>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项目名称</w:t>
            </w:r>
          </w:p>
        </w:tc>
        <w:tc>
          <w:tcPr>
            <w:tcW w:w="940" w:type="dxa"/>
            <w:vAlign w:val="center"/>
          </w:tcPr>
          <w:p>
            <w:pPr>
              <w:spacing w:line="320" w:lineRule="exact"/>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建设起止年限</w:t>
            </w:r>
          </w:p>
        </w:tc>
        <w:tc>
          <w:tcPr>
            <w:tcW w:w="5540" w:type="dxa"/>
            <w:vAlign w:val="center"/>
          </w:tcPr>
          <w:p>
            <w:pPr>
              <w:spacing w:line="320" w:lineRule="exact"/>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建设内容及规模</w:t>
            </w:r>
          </w:p>
        </w:tc>
        <w:tc>
          <w:tcPr>
            <w:tcW w:w="1188" w:type="dxa"/>
            <w:vAlign w:val="center"/>
          </w:tcPr>
          <w:p>
            <w:pPr>
              <w:spacing w:line="320" w:lineRule="exact"/>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总投资</w:t>
            </w:r>
          </w:p>
          <w:p>
            <w:pPr>
              <w:spacing w:line="320" w:lineRule="exact"/>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（万元）</w:t>
            </w:r>
          </w:p>
        </w:tc>
        <w:tc>
          <w:tcPr>
            <w:tcW w:w="1092" w:type="dxa"/>
            <w:vAlign w:val="center"/>
          </w:tcPr>
          <w:p>
            <w:pPr>
              <w:spacing w:line="280" w:lineRule="exact"/>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到2020年底累计完成投资</w:t>
            </w:r>
          </w:p>
          <w:p>
            <w:pPr>
              <w:spacing w:line="280" w:lineRule="exact"/>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（万元）</w:t>
            </w:r>
          </w:p>
        </w:tc>
        <w:tc>
          <w:tcPr>
            <w:tcW w:w="1152" w:type="dxa"/>
            <w:vAlign w:val="center"/>
          </w:tcPr>
          <w:p>
            <w:pPr>
              <w:spacing w:line="280" w:lineRule="exact"/>
              <w:jc w:val="center"/>
              <w:rPr>
                <w:rFonts w:ascii="黑体" w:hAnsi="黑体" w:eastAsia="黑体"/>
                <w:color w:val="000000" w:themeColor="text1"/>
                <w:sz w:val="21"/>
                <w:szCs w:val="21"/>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“十四五”期间投资</w:t>
            </w:r>
          </w:p>
          <w:p>
            <w:pPr>
              <w:spacing w:line="280" w:lineRule="exact"/>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1"/>
                <w:szCs w:val="21"/>
                <w14:textFill>
                  <w14:solidFill>
                    <w14:schemeClr w14:val="tx1"/>
                  </w14:solidFill>
                </w14:textFill>
              </w:rPr>
              <w:t>（万元）</w:t>
            </w:r>
          </w:p>
        </w:tc>
        <w:tc>
          <w:tcPr>
            <w:tcW w:w="1093" w:type="dxa"/>
            <w:vAlign w:val="center"/>
          </w:tcPr>
          <w:p>
            <w:pPr>
              <w:spacing w:line="320" w:lineRule="exact"/>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责任</w:t>
            </w:r>
          </w:p>
          <w:p>
            <w:pPr>
              <w:spacing w:line="320" w:lineRule="exact"/>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8" w:hRule="atLeast"/>
        </w:trPr>
        <w:tc>
          <w:tcPr>
            <w:tcW w:w="534" w:type="dxa"/>
            <w:vAlign w:val="center"/>
          </w:tcPr>
          <w:p>
            <w:pPr>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1</w:t>
            </w:r>
          </w:p>
        </w:tc>
        <w:tc>
          <w:tcPr>
            <w:tcW w:w="850" w:type="dxa"/>
            <w:vAlign w:val="center"/>
          </w:tcPr>
          <w:p>
            <w:pPr>
              <w:jc w:val="center"/>
              <w:rPr>
                <w:rFonts w:eastAsia="仿宋"/>
                <w:color w:val="000000" w:themeColor="text1"/>
                <w:sz w:val="24"/>
                <w:szCs w:val="24"/>
                <w14:textFill>
                  <w14:solidFill>
                    <w14:schemeClr w14:val="tx1"/>
                  </w14:solidFill>
                </w14:textFill>
              </w:rPr>
            </w:pPr>
            <w:r>
              <w:rPr>
                <w:rFonts w:hAnsi="仿宋" w:eastAsia="仿宋"/>
                <w:color w:val="000000" w:themeColor="text1"/>
                <w:sz w:val="24"/>
                <w:szCs w:val="24"/>
                <w14:textFill>
                  <w14:solidFill>
                    <w14:schemeClr w14:val="tx1"/>
                  </w14:solidFill>
                </w14:textFill>
              </w:rPr>
              <w:t>意向</w:t>
            </w:r>
          </w:p>
        </w:tc>
        <w:tc>
          <w:tcPr>
            <w:tcW w:w="1753" w:type="dxa"/>
            <w:vAlign w:val="center"/>
          </w:tcPr>
          <w:p>
            <w:pPr>
              <w:rPr>
                <w:rFonts w:eastAsia="仿宋"/>
                <w:color w:val="000000" w:themeColor="text1"/>
                <w:sz w:val="24"/>
                <w:szCs w:val="24"/>
                <w14:textFill>
                  <w14:solidFill>
                    <w14:schemeClr w14:val="tx1"/>
                  </w14:solidFill>
                </w14:textFill>
              </w:rPr>
            </w:pPr>
            <w:r>
              <w:rPr>
                <w:rFonts w:hAnsi="仿宋" w:eastAsia="仿宋"/>
                <w:color w:val="000000" w:themeColor="text1"/>
                <w:sz w:val="24"/>
                <w:szCs w:val="24"/>
                <w14:textFill>
                  <w14:solidFill>
                    <w14:schemeClr w14:val="tx1"/>
                  </w14:solidFill>
                </w14:textFill>
              </w:rPr>
              <w:t>五华县黄狮新村美食示范街和黄狮新村厨师村</w:t>
            </w:r>
          </w:p>
        </w:tc>
        <w:tc>
          <w:tcPr>
            <w:tcW w:w="940" w:type="dxa"/>
            <w:vAlign w:val="center"/>
          </w:tcPr>
          <w:p>
            <w:pPr>
              <w:jc w:val="center"/>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2021-2022</w:t>
            </w:r>
          </w:p>
        </w:tc>
        <w:tc>
          <w:tcPr>
            <w:tcW w:w="5540" w:type="dxa"/>
            <w:vAlign w:val="center"/>
          </w:tcPr>
          <w:p>
            <w:pPr>
              <w:rPr>
                <w:rFonts w:eastAsia="仿宋"/>
                <w:color w:val="000000" w:themeColor="text1"/>
                <w:sz w:val="24"/>
                <w:szCs w:val="24"/>
                <w14:textFill>
                  <w14:solidFill>
                    <w14:schemeClr w14:val="tx1"/>
                  </w14:solidFill>
                </w14:textFill>
              </w:rPr>
            </w:pPr>
            <w:r>
              <w:rPr>
                <w:rFonts w:hAnsi="仿宋" w:eastAsia="仿宋"/>
                <w:color w:val="000000" w:themeColor="text1"/>
                <w:sz w:val="24"/>
                <w:szCs w:val="24"/>
                <w14:textFill>
                  <w14:solidFill>
                    <w14:schemeClr w14:val="tx1"/>
                  </w14:solidFill>
                </w14:textFill>
              </w:rPr>
              <w:t>计划在黄狮新村建设一条</w:t>
            </w:r>
            <w:r>
              <w:rPr>
                <w:rFonts w:eastAsia="仿宋"/>
                <w:color w:val="000000" w:themeColor="text1"/>
                <w:sz w:val="24"/>
                <w:szCs w:val="24"/>
                <w14:textFill>
                  <w14:solidFill>
                    <w14:schemeClr w14:val="tx1"/>
                  </w14:solidFill>
                </w14:textFill>
              </w:rPr>
              <w:t>102</w:t>
            </w:r>
            <w:r>
              <w:rPr>
                <w:rFonts w:hAnsi="仿宋" w:eastAsia="仿宋"/>
                <w:color w:val="000000" w:themeColor="text1"/>
                <w:sz w:val="24"/>
                <w:szCs w:val="24"/>
                <w14:textFill>
                  <w14:solidFill>
                    <w14:schemeClr w14:val="tx1"/>
                  </w14:solidFill>
                </w14:textFill>
              </w:rPr>
              <w:t>家门店、长</w:t>
            </w:r>
            <w:r>
              <w:rPr>
                <w:rFonts w:eastAsia="仿宋"/>
                <w:color w:val="000000" w:themeColor="text1"/>
                <w:sz w:val="24"/>
                <w:szCs w:val="24"/>
                <w14:textFill>
                  <w14:solidFill>
                    <w14:schemeClr w14:val="tx1"/>
                  </w14:solidFill>
                </w14:textFill>
              </w:rPr>
              <w:t>600</w:t>
            </w:r>
            <w:r>
              <w:rPr>
                <w:rFonts w:hAnsi="仿宋" w:eastAsia="仿宋"/>
                <w:color w:val="000000" w:themeColor="text1"/>
                <w:sz w:val="24"/>
                <w:szCs w:val="24"/>
                <w14:textFill>
                  <w14:solidFill>
                    <w14:schemeClr w14:val="tx1"/>
                  </w14:solidFill>
                </w14:textFill>
              </w:rPr>
              <w:t>米的</w:t>
            </w:r>
            <w:r>
              <w:rPr>
                <w:rFonts w:eastAsia="仿宋"/>
                <w:color w:val="000000" w:themeColor="text1"/>
                <w:sz w:val="24"/>
                <w:szCs w:val="24"/>
                <w14:textFill>
                  <w14:solidFill>
                    <w14:schemeClr w14:val="tx1"/>
                  </w14:solidFill>
                </w14:textFill>
              </w:rPr>
              <w:t>“</w:t>
            </w:r>
            <w:r>
              <w:rPr>
                <w:rFonts w:hAnsi="仿宋" w:eastAsia="仿宋"/>
                <w:color w:val="000000" w:themeColor="text1"/>
                <w:sz w:val="24"/>
                <w:szCs w:val="24"/>
                <w14:textFill>
                  <w14:solidFill>
                    <w14:schemeClr w14:val="tx1"/>
                  </w14:solidFill>
                </w14:textFill>
              </w:rPr>
              <w:t>粤菜师傅</w:t>
            </w:r>
            <w:r>
              <w:rPr>
                <w:rFonts w:eastAsia="仿宋"/>
                <w:color w:val="000000" w:themeColor="text1"/>
                <w:sz w:val="24"/>
                <w:szCs w:val="24"/>
                <w14:textFill>
                  <w14:solidFill>
                    <w14:schemeClr w14:val="tx1"/>
                  </w14:solidFill>
                </w14:textFill>
              </w:rPr>
              <w:t>”</w:t>
            </w:r>
            <w:r>
              <w:rPr>
                <w:rFonts w:hAnsi="仿宋" w:eastAsia="仿宋"/>
                <w:color w:val="000000" w:themeColor="text1"/>
                <w:sz w:val="24"/>
                <w:szCs w:val="24"/>
                <w14:textFill>
                  <w14:solidFill>
                    <w14:schemeClr w14:val="tx1"/>
                  </w14:solidFill>
                </w14:textFill>
              </w:rPr>
              <w:t>工程美食示范街，培训厨师</w:t>
            </w:r>
            <w:r>
              <w:rPr>
                <w:rFonts w:eastAsia="仿宋"/>
                <w:color w:val="000000" w:themeColor="text1"/>
                <w:sz w:val="24"/>
                <w:szCs w:val="24"/>
                <w14:textFill>
                  <w14:solidFill>
                    <w14:schemeClr w14:val="tx1"/>
                  </w14:solidFill>
                </w14:textFill>
              </w:rPr>
              <w:t>100</w:t>
            </w:r>
            <w:r>
              <w:rPr>
                <w:rFonts w:hAnsi="仿宋" w:eastAsia="仿宋"/>
                <w:color w:val="000000" w:themeColor="text1"/>
                <w:sz w:val="24"/>
                <w:szCs w:val="24"/>
                <w14:textFill>
                  <w14:solidFill>
                    <w14:schemeClr w14:val="tx1"/>
                  </w14:solidFill>
                </w14:textFill>
              </w:rPr>
              <w:t>名，打造黄狮新村厨师村。</w:t>
            </w:r>
          </w:p>
        </w:tc>
        <w:tc>
          <w:tcPr>
            <w:tcW w:w="1188" w:type="dxa"/>
            <w:vAlign w:val="center"/>
          </w:tcPr>
          <w:p>
            <w:pPr>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3000</w:t>
            </w:r>
          </w:p>
        </w:tc>
        <w:tc>
          <w:tcPr>
            <w:tcW w:w="1092" w:type="dxa"/>
            <w:vAlign w:val="center"/>
          </w:tcPr>
          <w:p>
            <w:pPr>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0</w:t>
            </w:r>
          </w:p>
        </w:tc>
        <w:tc>
          <w:tcPr>
            <w:tcW w:w="1152" w:type="dxa"/>
            <w:vAlign w:val="center"/>
          </w:tcPr>
          <w:p>
            <w:pPr>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3000</w:t>
            </w:r>
          </w:p>
        </w:tc>
        <w:tc>
          <w:tcPr>
            <w:tcW w:w="1093" w:type="dxa"/>
            <w:vAlign w:val="center"/>
          </w:tcPr>
          <w:p>
            <w:pPr>
              <w:jc w:val="center"/>
              <w:rPr>
                <w:rFonts w:eastAsia="仿宋"/>
                <w:color w:val="000000" w:themeColor="text1"/>
                <w:sz w:val="24"/>
                <w:szCs w:val="24"/>
                <w14:textFill>
                  <w14:solidFill>
                    <w14:schemeClr w14:val="tx1"/>
                  </w14:solidFill>
                </w14:textFill>
              </w:rPr>
            </w:pPr>
            <w:r>
              <w:rPr>
                <w:rFonts w:hAnsi="仿宋" w:eastAsia="仿宋"/>
                <w:color w:val="000000" w:themeColor="text1"/>
                <w:sz w:val="24"/>
                <w:szCs w:val="24"/>
                <w14:textFill>
                  <w14:solidFill>
                    <w14:schemeClr w14:val="tx1"/>
                  </w14:solidFill>
                </w14:textFill>
              </w:rPr>
              <w:t>五华县人社局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8" w:hRule="atLeast"/>
        </w:trPr>
        <w:tc>
          <w:tcPr>
            <w:tcW w:w="534" w:type="dxa"/>
            <w:vAlign w:val="center"/>
          </w:tcPr>
          <w:p>
            <w:pPr>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w:t>
            </w:r>
          </w:p>
        </w:tc>
        <w:tc>
          <w:tcPr>
            <w:tcW w:w="850" w:type="dxa"/>
            <w:vAlign w:val="center"/>
          </w:tcPr>
          <w:p>
            <w:pPr>
              <w:jc w:val="center"/>
              <w:rPr>
                <w:rFonts w:eastAsia="仿宋"/>
                <w:color w:val="000000" w:themeColor="text1"/>
                <w:sz w:val="24"/>
                <w:szCs w:val="24"/>
                <w14:textFill>
                  <w14:solidFill>
                    <w14:schemeClr w14:val="tx1"/>
                  </w14:solidFill>
                </w14:textFill>
              </w:rPr>
            </w:pPr>
            <w:r>
              <w:rPr>
                <w:rFonts w:hAnsi="仿宋" w:eastAsia="仿宋"/>
                <w:color w:val="000000" w:themeColor="text1"/>
                <w:sz w:val="24"/>
                <w:szCs w:val="24"/>
                <w14:textFill>
                  <w14:solidFill>
                    <w14:schemeClr w14:val="tx1"/>
                  </w14:solidFill>
                </w14:textFill>
              </w:rPr>
              <w:t>意向</w:t>
            </w:r>
          </w:p>
        </w:tc>
        <w:tc>
          <w:tcPr>
            <w:tcW w:w="1753" w:type="dxa"/>
            <w:vAlign w:val="center"/>
          </w:tcPr>
          <w:p>
            <w:pPr>
              <w:rPr>
                <w:rFonts w:eastAsia="仿宋"/>
                <w:color w:val="000000" w:themeColor="text1"/>
                <w:sz w:val="24"/>
                <w:szCs w:val="24"/>
                <w14:textFill>
                  <w14:solidFill>
                    <w14:schemeClr w14:val="tx1"/>
                  </w14:solidFill>
                </w14:textFill>
              </w:rPr>
            </w:pPr>
            <w:r>
              <w:rPr>
                <w:rFonts w:hAnsi="仿宋" w:eastAsia="仿宋"/>
                <w:color w:val="000000" w:themeColor="text1"/>
                <w:sz w:val="24"/>
                <w:szCs w:val="24"/>
                <w14:textFill>
                  <w14:solidFill>
                    <w14:schemeClr w14:val="tx1"/>
                  </w14:solidFill>
                </w14:textFill>
              </w:rPr>
              <w:t>五华县</w:t>
            </w:r>
            <w:r>
              <w:rPr>
                <w:rFonts w:eastAsia="仿宋"/>
                <w:color w:val="000000" w:themeColor="text1"/>
                <w:sz w:val="24"/>
                <w:szCs w:val="24"/>
                <w14:textFill>
                  <w14:solidFill>
                    <w14:schemeClr w14:val="tx1"/>
                  </w14:solidFill>
                </w14:textFill>
              </w:rPr>
              <w:t>“</w:t>
            </w:r>
            <w:r>
              <w:rPr>
                <w:rFonts w:hAnsi="仿宋" w:eastAsia="仿宋"/>
                <w:color w:val="000000" w:themeColor="text1"/>
                <w:sz w:val="24"/>
                <w:szCs w:val="24"/>
                <w14:textFill>
                  <w14:solidFill>
                    <w14:schemeClr w14:val="tx1"/>
                  </w14:solidFill>
                </w14:textFill>
              </w:rPr>
              <w:t>粤菜师傅</w:t>
            </w:r>
            <w:r>
              <w:rPr>
                <w:rFonts w:eastAsia="仿宋"/>
                <w:color w:val="000000" w:themeColor="text1"/>
                <w:sz w:val="24"/>
                <w:szCs w:val="24"/>
                <w14:textFill>
                  <w14:solidFill>
                    <w14:schemeClr w14:val="tx1"/>
                  </w14:solidFill>
                </w14:textFill>
              </w:rPr>
              <w:t>”</w:t>
            </w:r>
            <w:r>
              <w:rPr>
                <w:rFonts w:hAnsi="仿宋" w:eastAsia="仿宋"/>
                <w:color w:val="000000" w:themeColor="text1"/>
                <w:sz w:val="24"/>
                <w:szCs w:val="24"/>
                <w14:textFill>
                  <w14:solidFill>
                    <w14:schemeClr w14:val="tx1"/>
                  </w14:solidFill>
                </w14:textFill>
              </w:rPr>
              <w:t>工程就业创业综合示范基地</w:t>
            </w:r>
          </w:p>
        </w:tc>
        <w:tc>
          <w:tcPr>
            <w:tcW w:w="940" w:type="dxa"/>
            <w:vAlign w:val="center"/>
          </w:tcPr>
          <w:p>
            <w:pPr>
              <w:jc w:val="center"/>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2021-2025</w:t>
            </w:r>
          </w:p>
        </w:tc>
        <w:tc>
          <w:tcPr>
            <w:tcW w:w="5540" w:type="dxa"/>
            <w:vAlign w:val="center"/>
          </w:tcPr>
          <w:p>
            <w:pPr>
              <w:rPr>
                <w:rFonts w:eastAsia="仿宋"/>
                <w:color w:val="000000" w:themeColor="text1"/>
                <w:sz w:val="24"/>
                <w:szCs w:val="24"/>
                <w14:textFill>
                  <w14:solidFill>
                    <w14:schemeClr w14:val="tx1"/>
                  </w14:solidFill>
                </w14:textFill>
              </w:rPr>
            </w:pPr>
            <w:r>
              <w:rPr>
                <w:rFonts w:hAnsi="仿宋" w:eastAsia="仿宋"/>
                <w:color w:val="000000" w:themeColor="text1"/>
                <w:sz w:val="24"/>
                <w:szCs w:val="24"/>
                <w14:textFill>
                  <w14:solidFill>
                    <w14:schemeClr w14:val="tx1"/>
                  </w14:solidFill>
                </w14:textFill>
              </w:rPr>
              <w:t>项目建设用地规模</w:t>
            </w:r>
            <w:r>
              <w:rPr>
                <w:rFonts w:eastAsia="仿宋"/>
                <w:color w:val="000000" w:themeColor="text1"/>
                <w:sz w:val="24"/>
                <w:szCs w:val="24"/>
                <w14:textFill>
                  <w14:solidFill>
                    <w14:schemeClr w14:val="tx1"/>
                  </w14:solidFill>
                </w14:textFill>
              </w:rPr>
              <w:t>600</w:t>
            </w:r>
            <w:r>
              <w:rPr>
                <w:rFonts w:hAnsi="仿宋" w:eastAsia="仿宋"/>
                <w:color w:val="000000" w:themeColor="text1"/>
                <w:sz w:val="24"/>
                <w:szCs w:val="24"/>
                <w14:textFill>
                  <w14:solidFill>
                    <w14:schemeClr w14:val="tx1"/>
                  </w14:solidFill>
                </w14:textFill>
              </w:rPr>
              <w:t>亩，建筑总面积</w:t>
            </w:r>
            <w:r>
              <w:rPr>
                <w:rFonts w:eastAsia="仿宋"/>
                <w:color w:val="000000" w:themeColor="text1"/>
                <w:sz w:val="24"/>
                <w:szCs w:val="24"/>
                <w14:textFill>
                  <w14:solidFill>
                    <w14:schemeClr w14:val="tx1"/>
                  </w14:solidFill>
                </w14:textFill>
              </w:rPr>
              <w:t>7200</w:t>
            </w:r>
            <w:r>
              <w:rPr>
                <w:rFonts w:hAnsi="仿宋" w:eastAsia="仿宋"/>
                <w:color w:val="000000" w:themeColor="text1"/>
                <w:sz w:val="24"/>
                <w:szCs w:val="24"/>
                <w14:textFill>
                  <w14:solidFill>
                    <w14:schemeClr w14:val="tx1"/>
                  </w14:solidFill>
                </w14:textFill>
              </w:rPr>
              <w:t>平方米，建成集</w:t>
            </w:r>
            <w:r>
              <w:rPr>
                <w:rFonts w:eastAsia="仿宋"/>
                <w:color w:val="000000" w:themeColor="text1"/>
                <w:sz w:val="24"/>
                <w:szCs w:val="24"/>
                <w14:textFill>
                  <w14:solidFill>
                    <w14:schemeClr w14:val="tx1"/>
                  </w14:solidFill>
                </w14:textFill>
              </w:rPr>
              <w:t>“</w:t>
            </w:r>
            <w:r>
              <w:rPr>
                <w:rFonts w:hAnsi="仿宋" w:eastAsia="仿宋"/>
                <w:color w:val="000000" w:themeColor="text1"/>
                <w:sz w:val="24"/>
                <w:szCs w:val="24"/>
                <w14:textFill>
                  <w14:solidFill>
                    <w14:schemeClr w14:val="tx1"/>
                  </w14:solidFill>
                </w14:textFill>
              </w:rPr>
              <w:t>示范培训、菜品研发、厨艺交流、文化体验、就业服务以及标准创建</w:t>
            </w:r>
            <w:r>
              <w:rPr>
                <w:rFonts w:eastAsia="仿宋"/>
                <w:color w:val="000000" w:themeColor="text1"/>
                <w:sz w:val="24"/>
                <w:szCs w:val="24"/>
                <w14:textFill>
                  <w14:solidFill>
                    <w14:schemeClr w14:val="tx1"/>
                  </w14:solidFill>
                </w14:textFill>
              </w:rPr>
              <w:t>”</w:t>
            </w:r>
            <w:r>
              <w:rPr>
                <w:rFonts w:hAnsi="仿宋" w:eastAsia="仿宋"/>
                <w:color w:val="000000" w:themeColor="text1"/>
                <w:sz w:val="24"/>
                <w:szCs w:val="24"/>
                <w14:textFill>
                  <w14:solidFill>
                    <w14:schemeClr w14:val="tx1"/>
                  </w14:solidFill>
                </w14:textFill>
              </w:rPr>
              <w:t>于一体的综合性</w:t>
            </w:r>
            <w:r>
              <w:rPr>
                <w:rFonts w:eastAsia="仿宋"/>
                <w:color w:val="000000" w:themeColor="text1"/>
                <w:sz w:val="24"/>
                <w:szCs w:val="24"/>
                <w14:textFill>
                  <w14:solidFill>
                    <w14:schemeClr w14:val="tx1"/>
                  </w14:solidFill>
                </w14:textFill>
              </w:rPr>
              <w:t>“</w:t>
            </w:r>
            <w:r>
              <w:rPr>
                <w:rFonts w:hAnsi="仿宋" w:eastAsia="仿宋"/>
                <w:color w:val="000000" w:themeColor="text1"/>
                <w:sz w:val="24"/>
                <w:szCs w:val="24"/>
                <w14:textFill>
                  <w14:solidFill>
                    <w14:schemeClr w14:val="tx1"/>
                  </w14:solidFill>
                </w14:textFill>
              </w:rPr>
              <w:t>粤菜师傅</w:t>
            </w:r>
            <w:r>
              <w:rPr>
                <w:rFonts w:eastAsia="仿宋"/>
                <w:color w:val="000000" w:themeColor="text1"/>
                <w:sz w:val="24"/>
                <w:szCs w:val="24"/>
                <w14:textFill>
                  <w14:solidFill>
                    <w14:schemeClr w14:val="tx1"/>
                  </w14:solidFill>
                </w14:textFill>
              </w:rPr>
              <w:t>”</w:t>
            </w:r>
            <w:r>
              <w:rPr>
                <w:rFonts w:hAnsi="仿宋" w:eastAsia="仿宋"/>
                <w:color w:val="000000" w:themeColor="text1"/>
                <w:sz w:val="24"/>
                <w:szCs w:val="24"/>
                <w14:textFill>
                  <w14:solidFill>
                    <w14:schemeClr w14:val="tx1"/>
                  </w14:solidFill>
                </w14:textFill>
              </w:rPr>
              <w:t>培育和就创示范基地。</w:t>
            </w:r>
          </w:p>
        </w:tc>
        <w:tc>
          <w:tcPr>
            <w:tcW w:w="1188" w:type="dxa"/>
            <w:vAlign w:val="center"/>
          </w:tcPr>
          <w:p>
            <w:pPr>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12000</w:t>
            </w:r>
          </w:p>
        </w:tc>
        <w:tc>
          <w:tcPr>
            <w:tcW w:w="1092" w:type="dxa"/>
            <w:vAlign w:val="center"/>
          </w:tcPr>
          <w:p>
            <w:pPr>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0</w:t>
            </w:r>
          </w:p>
        </w:tc>
        <w:tc>
          <w:tcPr>
            <w:tcW w:w="1152" w:type="dxa"/>
            <w:vAlign w:val="center"/>
          </w:tcPr>
          <w:p>
            <w:pPr>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12000</w:t>
            </w:r>
          </w:p>
        </w:tc>
        <w:tc>
          <w:tcPr>
            <w:tcW w:w="1093" w:type="dxa"/>
            <w:vAlign w:val="center"/>
          </w:tcPr>
          <w:p>
            <w:pPr>
              <w:jc w:val="center"/>
              <w:rPr>
                <w:rFonts w:eastAsia="仿宋"/>
                <w:color w:val="000000" w:themeColor="text1"/>
                <w:sz w:val="24"/>
                <w:szCs w:val="24"/>
                <w14:textFill>
                  <w14:solidFill>
                    <w14:schemeClr w14:val="tx1"/>
                  </w14:solidFill>
                </w14:textFill>
              </w:rPr>
            </w:pPr>
            <w:r>
              <w:rPr>
                <w:rFonts w:hAnsi="仿宋" w:eastAsia="仿宋"/>
                <w:color w:val="000000" w:themeColor="text1"/>
                <w:sz w:val="24"/>
                <w:szCs w:val="24"/>
                <w14:textFill>
                  <w14:solidFill>
                    <w14:schemeClr w14:val="tx1"/>
                  </w14:solidFill>
                </w14:textFill>
              </w:rPr>
              <w:t>五华县人社局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7" w:hRule="atLeast"/>
        </w:trPr>
        <w:tc>
          <w:tcPr>
            <w:tcW w:w="534" w:type="dxa"/>
            <w:vAlign w:val="center"/>
          </w:tcPr>
          <w:p>
            <w:pPr>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3</w:t>
            </w:r>
          </w:p>
        </w:tc>
        <w:tc>
          <w:tcPr>
            <w:tcW w:w="850" w:type="dxa"/>
            <w:vAlign w:val="center"/>
          </w:tcPr>
          <w:p>
            <w:pPr>
              <w:rPr>
                <w:rFonts w:eastAsia="仿宋"/>
                <w:color w:val="000000" w:themeColor="text1"/>
                <w:sz w:val="24"/>
                <w:szCs w:val="24"/>
                <w14:textFill>
                  <w14:solidFill>
                    <w14:schemeClr w14:val="tx1"/>
                  </w14:solidFill>
                </w14:textFill>
              </w:rPr>
            </w:pPr>
            <w:r>
              <w:rPr>
                <w:rFonts w:hAnsi="仿宋" w:eastAsia="仿宋"/>
                <w:color w:val="000000" w:themeColor="text1"/>
                <w:sz w:val="24"/>
                <w:szCs w:val="24"/>
                <w14:textFill>
                  <w14:solidFill>
                    <w14:schemeClr w14:val="tx1"/>
                  </w14:solidFill>
                </w14:textFill>
              </w:rPr>
              <w:t>储备、意向</w:t>
            </w:r>
          </w:p>
        </w:tc>
        <w:tc>
          <w:tcPr>
            <w:tcW w:w="1753" w:type="dxa"/>
            <w:vAlign w:val="center"/>
          </w:tcPr>
          <w:p>
            <w:pPr>
              <w:rPr>
                <w:rFonts w:eastAsia="仿宋"/>
                <w:color w:val="000000" w:themeColor="text1"/>
                <w:sz w:val="24"/>
                <w:szCs w:val="24"/>
                <w14:textFill>
                  <w14:solidFill>
                    <w14:schemeClr w14:val="tx1"/>
                  </w14:solidFill>
                </w14:textFill>
              </w:rPr>
            </w:pPr>
            <w:r>
              <w:rPr>
                <w:rFonts w:hAnsi="仿宋" w:eastAsia="仿宋"/>
                <w:color w:val="000000" w:themeColor="text1"/>
                <w:sz w:val="24"/>
                <w:szCs w:val="24"/>
                <w14:textFill>
                  <w14:solidFill>
                    <w14:schemeClr w14:val="tx1"/>
                  </w14:solidFill>
                </w14:textFill>
              </w:rPr>
              <w:t>五华县技工学校高技能公共实训基地暨技能竞赛集训基地、五华县技工学校升级</w:t>
            </w:r>
            <w:r>
              <w:rPr>
                <w:rFonts w:hint="eastAsia" w:hAnsi="仿宋" w:eastAsia="仿宋"/>
                <w:color w:val="000000" w:themeColor="text1"/>
                <w:sz w:val="24"/>
                <w:szCs w:val="24"/>
                <w14:textFill>
                  <w14:solidFill>
                    <w14:schemeClr w14:val="tx1"/>
                  </w14:solidFill>
                </w14:textFill>
              </w:rPr>
              <w:t>高级技工学校。</w:t>
            </w:r>
          </w:p>
        </w:tc>
        <w:tc>
          <w:tcPr>
            <w:tcW w:w="940" w:type="dxa"/>
            <w:vAlign w:val="center"/>
          </w:tcPr>
          <w:p>
            <w:pPr>
              <w:jc w:val="center"/>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2021-2025</w:t>
            </w:r>
          </w:p>
        </w:tc>
        <w:tc>
          <w:tcPr>
            <w:tcW w:w="5540" w:type="dxa"/>
            <w:vAlign w:val="center"/>
          </w:tcPr>
          <w:p>
            <w:pPr>
              <w:rPr>
                <w:rFonts w:eastAsia="仿宋"/>
                <w:color w:val="000000" w:themeColor="text1"/>
                <w:sz w:val="28"/>
                <w:szCs w:val="28"/>
                <w14:textFill>
                  <w14:solidFill>
                    <w14:schemeClr w14:val="tx1"/>
                  </w14:solidFill>
                </w14:textFill>
              </w:rPr>
            </w:pPr>
            <w:r>
              <w:rPr>
                <w:rFonts w:hAnsi="仿宋" w:eastAsia="仿宋"/>
                <w:color w:val="000000" w:themeColor="text1"/>
                <w:sz w:val="24"/>
                <w:szCs w:val="24"/>
                <w14:textFill>
                  <w14:solidFill>
                    <w14:schemeClr w14:val="tx1"/>
                  </w14:solidFill>
                </w14:textFill>
              </w:rPr>
              <w:t>项目占地</w:t>
            </w:r>
            <w:r>
              <w:rPr>
                <w:rFonts w:eastAsia="仿宋"/>
                <w:color w:val="000000" w:themeColor="text1"/>
                <w:sz w:val="24"/>
                <w:szCs w:val="24"/>
                <w14:textFill>
                  <w14:solidFill>
                    <w14:schemeClr w14:val="tx1"/>
                  </w14:solidFill>
                </w14:textFill>
              </w:rPr>
              <w:t>32.13</w:t>
            </w:r>
            <w:r>
              <w:rPr>
                <w:rFonts w:hAnsi="仿宋" w:eastAsia="仿宋"/>
                <w:color w:val="000000" w:themeColor="text1"/>
                <w:sz w:val="24"/>
                <w:szCs w:val="24"/>
                <w14:textFill>
                  <w14:solidFill>
                    <w14:schemeClr w14:val="tx1"/>
                  </w14:solidFill>
                </w14:textFill>
              </w:rPr>
              <w:t>亩，建筑总面积</w:t>
            </w:r>
            <w:r>
              <w:rPr>
                <w:rFonts w:eastAsia="仿宋"/>
                <w:color w:val="000000" w:themeColor="text1"/>
                <w:sz w:val="24"/>
                <w:szCs w:val="24"/>
                <w14:textFill>
                  <w14:solidFill>
                    <w14:schemeClr w14:val="tx1"/>
                  </w14:solidFill>
                </w14:textFill>
              </w:rPr>
              <w:t>40437.1</w:t>
            </w:r>
            <w:r>
              <w:rPr>
                <w:rFonts w:hAnsi="仿宋" w:eastAsia="仿宋"/>
                <w:color w:val="000000" w:themeColor="text1"/>
                <w:sz w:val="24"/>
                <w:szCs w:val="24"/>
                <w14:textFill>
                  <w14:solidFill>
                    <w14:schemeClr w14:val="tx1"/>
                  </w14:solidFill>
                </w14:textFill>
              </w:rPr>
              <w:t>平方米，分两期进行建设，</w:t>
            </w:r>
            <w:r>
              <w:rPr>
                <w:rFonts w:eastAsia="仿宋"/>
                <w:color w:val="000000" w:themeColor="text1"/>
                <w:sz w:val="24"/>
                <w:szCs w:val="24"/>
                <w14:textFill>
                  <w14:solidFill>
                    <w14:schemeClr w14:val="tx1"/>
                  </w14:solidFill>
                </w14:textFill>
              </w:rPr>
              <w:t>A</w:t>
            </w:r>
            <w:r>
              <w:rPr>
                <w:rFonts w:hAnsi="仿宋" w:eastAsia="仿宋"/>
                <w:color w:val="000000" w:themeColor="text1"/>
                <w:sz w:val="24"/>
                <w:szCs w:val="24"/>
                <w14:textFill>
                  <w14:solidFill>
                    <w14:schemeClr w14:val="tx1"/>
                  </w14:solidFill>
                </w14:textFill>
              </w:rPr>
              <w:t>区建高技能培训（竞赛）场馆，技能鉴定中心，实训楼，学员宿舍楼共五栋，建筑面积</w:t>
            </w:r>
            <w:r>
              <w:rPr>
                <w:rFonts w:eastAsia="仿宋"/>
                <w:color w:val="000000" w:themeColor="text1"/>
                <w:sz w:val="24"/>
                <w:szCs w:val="24"/>
                <w14:textFill>
                  <w14:solidFill>
                    <w14:schemeClr w14:val="tx1"/>
                  </w14:solidFill>
                </w14:textFill>
              </w:rPr>
              <w:t>22289.8</w:t>
            </w:r>
            <w:r>
              <w:rPr>
                <w:rFonts w:hAnsi="仿宋" w:eastAsia="仿宋"/>
                <w:color w:val="000000" w:themeColor="text1"/>
                <w:sz w:val="24"/>
                <w:szCs w:val="24"/>
                <w14:textFill>
                  <w14:solidFill>
                    <w14:schemeClr w14:val="tx1"/>
                  </w14:solidFill>
                </w14:textFill>
              </w:rPr>
              <w:t>平方米。</w:t>
            </w:r>
            <w:r>
              <w:rPr>
                <w:rFonts w:eastAsia="仿宋"/>
                <w:color w:val="000000" w:themeColor="text1"/>
                <w:sz w:val="24"/>
                <w:szCs w:val="24"/>
                <w14:textFill>
                  <w14:solidFill>
                    <w14:schemeClr w14:val="tx1"/>
                  </w14:solidFill>
                </w14:textFill>
              </w:rPr>
              <w:t>B</w:t>
            </w:r>
            <w:r>
              <w:rPr>
                <w:rFonts w:hAnsi="仿宋" w:eastAsia="仿宋"/>
                <w:color w:val="000000" w:themeColor="text1"/>
                <w:sz w:val="24"/>
                <w:szCs w:val="24"/>
                <w14:textFill>
                  <w14:solidFill>
                    <w14:schemeClr w14:val="tx1"/>
                  </w14:solidFill>
                </w14:textFill>
              </w:rPr>
              <w:t>区建理论教学楼</w:t>
            </w:r>
            <w:r>
              <w:rPr>
                <w:rFonts w:eastAsia="仿宋"/>
                <w:color w:val="000000" w:themeColor="text1"/>
                <w:sz w:val="24"/>
                <w:szCs w:val="24"/>
                <w14:textFill>
                  <w14:solidFill>
                    <w14:schemeClr w14:val="tx1"/>
                  </w14:solidFill>
                </w14:textFill>
              </w:rPr>
              <w:t>1</w:t>
            </w:r>
            <w:r>
              <w:rPr>
                <w:rFonts w:hAnsi="仿宋" w:eastAsia="仿宋"/>
                <w:color w:val="000000" w:themeColor="text1"/>
                <w:sz w:val="24"/>
                <w:szCs w:val="24"/>
                <w14:textFill>
                  <w14:solidFill>
                    <w14:schemeClr w14:val="tx1"/>
                  </w14:solidFill>
                </w14:textFill>
              </w:rPr>
              <w:t>，理论教学楼</w:t>
            </w:r>
            <w:r>
              <w:rPr>
                <w:rFonts w:eastAsia="仿宋"/>
                <w:color w:val="000000" w:themeColor="text1"/>
                <w:sz w:val="24"/>
                <w:szCs w:val="24"/>
                <w14:textFill>
                  <w14:solidFill>
                    <w14:schemeClr w14:val="tx1"/>
                  </w14:solidFill>
                </w14:textFill>
              </w:rPr>
              <w:t>2</w:t>
            </w:r>
            <w:r>
              <w:rPr>
                <w:rFonts w:hAnsi="仿宋" w:eastAsia="仿宋"/>
                <w:color w:val="000000" w:themeColor="text1"/>
                <w:sz w:val="24"/>
                <w:szCs w:val="24"/>
                <w14:textFill>
                  <w14:solidFill>
                    <w14:schemeClr w14:val="tx1"/>
                  </w14:solidFill>
                </w14:textFill>
              </w:rPr>
              <w:t>，学员宿舍楼共三栋，地下室（含人防地下建筑）</w:t>
            </w:r>
            <w:r>
              <w:rPr>
                <w:rFonts w:eastAsia="仿宋"/>
                <w:color w:val="000000" w:themeColor="text1"/>
                <w:sz w:val="24"/>
                <w:szCs w:val="24"/>
                <w14:textFill>
                  <w14:solidFill>
                    <w14:schemeClr w14:val="tx1"/>
                  </w14:solidFill>
                </w14:textFill>
              </w:rPr>
              <w:t>4609</w:t>
            </w:r>
            <w:r>
              <w:rPr>
                <w:rFonts w:hAnsi="仿宋" w:eastAsia="仿宋"/>
                <w:color w:val="000000" w:themeColor="text1"/>
                <w:sz w:val="24"/>
                <w:szCs w:val="24"/>
                <w14:textFill>
                  <w14:solidFill>
                    <w14:schemeClr w14:val="tx1"/>
                  </w14:solidFill>
                </w14:textFill>
              </w:rPr>
              <w:t>平方米，建筑面积</w:t>
            </w:r>
            <w:r>
              <w:rPr>
                <w:rFonts w:eastAsia="仿宋"/>
                <w:color w:val="000000" w:themeColor="text1"/>
                <w:sz w:val="24"/>
                <w:szCs w:val="24"/>
                <w14:textFill>
                  <w14:solidFill>
                    <w14:schemeClr w14:val="tx1"/>
                  </w14:solidFill>
                </w14:textFill>
              </w:rPr>
              <w:t>13538.30</w:t>
            </w:r>
            <w:r>
              <w:rPr>
                <w:rFonts w:hAnsi="仿宋" w:eastAsia="仿宋"/>
                <w:color w:val="000000" w:themeColor="text1"/>
                <w:sz w:val="24"/>
                <w:szCs w:val="24"/>
                <w14:textFill>
                  <w14:solidFill>
                    <w14:schemeClr w14:val="tx1"/>
                  </w14:solidFill>
                </w14:textFill>
              </w:rPr>
              <w:t>平方米。力争在</w:t>
            </w:r>
            <w:r>
              <w:rPr>
                <w:rFonts w:eastAsia="仿宋"/>
                <w:color w:val="000000" w:themeColor="text1"/>
                <w:sz w:val="24"/>
                <w:szCs w:val="24"/>
                <w14:textFill>
                  <w14:solidFill>
                    <w14:schemeClr w14:val="tx1"/>
                  </w14:solidFill>
                </w14:textFill>
              </w:rPr>
              <w:t>2021</w:t>
            </w:r>
            <w:r>
              <w:rPr>
                <w:rFonts w:hAnsi="仿宋" w:eastAsia="仿宋"/>
                <w:color w:val="000000" w:themeColor="text1"/>
                <w:sz w:val="24"/>
                <w:szCs w:val="24"/>
                <w14:textFill>
                  <w14:solidFill>
                    <w14:schemeClr w14:val="tx1"/>
                  </w14:solidFill>
                </w14:textFill>
              </w:rPr>
              <w:t>年实现创建省重点技工学校，通过实施高技能公共实训基地暨技能竞赛集训基地项目建设，着力解决学校发展空间不足的问题，力争</w:t>
            </w:r>
            <w:r>
              <w:rPr>
                <w:rFonts w:eastAsia="仿宋"/>
                <w:color w:val="000000" w:themeColor="text1"/>
                <w:sz w:val="24"/>
                <w:szCs w:val="24"/>
                <w14:textFill>
                  <w14:solidFill>
                    <w14:schemeClr w14:val="tx1"/>
                  </w14:solidFill>
                </w14:textFill>
              </w:rPr>
              <w:t>2025</w:t>
            </w:r>
            <w:r>
              <w:rPr>
                <w:rFonts w:hAnsi="仿宋" w:eastAsia="仿宋"/>
                <w:color w:val="000000" w:themeColor="text1"/>
                <w:sz w:val="24"/>
                <w:szCs w:val="24"/>
                <w14:textFill>
                  <w14:solidFill>
                    <w14:schemeClr w14:val="tx1"/>
                  </w14:solidFill>
                </w14:textFill>
              </w:rPr>
              <w:t>年达到</w:t>
            </w:r>
            <w:r>
              <w:rPr>
                <w:rFonts w:hint="eastAsia" w:hAnsi="仿宋" w:eastAsia="仿宋"/>
                <w:color w:val="000000" w:themeColor="text1"/>
                <w:sz w:val="24"/>
                <w:szCs w:val="24"/>
                <w14:textFill>
                  <w14:solidFill>
                    <w14:schemeClr w14:val="tx1"/>
                  </w14:solidFill>
                </w14:textFill>
              </w:rPr>
              <w:t>高级技工学校</w:t>
            </w:r>
            <w:r>
              <w:rPr>
                <w:rFonts w:hAnsi="仿宋" w:eastAsia="仿宋"/>
                <w:color w:val="000000" w:themeColor="text1"/>
                <w:sz w:val="24"/>
                <w:szCs w:val="24"/>
                <w14:textFill>
                  <w14:solidFill>
                    <w14:schemeClr w14:val="tx1"/>
                  </w14:solidFill>
                </w14:textFill>
              </w:rPr>
              <w:t>办学水平。</w:t>
            </w:r>
          </w:p>
        </w:tc>
        <w:tc>
          <w:tcPr>
            <w:tcW w:w="1188" w:type="dxa"/>
            <w:vAlign w:val="center"/>
          </w:tcPr>
          <w:p>
            <w:pPr>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33976.44</w:t>
            </w:r>
          </w:p>
        </w:tc>
        <w:tc>
          <w:tcPr>
            <w:tcW w:w="1092" w:type="dxa"/>
            <w:vAlign w:val="center"/>
          </w:tcPr>
          <w:p>
            <w:pPr>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45</w:t>
            </w:r>
          </w:p>
        </w:tc>
        <w:tc>
          <w:tcPr>
            <w:tcW w:w="1152" w:type="dxa"/>
            <w:vAlign w:val="center"/>
          </w:tcPr>
          <w:p>
            <w:pPr>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33931.44</w:t>
            </w:r>
          </w:p>
        </w:tc>
        <w:tc>
          <w:tcPr>
            <w:tcW w:w="1093" w:type="dxa"/>
            <w:vAlign w:val="center"/>
          </w:tcPr>
          <w:p>
            <w:pPr>
              <w:jc w:val="center"/>
              <w:rPr>
                <w:rFonts w:eastAsia="仿宋"/>
                <w:color w:val="000000" w:themeColor="text1"/>
                <w:sz w:val="24"/>
                <w:szCs w:val="24"/>
                <w14:textFill>
                  <w14:solidFill>
                    <w14:schemeClr w14:val="tx1"/>
                  </w14:solidFill>
                </w14:textFill>
              </w:rPr>
            </w:pPr>
            <w:r>
              <w:rPr>
                <w:rFonts w:hAnsi="仿宋" w:eastAsia="仿宋"/>
                <w:color w:val="000000" w:themeColor="text1"/>
                <w:sz w:val="24"/>
                <w:szCs w:val="24"/>
                <w14:textFill>
                  <w14:solidFill>
                    <w14:schemeClr w14:val="tx1"/>
                  </w14:solidFill>
                </w14:textFill>
              </w:rPr>
              <w:t>五华县人社局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2" w:hRule="atLeast"/>
        </w:trPr>
        <w:tc>
          <w:tcPr>
            <w:tcW w:w="534" w:type="dxa"/>
            <w:vAlign w:val="center"/>
          </w:tcPr>
          <w:p>
            <w:pPr>
              <w:spacing w:line="400" w:lineRule="exact"/>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4</w:t>
            </w:r>
          </w:p>
        </w:tc>
        <w:tc>
          <w:tcPr>
            <w:tcW w:w="850" w:type="dxa"/>
            <w:vAlign w:val="center"/>
          </w:tcPr>
          <w:p>
            <w:pPr>
              <w:spacing w:line="400" w:lineRule="exact"/>
              <w:jc w:val="center"/>
              <w:rPr>
                <w:rFonts w:eastAsia="仿宋"/>
                <w:color w:val="000000" w:themeColor="text1"/>
                <w:sz w:val="24"/>
                <w:szCs w:val="24"/>
                <w14:textFill>
                  <w14:solidFill>
                    <w14:schemeClr w14:val="tx1"/>
                  </w14:solidFill>
                </w14:textFill>
              </w:rPr>
            </w:pPr>
            <w:r>
              <w:rPr>
                <w:rFonts w:hAnsi="仿宋" w:eastAsia="仿宋"/>
                <w:color w:val="000000" w:themeColor="text1"/>
                <w:sz w:val="24"/>
                <w:szCs w:val="24"/>
                <w14:textFill>
                  <w14:solidFill>
                    <w14:schemeClr w14:val="tx1"/>
                  </w14:solidFill>
                </w14:textFill>
              </w:rPr>
              <w:t>投产、</w:t>
            </w:r>
            <w:r>
              <w:rPr>
                <w:rFonts w:eastAsia="仿宋"/>
                <w:color w:val="000000" w:themeColor="text1"/>
                <w:sz w:val="24"/>
                <w:szCs w:val="24"/>
                <w14:textFill>
                  <w14:solidFill>
                    <w14:schemeClr w14:val="tx1"/>
                  </w14:solidFill>
                </w14:textFill>
              </w:rPr>
              <w:br w:type="textWrapping"/>
            </w:r>
            <w:r>
              <w:rPr>
                <w:rFonts w:hAnsi="仿宋" w:eastAsia="仿宋"/>
                <w:color w:val="000000" w:themeColor="text1"/>
                <w:sz w:val="24"/>
                <w:szCs w:val="24"/>
                <w14:textFill>
                  <w14:solidFill>
                    <w14:schemeClr w14:val="tx1"/>
                  </w14:solidFill>
                </w14:textFill>
              </w:rPr>
              <w:t>新开工</w:t>
            </w:r>
          </w:p>
        </w:tc>
        <w:tc>
          <w:tcPr>
            <w:tcW w:w="1753" w:type="dxa"/>
            <w:vAlign w:val="center"/>
          </w:tcPr>
          <w:p>
            <w:pPr>
              <w:spacing w:line="400" w:lineRule="exact"/>
              <w:rPr>
                <w:rFonts w:eastAsia="仿宋"/>
                <w:color w:val="000000" w:themeColor="text1"/>
                <w:sz w:val="24"/>
                <w:szCs w:val="24"/>
                <w14:textFill>
                  <w14:solidFill>
                    <w14:schemeClr w14:val="tx1"/>
                  </w14:solidFill>
                </w14:textFill>
              </w:rPr>
            </w:pPr>
            <w:r>
              <w:rPr>
                <w:rFonts w:hint="eastAsia" w:hAnsi="仿宋" w:eastAsia="仿宋"/>
                <w:color w:val="000000" w:themeColor="text1"/>
                <w:sz w:val="24"/>
                <w:szCs w:val="24"/>
                <w14:textFill>
                  <w14:solidFill>
                    <w14:schemeClr w14:val="tx1"/>
                  </w14:solidFill>
                </w14:textFill>
              </w:rPr>
              <w:t>五华县“南粤家政”产业园项目</w:t>
            </w:r>
          </w:p>
        </w:tc>
        <w:tc>
          <w:tcPr>
            <w:tcW w:w="940" w:type="dxa"/>
            <w:vAlign w:val="center"/>
          </w:tcPr>
          <w:p>
            <w:pPr>
              <w:spacing w:line="400" w:lineRule="exact"/>
              <w:jc w:val="center"/>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2020-202</w:t>
            </w:r>
            <w:r>
              <w:rPr>
                <w:rFonts w:hint="eastAsia" w:eastAsia="仿宋"/>
                <w:color w:val="000000" w:themeColor="text1"/>
                <w:sz w:val="28"/>
                <w:szCs w:val="28"/>
                <w14:textFill>
                  <w14:solidFill>
                    <w14:schemeClr w14:val="tx1"/>
                  </w14:solidFill>
                </w14:textFill>
              </w:rPr>
              <w:t>5</w:t>
            </w:r>
          </w:p>
        </w:tc>
        <w:tc>
          <w:tcPr>
            <w:tcW w:w="5540" w:type="dxa"/>
            <w:vAlign w:val="center"/>
          </w:tcPr>
          <w:p>
            <w:pPr>
              <w:spacing w:line="400" w:lineRule="exact"/>
              <w:rPr>
                <w:rFonts w:eastAsia="仿宋"/>
                <w:sz w:val="24"/>
                <w:szCs w:val="24"/>
              </w:rPr>
            </w:pPr>
            <w:r>
              <w:rPr>
                <w:rFonts w:hint="eastAsia" w:hAnsi="仿宋" w:eastAsia="仿宋"/>
                <w:sz w:val="24"/>
                <w:szCs w:val="24"/>
              </w:rPr>
              <w:t>本项目计划总投资5000万元，截止到2020年底已完成投资600万元，“十四五”期间计划投资4400万元，根据省市县相关工作要求，建设用地在五华县创业孵化园大楼1、2、4、7楼、五华县技工学校（梅州市“南粤家政”综合服务示范基地），对相应的场地设施进行建设改造和升级维护。本项目拟建面积为5050平方米，初步设立孵化区、功能区、培训实训区、技能评价（鉴定室）等区域。建设集“产业孵化、技术研发、评价认定、品牌培育、公共服务”等功能于一体的“南粤家政”产业园，打造区域家政集群孵化中心。依托五华县月子中心、梅州五华“南粤家政”超市、南粤家政基层服务示范站，推动我县家政产业规模化和从业队伍专业化发展。</w:t>
            </w:r>
          </w:p>
        </w:tc>
        <w:tc>
          <w:tcPr>
            <w:tcW w:w="1188" w:type="dxa"/>
            <w:vAlign w:val="center"/>
          </w:tcPr>
          <w:p>
            <w:pPr>
              <w:spacing w:line="400" w:lineRule="exact"/>
              <w:jc w:val="center"/>
              <w:rPr>
                <w:rFonts w:eastAsia="仿宋"/>
                <w:color w:val="000000" w:themeColor="text1"/>
                <w:sz w:val="24"/>
                <w:szCs w:val="24"/>
                <w14:textFill>
                  <w14:solidFill>
                    <w14:schemeClr w14:val="tx1"/>
                  </w14:solidFill>
                </w14:textFill>
              </w:rPr>
            </w:pPr>
            <w:r>
              <w:rPr>
                <w:rFonts w:hint="eastAsia" w:eastAsia="仿宋"/>
                <w:color w:val="000000" w:themeColor="text1"/>
                <w:sz w:val="24"/>
                <w:szCs w:val="24"/>
                <w14:textFill>
                  <w14:solidFill>
                    <w14:schemeClr w14:val="tx1"/>
                  </w14:solidFill>
                </w14:textFill>
              </w:rPr>
              <w:t>5000</w:t>
            </w:r>
          </w:p>
        </w:tc>
        <w:tc>
          <w:tcPr>
            <w:tcW w:w="1092" w:type="dxa"/>
            <w:vAlign w:val="center"/>
          </w:tcPr>
          <w:p>
            <w:pPr>
              <w:spacing w:line="400" w:lineRule="exact"/>
              <w:jc w:val="center"/>
              <w:rPr>
                <w:rFonts w:eastAsia="仿宋"/>
                <w:color w:val="000000" w:themeColor="text1"/>
                <w:sz w:val="24"/>
                <w:szCs w:val="24"/>
                <w14:textFill>
                  <w14:solidFill>
                    <w14:schemeClr w14:val="tx1"/>
                  </w14:solidFill>
                </w14:textFill>
              </w:rPr>
            </w:pPr>
            <w:r>
              <w:rPr>
                <w:rFonts w:hint="eastAsia" w:eastAsia="仿宋"/>
                <w:color w:val="000000" w:themeColor="text1"/>
                <w:sz w:val="24"/>
                <w:szCs w:val="24"/>
                <w14:textFill>
                  <w14:solidFill>
                    <w14:schemeClr w14:val="tx1"/>
                  </w14:solidFill>
                </w14:textFill>
              </w:rPr>
              <w:t>600</w:t>
            </w:r>
          </w:p>
        </w:tc>
        <w:tc>
          <w:tcPr>
            <w:tcW w:w="1152" w:type="dxa"/>
            <w:vAlign w:val="center"/>
          </w:tcPr>
          <w:p>
            <w:pPr>
              <w:spacing w:line="400" w:lineRule="exact"/>
              <w:jc w:val="center"/>
              <w:rPr>
                <w:rFonts w:eastAsia="仿宋"/>
                <w:color w:val="000000" w:themeColor="text1"/>
                <w:sz w:val="24"/>
                <w:szCs w:val="24"/>
                <w14:textFill>
                  <w14:solidFill>
                    <w14:schemeClr w14:val="tx1"/>
                  </w14:solidFill>
                </w14:textFill>
              </w:rPr>
            </w:pPr>
            <w:r>
              <w:rPr>
                <w:rFonts w:hint="eastAsia" w:eastAsia="仿宋"/>
                <w:color w:val="000000" w:themeColor="text1"/>
                <w:sz w:val="24"/>
                <w:szCs w:val="24"/>
                <w14:textFill>
                  <w14:solidFill>
                    <w14:schemeClr w14:val="tx1"/>
                  </w14:solidFill>
                </w14:textFill>
              </w:rPr>
              <w:t>4400</w:t>
            </w:r>
          </w:p>
        </w:tc>
        <w:tc>
          <w:tcPr>
            <w:tcW w:w="1093" w:type="dxa"/>
            <w:vAlign w:val="center"/>
          </w:tcPr>
          <w:p>
            <w:pPr>
              <w:spacing w:line="400" w:lineRule="exact"/>
              <w:jc w:val="center"/>
              <w:rPr>
                <w:rFonts w:eastAsia="仿宋"/>
                <w:color w:val="000000" w:themeColor="text1"/>
                <w:sz w:val="24"/>
                <w:szCs w:val="24"/>
                <w14:textFill>
                  <w14:solidFill>
                    <w14:schemeClr w14:val="tx1"/>
                  </w14:solidFill>
                </w14:textFill>
              </w:rPr>
            </w:pPr>
            <w:r>
              <w:rPr>
                <w:rFonts w:hAnsi="仿宋" w:eastAsia="仿宋"/>
                <w:color w:val="000000" w:themeColor="text1"/>
                <w:sz w:val="24"/>
                <w:szCs w:val="24"/>
                <w14:textFill>
                  <w14:solidFill>
                    <w14:schemeClr w14:val="tx1"/>
                  </w14:solidFill>
                </w14:textFill>
              </w:rPr>
              <w:t>五华县人社局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4" w:hRule="atLeast"/>
        </w:trPr>
        <w:tc>
          <w:tcPr>
            <w:tcW w:w="534" w:type="dxa"/>
            <w:vAlign w:val="center"/>
          </w:tcPr>
          <w:p>
            <w:pPr>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5</w:t>
            </w:r>
          </w:p>
        </w:tc>
        <w:tc>
          <w:tcPr>
            <w:tcW w:w="850" w:type="dxa"/>
            <w:vAlign w:val="center"/>
          </w:tcPr>
          <w:p>
            <w:pPr>
              <w:jc w:val="center"/>
              <w:rPr>
                <w:rFonts w:eastAsia="仿宋"/>
                <w:color w:val="000000" w:themeColor="text1"/>
                <w:sz w:val="24"/>
                <w:szCs w:val="24"/>
                <w14:textFill>
                  <w14:solidFill>
                    <w14:schemeClr w14:val="tx1"/>
                  </w14:solidFill>
                </w14:textFill>
              </w:rPr>
            </w:pPr>
            <w:r>
              <w:rPr>
                <w:rFonts w:hAnsi="仿宋" w:eastAsia="仿宋"/>
                <w:color w:val="000000" w:themeColor="text1"/>
                <w:sz w:val="24"/>
                <w:szCs w:val="24"/>
                <w14:textFill>
                  <w14:solidFill>
                    <w14:schemeClr w14:val="tx1"/>
                  </w14:solidFill>
                </w14:textFill>
              </w:rPr>
              <w:t>意向</w:t>
            </w:r>
          </w:p>
        </w:tc>
        <w:tc>
          <w:tcPr>
            <w:tcW w:w="1753" w:type="dxa"/>
            <w:vAlign w:val="center"/>
          </w:tcPr>
          <w:p>
            <w:pPr>
              <w:rPr>
                <w:rFonts w:eastAsia="仿宋"/>
                <w:color w:val="000000" w:themeColor="text1"/>
                <w:sz w:val="24"/>
                <w:szCs w:val="24"/>
                <w14:textFill>
                  <w14:solidFill>
                    <w14:schemeClr w14:val="tx1"/>
                  </w14:solidFill>
                </w14:textFill>
              </w:rPr>
            </w:pPr>
            <w:r>
              <w:rPr>
                <w:rFonts w:hAnsi="仿宋" w:eastAsia="仿宋"/>
                <w:color w:val="000000" w:themeColor="text1"/>
                <w:sz w:val="24"/>
                <w:szCs w:val="24"/>
                <w14:textFill>
                  <w14:solidFill>
                    <w14:schemeClr w14:val="tx1"/>
                  </w14:solidFill>
                </w14:textFill>
              </w:rPr>
              <w:t>五华县返乡入乡创业园</w:t>
            </w:r>
          </w:p>
        </w:tc>
        <w:tc>
          <w:tcPr>
            <w:tcW w:w="940" w:type="dxa"/>
            <w:vAlign w:val="center"/>
          </w:tcPr>
          <w:p>
            <w:pPr>
              <w:jc w:val="center"/>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2021-2023</w:t>
            </w:r>
          </w:p>
        </w:tc>
        <w:tc>
          <w:tcPr>
            <w:tcW w:w="5540" w:type="dxa"/>
            <w:vAlign w:val="center"/>
          </w:tcPr>
          <w:p>
            <w:pPr>
              <w:rPr>
                <w:rFonts w:eastAsia="仿宋"/>
                <w:color w:val="000000" w:themeColor="text1"/>
                <w:sz w:val="24"/>
                <w:szCs w:val="24"/>
                <w14:textFill>
                  <w14:solidFill>
                    <w14:schemeClr w14:val="tx1"/>
                  </w14:solidFill>
                </w14:textFill>
              </w:rPr>
            </w:pPr>
            <w:r>
              <w:rPr>
                <w:rFonts w:hAnsi="仿宋" w:eastAsia="仿宋"/>
                <w:color w:val="000000" w:themeColor="text1"/>
                <w:sz w:val="24"/>
                <w:szCs w:val="24"/>
                <w14:textFill>
                  <w14:solidFill>
                    <w14:schemeClr w14:val="tx1"/>
                  </w14:solidFill>
                </w14:textFill>
              </w:rPr>
              <w:t>项目占地</w:t>
            </w:r>
            <w:r>
              <w:rPr>
                <w:rFonts w:eastAsia="仿宋"/>
                <w:color w:val="000000" w:themeColor="text1"/>
                <w:sz w:val="24"/>
                <w:szCs w:val="24"/>
                <w14:textFill>
                  <w14:solidFill>
                    <w14:schemeClr w14:val="tx1"/>
                  </w14:solidFill>
                </w14:textFill>
              </w:rPr>
              <w:t>50</w:t>
            </w:r>
            <w:r>
              <w:rPr>
                <w:rFonts w:hAnsi="仿宋" w:eastAsia="仿宋"/>
                <w:color w:val="000000" w:themeColor="text1"/>
                <w:sz w:val="24"/>
                <w:szCs w:val="24"/>
                <w14:textFill>
                  <w14:solidFill>
                    <w14:schemeClr w14:val="tx1"/>
                  </w14:solidFill>
                </w14:textFill>
              </w:rPr>
              <w:t>亩，建设总面积</w:t>
            </w:r>
            <w:r>
              <w:rPr>
                <w:rFonts w:eastAsia="仿宋"/>
                <w:color w:val="000000" w:themeColor="text1"/>
                <w:sz w:val="24"/>
                <w:szCs w:val="24"/>
                <w14:textFill>
                  <w14:solidFill>
                    <w14:schemeClr w14:val="tx1"/>
                  </w14:solidFill>
                </w14:textFill>
              </w:rPr>
              <w:t>23000</w:t>
            </w:r>
            <w:r>
              <w:rPr>
                <w:rFonts w:hAnsi="仿宋" w:eastAsia="仿宋"/>
                <w:color w:val="000000" w:themeColor="text1"/>
                <w:sz w:val="24"/>
                <w:szCs w:val="24"/>
                <w14:textFill>
                  <w14:solidFill>
                    <w14:schemeClr w14:val="tx1"/>
                  </w14:solidFill>
                </w14:textFill>
              </w:rPr>
              <w:t>平方米，电商物流配套园、大学生创业孵化园、人才公寓等，建成后预计可容纳大学生创业企业</w:t>
            </w:r>
            <w:r>
              <w:rPr>
                <w:rFonts w:eastAsia="仿宋"/>
                <w:color w:val="000000" w:themeColor="text1"/>
                <w:sz w:val="24"/>
                <w:szCs w:val="24"/>
                <w14:textFill>
                  <w14:solidFill>
                    <w14:schemeClr w14:val="tx1"/>
                  </w14:solidFill>
                </w14:textFill>
              </w:rPr>
              <w:t>80</w:t>
            </w:r>
            <w:r>
              <w:rPr>
                <w:rFonts w:hAnsi="仿宋" w:eastAsia="仿宋"/>
                <w:color w:val="000000" w:themeColor="text1"/>
                <w:sz w:val="24"/>
                <w:szCs w:val="24"/>
                <w14:textFill>
                  <w14:solidFill>
                    <w14:schemeClr w14:val="tx1"/>
                  </w14:solidFill>
                </w14:textFill>
              </w:rPr>
              <w:t>家。</w:t>
            </w:r>
          </w:p>
        </w:tc>
        <w:tc>
          <w:tcPr>
            <w:tcW w:w="1188" w:type="dxa"/>
            <w:vAlign w:val="center"/>
          </w:tcPr>
          <w:p>
            <w:pPr>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2500</w:t>
            </w:r>
          </w:p>
        </w:tc>
        <w:tc>
          <w:tcPr>
            <w:tcW w:w="1092" w:type="dxa"/>
            <w:vAlign w:val="center"/>
          </w:tcPr>
          <w:p>
            <w:pPr>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0</w:t>
            </w:r>
          </w:p>
        </w:tc>
        <w:tc>
          <w:tcPr>
            <w:tcW w:w="1152" w:type="dxa"/>
            <w:vAlign w:val="center"/>
          </w:tcPr>
          <w:p>
            <w:pPr>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t>2500</w:t>
            </w:r>
          </w:p>
        </w:tc>
        <w:tc>
          <w:tcPr>
            <w:tcW w:w="1093" w:type="dxa"/>
            <w:vAlign w:val="center"/>
          </w:tcPr>
          <w:p>
            <w:pPr>
              <w:jc w:val="center"/>
              <w:rPr>
                <w:rFonts w:eastAsia="仿宋"/>
                <w:color w:val="000000" w:themeColor="text1"/>
                <w:sz w:val="24"/>
                <w:szCs w:val="24"/>
                <w14:textFill>
                  <w14:solidFill>
                    <w14:schemeClr w14:val="tx1"/>
                  </w14:solidFill>
                </w14:textFill>
              </w:rPr>
            </w:pPr>
            <w:r>
              <w:rPr>
                <w:rFonts w:hAnsi="仿宋" w:eastAsia="仿宋"/>
                <w:color w:val="000000" w:themeColor="text1"/>
                <w:sz w:val="24"/>
                <w:szCs w:val="24"/>
                <w14:textFill>
                  <w14:solidFill>
                    <w14:schemeClr w14:val="tx1"/>
                  </w14:solidFill>
                </w14:textFill>
              </w:rPr>
              <w:t>五华县人社局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4142" w:type="dxa"/>
            <w:gridSpan w:val="9"/>
            <w:vAlign w:val="center"/>
          </w:tcPr>
          <w:p>
            <w:pPr>
              <w:rPr>
                <w:rFonts w:eastAsia="仿宋"/>
                <w:color w:val="000000" w:themeColor="text1"/>
                <w:sz w:val="30"/>
                <w:szCs w:val="30"/>
                <w14:textFill>
                  <w14:solidFill>
                    <w14:schemeClr w14:val="tx1"/>
                  </w14:solidFill>
                </w14:textFill>
              </w:rPr>
            </w:pPr>
            <w:r>
              <w:rPr>
                <w:rFonts w:hAnsi="仿宋" w:eastAsia="仿宋"/>
                <w:color w:val="000000" w:themeColor="text1"/>
                <w:sz w:val="24"/>
                <w:szCs w:val="24"/>
                <w14:textFill>
                  <w14:solidFill>
                    <w14:schemeClr w14:val="tx1"/>
                  </w14:solidFill>
                </w14:textFill>
              </w:rPr>
              <w:t>注：</w:t>
            </w:r>
            <w:r>
              <w:rPr>
                <w:rFonts w:eastAsia="仿宋"/>
                <w:color w:val="000000" w:themeColor="text1"/>
                <w:sz w:val="24"/>
                <w:szCs w:val="24"/>
                <w14:textFill>
                  <w14:solidFill>
                    <w14:schemeClr w14:val="tx1"/>
                  </w14:solidFill>
                </w14:textFill>
              </w:rPr>
              <w:t>1.</w:t>
            </w:r>
            <w:r>
              <w:rPr>
                <w:rFonts w:hAnsi="仿宋" w:eastAsia="仿宋"/>
                <w:color w:val="000000" w:themeColor="text1"/>
                <w:sz w:val="24"/>
                <w:szCs w:val="24"/>
                <w14:textFill>
                  <w14:solidFill>
                    <w14:schemeClr w14:val="tx1"/>
                  </w14:solidFill>
                </w14:textFill>
              </w:rPr>
              <w:t>投产是指今年投产的项目；</w:t>
            </w:r>
            <w:r>
              <w:rPr>
                <w:rFonts w:eastAsia="仿宋"/>
                <w:color w:val="000000" w:themeColor="text1"/>
                <w:sz w:val="24"/>
                <w:szCs w:val="24"/>
                <w14:textFill>
                  <w14:solidFill>
                    <w14:schemeClr w14:val="tx1"/>
                  </w14:solidFill>
                </w14:textFill>
              </w:rPr>
              <w:t>2.</w:t>
            </w:r>
            <w:r>
              <w:rPr>
                <w:rFonts w:hAnsi="仿宋" w:eastAsia="仿宋"/>
                <w:color w:val="000000" w:themeColor="text1"/>
                <w:sz w:val="24"/>
                <w:szCs w:val="24"/>
                <w14:textFill>
                  <w14:solidFill>
                    <w14:schemeClr w14:val="tx1"/>
                  </w14:solidFill>
                </w14:textFill>
              </w:rPr>
              <w:t>续建是指已经开工建设，今年继续实施的项目；</w:t>
            </w:r>
            <w:r>
              <w:rPr>
                <w:rFonts w:eastAsia="仿宋"/>
                <w:color w:val="000000" w:themeColor="text1"/>
                <w:sz w:val="24"/>
                <w:szCs w:val="24"/>
                <w14:textFill>
                  <w14:solidFill>
                    <w14:schemeClr w14:val="tx1"/>
                  </w14:solidFill>
                </w14:textFill>
              </w:rPr>
              <w:t>3.</w:t>
            </w:r>
            <w:r>
              <w:rPr>
                <w:rFonts w:hAnsi="仿宋" w:eastAsia="仿宋"/>
                <w:color w:val="000000" w:themeColor="text1"/>
                <w:sz w:val="24"/>
                <w:szCs w:val="24"/>
                <w14:textFill>
                  <w14:solidFill>
                    <w14:schemeClr w14:val="tx1"/>
                  </w14:solidFill>
                </w14:textFill>
              </w:rPr>
              <w:t>新开工是指已基本完成各项报批手续，具备开工建设条件，计划在今年开工建设并形成实物工程量的项目；</w:t>
            </w:r>
            <w:r>
              <w:rPr>
                <w:rFonts w:eastAsia="仿宋"/>
                <w:color w:val="000000" w:themeColor="text1"/>
                <w:sz w:val="24"/>
                <w:szCs w:val="24"/>
                <w14:textFill>
                  <w14:solidFill>
                    <w14:schemeClr w14:val="tx1"/>
                  </w14:solidFill>
                </w14:textFill>
              </w:rPr>
              <w:t>4.</w:t>
            </w:r>
            <w:r>
              <w:rPr>
                <w:rFonts w:hAnsi="仿宋" w:eastAsia="仿宋"/>
                <w:color w:val="000000" w:themeColor="text1"/>
                <w:sz w:val="24"/>
                <w:szCs w:val="24"/>
                <w14:textFill>
                  <w14:solidFill>
                    <w14:schemeClr w14:val="tx1"/>
                  </w14:solidFill>
                </w14:textFill>
              </w:rPr>
              <w:t>储备项目是指已确定业主或正在开展项目前期工作的项目；</w:t>
            </w:r>
            <w:r>
              <w:rPr>
                <w:rFonts w:eastAsia="仿宋"/>
                <w:color w:val="000000" w:themeColor="text1"/>
                <w:sz w:val="24"/>
                <w:szCs w:val="24"/>
                <w14:textFill>
                  <w14:solidFill>
                    <w14:schemeClr w14:val="tx1"/>
                  </w14:solidFill>
                </w14:textFill>
              </w:rPr>
              <w:t>5.</w:t>
            </w:r>
            <w:r>
              <w:rPr>
                <w:rFonts w:hAnsi="仿宋" w:eastAsia="仿宋"/>
                <w:color w:val="000000" w:themeColor="text1"/>
                <w:sz w:val="24"/>
                <w:szCs w:val="24"/>
                <w14:textFill>
                  <w14:solidFill>
                    <w14:schemeClr w14:val="tx1"/>
                  </w14:solidFill>
                </w14:textFill>
              </w:rPr>
              <w:t>意向项目是指根据规划和行业实际提出的项目，处于招商引资阶段或正在开展前期研究的项目。</w:t>
            </w:r>
          </w:p>
        </w:tc>
      </w:tr>
    </w:tbl>
    <w:p>
      <w:pPr>
        <w:rPr>
          <w:rFonts w:ascii="Arial" w:hAnsi="Arial" w:eastAsia="楷体"/>
          <w:color w:val="000000" w:themeColor="text1"/>
          <w14:textFill>
            <w14:solidFill>
              <w14:schemeClr w14:val="tx1"/>
            </w14:solidFill>
          </w14:textFill>
        </w:rPr>
      </w:pPr>
    </w:p>
    <w:sectPr>
      <w:footerReference r:id="rId5" w:type="default"/>
      <w:pgSz w:w="16838" w:h="11906" w:orient="landscape"/>
      <w:pgMar w:top="1800" w:right="1440" w:bottom="1800" w:left="1440" w:header="851" w:footer="992" w:gutter="0"/>
      <w:pgNumType w:start="1" w:chapStyle="1"/>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3FC7AD2-0380-4FFE-AB6C-E21CBE62DE14}"/>
  </w:font>
  <w:font w:name="Arial">
    <w:panose1 w:val="020B0604020202020204"/>
    <w:charset w:val="01"/>
    <w:family w:val="swiss"/>
    <w:pitch w:val="default"/>
    <w:sig w:usb0="E0002AFF" w:usb1="C0007843" w:usb2="00000009" w:usb3="00000000" w:csb0="400001FF" w:csb1="FFFF0000"/>
    <w:embedRegular r:id="rId2" w:fontKey="{0D30ED2E-E213-4D2C-9785-48E9104B7715}"/>
  </w:font>
  <w:font w:name="黑体">
    <w:panose1 w:val="02010609060101010101"/>
    <w:charset w:val="86"/>
    <w:family w:val="auto"/>
    <w:pitch w:val="default"/>
    <w:sig w:usb0="800002BF" w:usb1="38CF7CFA" w:usb2="00000016" w:usb3="00000000" w:csb0="00040001" w:csb1="00000000"/>
    <w:embedRegular r:id="rId3" w:fontKey="{12C62062-D184-44E1-B8B4-95B479FD10F3}"/>
  </w:font>
  <w:font w:name="Courier New">
    <w:panose1 w:val="02070309020205020404"/>
    <w:charset w:val="01"/>
    <w:family w:val="modern"/>
    <w:pitch w:val="default"/>
    <w:sig w:usb0="E0002AFF" w:usb1="C0007843" w:usb2="00000009" w:usb3="00000000" w:csb0="400001FF" w:csb1="FFFF0000"/>
    <w:embedRegular r:id="rId4" w:fontKey="{4B1A26E6-D71E-40D2-87AA-783F9DF31D7B}"/>
  </w:font>
  <w:font w:name="Symbol">
    <w:panose1 w:val="05050102010706020507"/>
    <w:charset w:val="02"/>
    <w:family w:val="roman"/>
    <w:pitch w:val="default"/>
    <w:sig w:usb0="00000000" w:usb1="00000000" w:usb2="00000000" w:usb3="00000000" w:csb0="80000000" w:csb1="00000000"/>
    <w:embedRegular r:id="rId5" w:fontKey="{44401908-4D38-4075-A90D-7EDA0B852EF1}"/>
  </w:font>
  <w:font w:name="Calibri">
    <w:panose1 w:val="020F0502020204030204"/>
    <w:charset w:val="00"/>
    <w:family w:val="swiss"/>
    <w:pitch w:val="default"/>
    <w:sig w:usb0="E00002FF" w:usb1="4000ACFF" w:usb2="00000001" w:usb3="00000000" w:csb0="2000019F" w:csb1="00000000"/>
    <w:embedRegular r:id="rId6" w:fontKey="{B591C138-915F-40D4-A7F2-7B6BE2E8228A}"/>
  </w:font>
  <w:font w:name="仿宋_GB2312">
    <w:panose1 w:val="02010609030101010101"/>
    <w:charset w:val="86"/>
    <w:family w:val="modern"/>
    <w:pitch w:val="default"/>
    <w:sig w:usb0="00000001" w:usb1="080E0000" w:usb2="00000000" w:usb3="00000000" w:csb0="00040000" w:csb1="00000000"/>
    <w:embedRegular r:id="rId7" w:fontKey="{9E3B68A8-2AFC-4D6A-8987-F18E9E646BB0}"/>
  </w:font>
  <w:font w:name="楷体">
    <w:panose1 w:val="02010609060101010101"/>
    <w:charset w:val="86"/>
    <w:family w:val="modern"/>
    <w:pitch w:val="default"/>
    <w:sig w:usb0="800002BF" w:usb1="38CF7CFA" w:usb2="00000016" w:usb3="00000000" w:csb0="00040001" w:csb1="00000000"/>
    <w:embedRegular r:id="rId8" w:fontKey="{32887EA1-E25B-4A66-A5E6-66C220494192}"/>
  </w:font>
  <w:font w:name="Calibri Light">
    <w:panose1 w:val="020F0302020204030204"/>
    <w:charset w:val="00"/>
    <w:family w:val="swiss"/>
    <w:pitch w:val="default"/>
    <w:sig w:usb0="A00002EF" w:usb1="4000207B" w:usb2="00000000" w:usb3="00000000" w:csb0="2000019F" w:csb1="00000000"/>
    <w:embedRegular r:id="rId9" w:fontKey="{5A95B9AD-5798-4C0D-A099-07AF158F853E}"/>
  </w:font>
  <w:font w:name="仿宋">
    <w:panose1 w:val="02010609060101010101"/>
    <w:charset w:val="86"/>
    <w:family w:val="modern"/>
    <w:pitch w:val="default"/>
    <w:sig w:usb0="800002BF" w:usb1="38CF7CFA" w:usb2="00000016" w:usb3="00000000" w:csb0="00040001" w:csb1="00000000"/>
    <w:embedRegular r:id="rId10" w:fontKey="{CC700CCD-1868-4A3D-8DAE-69DAE6F43581}"/>
  </w:font>
  <w:font w:name="方正书宋_GBK">
    <w:altName w:val="Arial Unicode MS"/>
    <w:panose1 w:val="00000000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方正小标宋简体">
    <w:panose1 w:val="03000509000000000000"/>
    <w:charset w:val="86"/>
    <w:family w:val="script"/>
    <w:pitch w:val="default"/>
    <w:sig w:usb0="00000001" w:usb1="080E0000" w:usb2="00000000" w:usb3="00000000" w:csb0="00040000" w:csb1="00000000"/>
    <w:embedRegular r:id="rId11" w:fontKey="{238F0D4E-ECA4-49A4-ACEE-8818460AC0CF}"/>
  </w:font>
  <w:font w:name="方正楷体简体">
    <w:panose1 w:val="02010601030101010101"/>
    <w:charset w:val="86"/>
    <w:family w:val="auto"/>
    <w:pitch w:val="default"/>
    <w:sig w:usb0="00000001" w:usb1="080E0000" w:usb2="00000000" w:usb3="00000000" w:csb0="00040000" w:csb1="00000000"/>
  </w:font>
  <w:font w:name="文星标宋">
    <w:altName w:val="等线"/>
    <w:panose1 w:val="00000000000000000000"/>
    <w:charset w:val="86"/>
    <w:family w:val="auto"/>
    <w:pitch w:val="default"/>
    <w:sig w:usb0="00000000" w:usb1="00000000" w:usb2="00000000" w:usb3="00000000" w:csb0="00040000" w:csb1="00000000"/>
    <w:embedRegular r:id="rId12" w:fontKey="{EB1C7B9C-E64D-4FF9-8ED6-35845FC6161C}"/>
  </w:font>
  <w:font w:name="等线">
    <w:panose1 w:val="02010600030101010101"/>
    <w:charset w:val="86"/>
    <w:family w:val="auto"/>
    <w:pitch w:val="default"/>
    <w:sig w:usb0="A00002BF" w:usb1="38CF7CFA" w:usb2="00000016" w:usb3="00000000" w:csb0="0004000F" w:csb1="00000000"/>
    <w:embedRegular r:id="rId13" w:fontKey="{2D0D4326-E964-4D56-9078-2B30C43BB18C}"/>
  </w:font>
  <w:font w:name="方正仿宋简体">
    <w:panose1 w:val="02010601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embedRegular r:id="rId14" w:fontKey="{C31F37E8-7C30-4FFB-BC28-E4BFA4776A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20</w:t>
                          </w:r>
                          <w:r>
                            <w:rPr>
                              <w:sz w:val="28"/>
                              <w:szCs w:val="28"/>
                            </w:rPr>
                            <w:fldChar w:fldCharType="end"/>
                          </w:r>
                          <w:r>
                            <w:rPr>
                              <w:sz w:val="28"/>
                              <w:szCs w:val="28"/>
                            </w:rPr>
                            <w:t xml:space="preserve"> </w:t>
                          </w:r>
                          <w: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NfH4xAgAAY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mDzLwlY/&#10;WB6hozzerg4BciaVoyi9EuhO3GD2Up+GdxKH+899in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MzXx+MQIAAGMEAAAOAAAAAAAAAAEAIAAAAB8BAABkcnMvZTJvRG9jLnhtbFBLBQYA&#10;AAAABgAGAFkBAADCBQAAAAA=&#10;">
              <v:fill on="f" focussize="0,0"/>
              <v:stroke on="f" weight="0.5pt"/>
              <v:imagedata o:title=""/>
              <o:lock v:ext="edit" aspectratio="f"/>
              <v:textbox inset="0mm,0mm,0mm,0mm" style="mso-fit-shape-to-text:t;">
                <w:txbxContent>
                  <w:p>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20</w:t>
                    </w:r>
                    <w:r>
                      <w:rPr>
                        <w:sz w:val="28"/>
                        <w:szCs w:val="28"/>
                      </w:rPr>
                      <w:fldChar w:fldCharType="end"/>
                    </w:r>
                    <w:r>
                      <w:rPr>
                        <w:sz w:val="28"/>
                        <w:szCs w:val="28"/>
                      </w:rPr>
                      <w:t xml:space="preserve"> </w:t>
                    </w:r>
                    <w:r>
                      <w:t>—</w:t>
                    </w:r>
                  </w:p>
                </w:txbxContent>
              </v:textbox>
            </v:shape>
          </w:pict>
        </mc:Fallback>
      </mc:AlternateConten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r>
      <w:rPr>
        <w:rFonts w:hint="eastAsia"/>
      </w:rPr>
      <w:t xml:space="preserve"> </w:t>
    </w: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tabs>
        <w:tab w:val="left" w:pos="435"/>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D"/>
    <w:multiLevelType w:val="multilevel"/>
    <w:tmpl w:val="0000000D"/>
    <w:lvl w:ilvl="0" w:tentative="0">
      <w:start w:val="1"/>
      <w:numFmt w:val="japaneseCounting"/>
      <w:pStyle w:val="36"/>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205F02E9"/>
    <w:multiLevelType w:val="multilevel"/>
    <w:tmpl w:val="205F02E9"/>
    <w:lvl w:ilvl="0" w:tentative="0">
      <w:start w:val="1"/>
      <w:numFmt w:val="japaneseCounting"/>
      <w:lvlText w:val="第%1节"/>
      <w:lvlJc w:val="left"/>
      <w:pPr>
        <w:ind w:left="1200" w:hanging="12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60"/>
  <w:drawingGridVerticalSpacing w:val="435"/>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349"/>
    <w:rsid w:val="00000BA2"/>
    <w:rsid w:val="0000201A"/>
    <w:rsid w:val="000104EF"/>
    <w:rsid w:val="00010F0B"/>
    <w:rsid w:val="000143BA"/>
    <w:rsid w:val="00021A9F"/>
    <w:rsid w:val="00024162"/>
    <w:rsid w:val="000304DA"/>
    <w:rsid w:val="00032E98"/>
    <w:rsid w:val="00035A8D"/>
    <w:rsid w:val="00036F4B"/>
    <w:rsid w:val="00037331"/>
    <w:rsid w:val="0004046D"/>
    <w:rsid w:val="00040642"/>
    <w:rsid w:val="00040E28"/>
    <w:rsid w:val="00041A5E"/>
    <w:rsid w:val="00042A43"/>
    <w:rsid w:val="00043814"/>
    <w:rsid w:val="00045081"/>
    <w:rsid w:val="000457E9"/>
    <w:rsid w:val="00047854"/>
    <w:rsid w:val="00053697"/>
    <w:rsid w:val="00053B6E"/>
    <w:rsid w:val="00060A89"/>
    <w:rsid w:val="00062697"/>
    <w:rsid w:val="00065FCA"/>
    <w:rsid w:val="00072D26"/>
    <w:rsid w:val="0007418D"/>
    <w:rsid w:val="000744AB"/>
    <w:rsid w:val="0007658C"/>
    <w:rsid w:val="0008098A"/>
    <w:rsid w:val="00081D72"/>
    <w:rsid w:val="00084DD1"/>
    <w:rsid w:val="00084E5A"/>
    <w:rsid w:val="000856B6"/>
    <w:rsid w:val="00087173"/>
    <w:rsid w:val="00090F95"/>
    <w:rsid w:val="00091543"/>
    <w:rsid w:val="00094B7A"/>
    <w:rsid w:val="00094C97"/>
    <w:rsid w:val="000964CC"/>
    <w:rsid w:val="000A3682"/>
    <w:rsid w:val="000A3B3E"/>
    <w:rsid w:val="000A3F48"/>
    <w:rsid w:val="000A6FA9"/>
    <w:rsid w:val="000A74D3"/>
    <w:rsid w:val="000B30D6"/>
    <w:rsid w:val="000B3CBB"/>
    <w:rsid w:val="000B442F"/>
    <w:rsid w:val="000B4D39"/>
    <w:rsid w:val="000B4EE0"/>
    <w:rsid w:val="000B5C77"/>
    <w:rsid w:val="000B6C7B"/>
    <w:rsid w:val="000B7E56"/>
    <w:rsid w:val="000B7F17"/>
    <w:rsid w:val="000C35DC"/>
    <w:rsid w:val="000C3D4E"/>
    <w:rsid w:val="000C53E8"/>
    <w:rsid w:val="000C594B"/>
    <w:rsid w:val="000D025F"/>
    <w:rsid w:val="000D0C27"/>
    <w:rsid w:val="000D18F3"/>
    <w:rsid w:val="000D2E78"/>
    <w:rsid w:val="000D2F0A"/>
    <w:rsid w:val="000E05BD"/>
    <w:rsid w:val="000E163C"/>
    <w:rsid w:val="000E4A20"/>
    <w:rsid w:val="000E5BD9"/>
    <w:rsid w:val="000E613B"/>
    <w:rsid w:val="000F2457"/>
    <w:rsid w:val="000F3452"/>
    <w:rsid w:val="0010212F"/>
    <w:rsid w:val="00102E5E"/>
    <w:rsid w:val="00106087"/>
    <w:rsid w:val="00107BEA"/>
    <w:rsid w:val="0011295A"/>
    <w:rsid w:val="001168CF"/>
    <w:rsid w:val="00117154"/>
    <w:rsid w:val="001228FD"/>
    <w:rsid w:val="00126139"/>
    <w:rsid w:val="0013388C"/>
    <w:rsid w:val="001344BE"/>
    <w:rsid w:val="001353BD"/>
    <w:rsid w:val="001360D4"/>
    <w:rsid w:val="001409B8"/>
    <w:rsid w:val="00145F3B"/>
    <w:rsid w:val="0014641F"/>
    <w:rsid w:val="00146B2F"/>
    <w:rsid w:val="00151349"/>
    <w:rsid w:val="001513D1"/>
    <w:rsid w:val="0015380C"/>
    <w:rsid w:val="001549DB"/>
    <w:rsid w:val="00154B8A"/>
    <w:rsid w:val="001651F0"/>
    <w:rsid w:val="00166743"/>
    <w:rsid w:val="00167618"/>
    <w:rsid w:val="00171BAC"/>
    <w:rsid w:val="00173090"/>
    <w:rsid w:val="00174F26"/>
    <w:rsid w:val="0017598D"/>
    <w:rsid w:val="00176BBE"/>
    <w:rsid w:val="0018085A"/>
    <w:rsid w:val="00181719"/>
    <w:rsid w:val="00182355"/>
    <w:rsid w:val="001832AA"/>
    <w:rsid w:val="00183F98"/>
    <w:rsid w:val="001875CF"/>
    <w:rsid w:val="0018770D"/>
    <w:rsid w:val="00187B37"/>
    <w:rsid w:val="00193467"/>
    <w:rsid w:val="00193F02"/>
    <w:rsid w:val="0019467B"/>
    <w:rsid w:val="00196399"/>
    <w:rsid w:val="00196789"/>
    <w:rsid w:val="001A033C"/>
    <w:rsid w:val="001A04D5"/>
    <w:rsid w:val="001A20AC"/>
    <w:rsid w:val="001A282A"/>
    <w:rsid w:val="001A44EC"/>
    <w:rsid w:val="001A6587"/>
    <w:rsid w:val="001A749E"/>
    <w:rsid w:val="001A7DC0"/>
    <w:rsid w:val="001B1653"/>
    <w:rsid w:val="001B3ACF"/>
    <w:rsid w:val="001B5789"/>
    <w:rsid w:val="001B7C7A"/>
    <w:rsid w:val="001C25BC"/>
    <w:rsid w:val="001C2A06"/>
    <w:rsid w:val="001C2D37"/>
    <w:rsid w:val="001C38FC"/>
    <w:rsid w:val="001C52AD"/>
    <w:rsid w:val="001C6D4C"/>
    <w:rsid w:val="001C7538"/>
    <w:rsid w:val="001D18F0"/>
    <w:rsid w:val="001D4334"/>
    <w:rsid w:val="001D5136"/>
    <w:rsid w:val="001D5E5F"/>
    <w:rsid w:val="001E0095"/>
    <w:rsid w:val="001E16B8"/>
    <w:rsid w:val="001E21E7"/>
    <w:rsid w:val="001E3573"/>
    <w:rsid w:val="001E4FF5"/>
    <w:rsid w:val="001E6B9D"/>
    <w:rsid w:val="001E72E7"/>
    <w:rsid w:val="001F08CB"/>
    <w:rsid w:val="001F0D0C"/>
    <w:rsid w:val="001F3439"/>
    <w:rsid w:val="001F3692"/>
    <w:rsid w:val="001F7E17"/>
    <w:rsid w:val="00203A23"/>
    <w:rsid w:val="00204345"/>
    <w:rsid w:val="002049A5"/>
    <w:rsid w:val="00204A0D"/>
    <w:rsid w:val="00204BF5"/>
    <w:rsid w:val="002073FE"/>
    <w:rsid w:val="00210242"/>
    <w:rsid w:val="00211C8E"/>
    <w:rsid w:val="0021599D"/>
    <w:rsid w:val="002203F0"/>
    <w:rsid w:val="00222CBC"/>
    <w:rsid w:val="00225536"/>
    <w:rsid w:val="00227610"/>
    <w:rsid w:val="002301BD"/>
    <w:rsid w:val="0023069C"/>
    <w:rsid w:val="00231CDC"/>
    <w:rsid w:val="0023520F"/>
    <w:rsid w:val="002355F9"/>
    <w:rsid w:val="002359F9"/>
    <w:rsid w:val="00242EB9"/>
    <w:rsid w:val="0024331E"/>
    <w:rsid w:val="00246172"/>
    <w:rsid w:val="00246DC2"/>
    <w:rsid w:val="00257735"/>
    <w:rsid w:val="00261A37"/>
    <w:rsid w:val="002627DA"/>
    <w:rsid w:val="0026409C"/>
    <w:rsid w:val="00273058"/>
    <w:rsid w:val="00282248"/>
    <w:rsid w:val="002903F8"/>
    <w:rsid w:val="00290BB0"/>
    <w:rsid w:val="00293708"/>
    <w:rsid w:val="00296BA1"/>
    <w:rsid w:val="002A2EBF"/>
    <w:rsid w:val="002A377F"/>
    <w:rsid w:val="002A3BB0"/>
    <w:rsid w:val="002A5122"/>
    <w:rsid w:val="002B0670"/>
    <w:rsid w:val="002B17D7"/>
    <w:rsid w:val="002B3BEE"/>
    <w:rsid w:val="002B3CB7"/>
    <w:rsid w:val="002B3D5A"/>
    <w:rsid w:val="002B6816"/>
    <w:rsid w:val="002B765C"/>
    <w:rsid w:val="002C2066"/>
    <w:rsid w:val="002D5285"/>
    <w:rsid w:val="002E06E2"/>
    <w:rsid w:val="002E6240"/>
    <w:rsid w:val="002F0393"/>
    <w:rsid w:val="002F0F1F"/>
    <w:rsid w:val="002F135B"/>
    <w:rsid w:val="002F2338"/>
    <w:rsid w:val="002F2BE9"/>
    <w:rsid w:val="002F47C8"/>
    <w:rsid w:val="002F49BB"/>
    <w:rsid w:val="002F4C5B"/>
    <w:rsid w:val="002F5A84"/>
    <w:rsid w:val="002F65C9"/>
    <w:rsid w:val="003000C0"/>
    <w:rsid w:val="00300162"/>
    <w:rsid w:val="003021D9"/>
    <w:rsid w:val="003062B9"/>
    <w:rsid w:val="00310E76"/>
    <w:rsid w:val="00315336"/>
    <w:rsid w:val="003165BE"/>
    <w:rsid w:val="0032121C"/>
    <w:rsid w:val="00321750"/>
    <w:rsid w:val="00322254"/>
    <w:rsid w:val="00326478"/>
    <w:rsid w:val="003275D6"/>
    <w:rsid w:val="003277B8"/>
    <w:rsid w:val="003326B8"/>
    <w:rsid w:val="003332BB"/>
    <w:rsid w:val="00333617"/>
    <w:rsid w:val="00335078"/>
    <w:rsid w:val="003405A6"/>
    <w:rsid w:val="00340BEF"/>
    <w:rsid w:val="00342F53"/>
    <w:rsid w:val="00343CD5"/>
    <w:rsid w:val="00345399"/>
    <w:rsid w:val="00353F06"/>
    <w:rsid w:val="0035429D"/>
    <w:rsid w:val="00355E87"/>
    <w:rsid w:val="00356E40"/>
    <w:rsid w:val="0036045E"/>
    <w:rsid w:val="00360AB3"/>
    <w:rsid w:val="00361202"/>
    <w:rsid w:val="00365135"/>
    <w:rsid w:val="0036561C"/>
    <w:rsid w:val="00365963"/>
    <w:rsid w:val="003660BE"/>
    <w:rsid w:val="0036777E"/>
    <w:rsid w:val="003709A2"/>
    <w:rsid w:val="0037608F"/>
    <w:rsid w:val="00376DF0"/>
    <w:rsid w:val="00377A89"/>
    <w:rsid w:val="00377D04"/>
    <w:rsid w:val="00377FC6"/>
    <w:rsid w:val="00382BC0"/>
    <w:rsid w:val="00383863"/>
    <w:rsid w:val="003863EA"/>
    <w:rsid w:val="00391D8E"/>
    <w:rsid w:val="00397AEE"/>
    <w:rsid w:val="003A1C5B"/>
    <w:rsid w:val="003A1CE7"/>
    <w:rsid w:val="003A26FB"/>
    <w:rsid w:val="003A3375"/>
    <w:rsid w:val="003A5DF5"/>
    <w:rsid w:val="003B0BD2"/>
    <w:rsid w:val="003B0CB3"/>
    <w:rsid w:val="003B129F"/>
    <w:rsid w:val="003B27A5"/>
    <w:rsid w:val="003B43B0"/>
    <w:rsid w:val="003B49F8"/>
    <w:rsid w:val="003B6573"/>
    <w:rsid w:val="003C083A"/>
    <w:rsid w:val="003C16CA"/>
    <w:rsid w:val="003C3173"/>
    <w:rsid w:val="003C7051"/>
    <w:rsid w:val="003D08B3"/>
    <w:rsid w:val="003D1AE2"/>
    <w:rsid w:val="003D551A"/>
    <w:rsid w:val="003D7FC7"/>
    <w:rsid w:val="003E6110"/>
    <w:rsid w:val="003E6759"/>
    <w:rsid w:val="003F0470"/>
    <w:rsid w:val="003F3813"/>
    <w:rsid w:val="003F4795"/>
    <w:rsid w:val="003F50D5"/>
    <w:rsid w:val="0040168A"/>
    <w:rsid w:val="00402636"/>
    <w:rsid w:val="00403FF9"/>
    <w:rsid w:val="00405076"/>
    <w:rsid w:val="004118E0"/>
    <w:rsid w:val="004144EF"/>
    <w:rsid w:val="00414E76"/>
    <w:rsid w:val="00422309"/>
    <w:rsid w:val="00422DBB"/>
    <w:rsid w:val="00423E8A"/>
    <w:rsid w:val="00425770"/>
    <w:rsid w:val="00427331"/>
    <w:rsid w:val="00432E98"/>
    <w:rsid w:val="004358EE"/>
    <w:rsid w:val="00436BE3"/>
    <w:rsid w:val="0043729D"/>
    <w:rsid w:val="00437D82"/>
    <w:rsid w:val="00441563"/>
    <w:rsid w:val="00444439"/>
    <w:rsid w:val="00444746"/>
    <w:rsid w:val="00453104"/>
    <w:rsid w:val="00453D2F"/>
    <w:rsid w:val="00454CA8"/>
    <w:rsid w:val="00455DAD"/>
    <w:rsid w:val="0045630C"/>
    <w:rsid w:val="0046040C"/>
    <w:rsid w:val="004638AD"/>
    <w:rsid w:val="00465CB5"/>
    <w:rsid w:val="00467621"/>
    <w:rsid w:val="00471AD0"/>
    <w:rsid w:val="00472572"/>
    <w:rsid w:val="004729BA"/>
    <w:rsid w:val="0047521B"/>
    <w:rsid w:val="004774CD"/>
    <w:rsid w:val="00487674"/>
    <w:rsid w:val="00490A8F"/>
    <w:rsid w:val="004935BD"/>
    <w:rsid w:val="004957D9"/>
    <w:rsid w:val="004958BA"/>
    <w:rsid w:val="00495F88"/>
    <w:rsid w:val="00496074"/>
    <w:rsid w:val="004965E6"/>
    <w:rsid w:val="004A0F89"/>
    <w:rsid w:val="004A1B62"/>
    <w:rsid w:val="004A1DF2"/>
    <w:rsid w:val="004A332A"/>
    <w:rsid w:val="004A340C"/>
    <w:rsid w:val="004A3E99"/>
    <w:rsid w:val="004A48BA"/>
    <w:rsid w:val="004A543B"/>
    <w:rsid w:val="004B068D"/>
    <w:rsid w:val="004B1668"/>
    <w:rsid w:val="004B2668"/>
    <w:rsid w:val="004B2D9E"/>
    <w:rsid w:val="004B6864"/>
    <w:rsid w:val="004B7723"/>
    <w:rsid w:val="004C19C6"/>
    <w:rsid w:val="004C3CD4"/>
    <w:rsid w:val="004C65F4"/>
    <w:rsid w:val="004C74DB"/>
    <w:rsid w:val="004D2B86"/>
    <w:rsid w:val="004D2C9B"/>
    <w:rsid w:val="004D343A"/>
    <w:rsid w:val="004D5C76"/>
    <w:rsid w:val="004D777D"/>
    <w:rsid w:val="004E2981"/>
    <w:rsid w:val="004E2BC0"/>
    <w:rsid w:val="004E37A0"/>
    <w:rsid w:val="004E7F54"/>
    <w:rsid w:val="004F0308"/>
    <w:rsid w:val="004F314F"/>
    <w:rsid w:val="004F5907"/>
    <w:rsid w:val="005017BD"/>
    <w:rsid w:val="00502B65"/>
    <w:rsid w:val="00503C25"/>
    <w:rsid w:val="00507890"/>
    <w:rsid w:val="0051288B"/>
    <w:rsid w:val="00512D3E"/>
    <w:rsid w:val="00517C05"/>
    <w:rsid w:val="00517D54"/>
    <w:rsid w:val="0052002C"/>
    <w:rsid w:val="00522A94"/>
    <w:rsid w:val="00527B51"/>
    <w:rsid w:val="00531D2F"/>
    <w:rsid w:val="00533351"/>
    <w:rsid w:val="005348DD"/>
    <w:rsid w:val="0053686C"/>
    <w:rsid w:val="00544006"/>
    <w:rsid w:val="0054631D"/>
    <w:rsid w:val="005463A8"/>
    <w:rsid w:val="00552BE5"/>
    <w:rsid w:val="00566BD7"/>
    <w:rsid w:val="0057176F"/>
    <w:rsid w:val="005731C8"/>
    <w:rsid w:val="005760BA"/>
    <w:rsid w:val="00581B44"/>
    <w:rsid w:val="00583E18"/>
    <w:rsid w:val="00584BB1"/>
    <w:rsid w:val="0059031A"/>
    <w:rsid w:val="005914F7"/>
    <w:rsid w:val="00595D52"/>
    <w:rsid w:val="005960F3"/>
    <w:rsid w:val="0059653C"/>
    <w:rsid w:val="005A0FC6"/>
    <w:rsid w:val="005A10B8"/>
    <w:rsid w:val="005A6161"/>
    <w:rsid w:val="005A634D"/>
    <w:rsid w:val="005B041C"/>
    <w:rsid w:val="005B1C36"/>
    <w:rsid w:val="005B2C7F"/>
    <w:rsid w:val="005B333E"/>
    <w:rsid w:val="005B3734"/>
    <w:rsid w:val="005B4644"/>
    <w:rsid w:val="005C15A9"/>
    <w:rsid w:val="005C234F"/>
    <w:rsid w:val="005C2D8C"/>
    <w:rsid w:val="005C4ED0"/>
    <w:rsid w:val="005C5530"/>
    <w:rsid w:val="005C5BA3"/>
    <w:rsid w:val="005C7E79"/>
    <w:rsid w:val="005D006D"/>
    <w:rsid w:val="005D59B8"/>
    <w:rsid w:val="005D7918"/>
    <w:rsid w:val="005E1554"/>
    <w:rsid w:val="005E391D"/>
    <w:rsid w:val="005E3A4C"/>
    <w:rsid w:val="005E46F9"/>
    <w:rsid w:val="005E5913"/>
    <w:rsid w:val="005E5BA0"/>
    <w:rsid w:val="005E6C53"/>
    <w:rsid w:val="005F04DA"/>
    <w:rsid w:val="005F1029"/>
    <w:rsid w:val="005F79D4"/>
    <w:rsid w:val="00600958"/>
    <w:rsid w:val="006022E2"/>
    <w:rsid w:val="006023D4"/>
    <w:rsid w:val="00602956"/>
    <w:rsid w:val="006029EF"/>
    <w:rsid w:val="00604FAB"/>
    <w:rsid w:val="00605C97"/>
    <w:rsid w:val="00606E9B"/>
    <w:rsid w:val="00610007"/>
    <w:rsid w:val="006129B0"/>
    <w:rsid w:val="00614BBE"/>
    <w:rsid w:val="00617A55"/>
    <w:rsid w:val="00622EFD"/>
    <w:rsid w:val="0063005B"/>
    <w:rsid w:val="006315D2"/>
    <w:rsid w:val="00633DBE"/>
    <w:rsid w:val="006344CD"/>
    <w:rsid w:val="006402E3"/>
    <w:rsid w:val="00640ACC"/>
    <w:rsid w:val="00641DDE"/>
    <w:rsid w:val="00642285"/>
    <w:rsid w:val="006433C9"/>
    <w:rsid w:val="00647CAD"/>
    <w:rsid w:val="00650601"/>
    <w:rsid w:val="006512AB"/>
    <w:rsid w:val="006514A1"/>
    <w:rsid w:val="006517A6"/>
    <w:rsid w:val="00652BAB"/>
    <w:rsid w:val="00653F4D"/>
    <w:rsid w:val="006567BF"/>
    <w:rsid w:val="0066034D"/>
    <w:rsid w:val="00660B05"/>
    <w:rsid w:val="00661F53"/>
    <w:rsid w:val="00663D4A"/>
    <w:rsid w:val="006662EB"/>
    <w:rsid w:val="0067109F"/>
    <w:rsid w:val="00675CE5"/>
    <w:rsid w:val="006761FA"/>
    <w:rsid w:val="0067767B"/>
    <w:rsid w:val="00683508"/>
    <w:rsid w:val="006839F2"/>
    <w:rsid w:val="006846BE"/>
    <w:rsid w:val="00685F2D"/>
    <w:rsid w:val="006865C9"/>
    <w:rsid w:val="006879EA"/>
    <w:rsid w:val="0069498A"/>
    <w:rsid w:val="006957DD"/>
    <w:rsid w:val="006972F4"/>
    <w:rsid w:val="006A0E3A"/>
    <w:rsid w:val="006A7E44"/>
    <w:rsid w:val="006B2D1B"/>
    <w:rsid w:val="006B35E0"/>
    <w:rsid w:val="006B37C9"/>
    <w:rsid w:val="006B60A8"/>
    <w:rsid w:val="006B6527"/>
    <w:rsid w:val="006B66C8"/>
    <w:rsid w:val="006B6CDB"/>
    <w:rsid w:val="006C0428"/>
    <w:rsid w:val="006C2270"/>
    <w:rsid w:val="006C434A"/>
    <w:rsid w:val="006C5842"/>
    <w:rsid w:val="006C5F0A"/>
    <w:rsid w:val="006C6123"/>
    <w:rsid w:val="006C630F"/>
    <w:rsid w:val="006C68FB"/>
    <w:rsid w:val="006C79C6"/>
    <w:rsid w:val="006D09AA"/>
    <w:rsid w:val="006D101A"/>
    <w:rsid w:val="006D14DA"/>
    <w:rsid w:val="006D1A62"/>
    <w:rsid w:val="006D4455"/>
    <w:rsid w:val="006D639F"/>
    <w:rsid w:val="006E2143"/>
    <w:rsid w:val="006E250B"/>
    <w:rsid w:val="006F197D"/>
    <w:rsid w:val="006F1D11"/>
    <w:rsid w:val="006F232B"/>
    <w:rsid w:val="006F322C"/>
    <w:rsid w:val="006F677E"/>
    <w:rsid w:val="006F7938"/>
    <w:rsid w:val="007001C0"/>
    <w:rsid w:val="00700DFD"/>
    <w:rsid w:val="007057B7"/>
    <w:rsid w:val="00707D8A"/>
    <w:rsid w:val="00710E2C"/>
    <w:rsid w:val="00710FF0"/>
    <w:rsid w:val="0071731A"/>
    <w:rsid w:val="0071798A"/>
    <w:rsid w:val="00717C56"/>
    <w:rsid w:val="007229D3"/>
    <w:rsid w:val="00722BE8"/>
    <w:rsid w:val="00724871"/>
    <w:rsid w:val="00726F0C"/>
    <w:rsid w:val="00730D09"/>
    <w:rsid w:val="00732E3A"/>
    <w:rsid w:val="00734563"/>
    <w:rsid w:val="00736E4D"/>
    <w:rsid w:val="00740942"/>
    <w:rsid w:val="00740E80"/>
    <w:rsid w:val="00740F67"/>
    <w:rsid w:val="00741290"/>
    <w:rsid w:val="007429B1"/>
    <w:rsid w:val="007451DD"/>
    <w:rsid w:val="007464B6"/>
    <w:rsid w:val="00750751"/>
    <w:rsid w:val="00751189"/>
    <w:rsid w:val="00756920"/>
    <w:rsid w:val="00760C54"/>
    <w:rsid w:val="00761AB3"/>
    <w:rsid w:val="00763BE0"/>
    <w:rsid w:val="00765E55"/>
    <w:rsid w:val="00772828"/>
    <w:rsid w:val="007756E2"/>
    <w:rsid w:val="00780CA1"/>
    <w:rsid w:val="0078206B"/>
    <w:rsid w:val="00782B15"/>
    <w:rsid w:val="00782F1B"/>
    <w:rsid w:val="00784B05"/>
    <w:rsid w:val="007873C9"/>
    <w:rsid w:val="00792401"/>
    <w:rsid w:val="00793FA8"/>
    <w:rsid w:val="0079456C"/>
    <w:rsid w:val="007949CA"/>
    <w:rsid w:val="00796779"/>
    <w:rsid w:val="00797013"/>
    <w:rsid w:val="007A04A2"/>
    <w:rsid w:val="007A06AD"/>
    <w:rsid w:val="007A09A3"/>
    <w:rsid w:val="007A0EC4"/>
    <w:rsid w:val="007A488A"/>
    <w:rsid w:val="007A4EB5"/>
    <w:rsid w:val="007B299A"/>
    <w:rsid w:val="007B5611"/>
    <w:rsid w:val="007B5C36"/>
    <w:rsid w:val="007C4A00"/>
    <w:rsid w:val="007C4ACF"/>
    <w:rsid w:val="007C5646"/>
    <w:rsid w:val="007C68BC"/>
    <w:rsid w:val="007C723A"/>
    <w:rsid w:val="007D2EE2"/>
    <w:rsid w:val="007D331A"/>
    <w:rsid w:val="007D721E"/>
    <w:rsid w:val="007E7A58"/>
    <w:rsid w:val="007F064A"/>
    <w:rsid w:val="007F2865"/>
    <w:rsid w:val="007F7F90"/>
    <w:rsid w:val="0080025B"/>
    <w:rsid w:val="00802D50"/>
    <w:rsid w:val="00803297"/>
    <w:rsid w:val="00805762"/>
    <w:rsid w:val="00805FA5"/>
    <w:rsid w:val="00806241"/>
    <w:rsid w:val="00811CD2"/>
    <w:rsid w:val="00812BB9"/>
    <w:rsid w:val="008176A5"/>
    <w:rsid w:val="008207D2"/>
    <w:rsid w:val="00821500"/>
    <w:rsid w:val="00821958"/>
    <w:rsid w:val="00825296"/>
    <w:rsid w:val="00825C9B"/>
    <w:rsid w:val="008311DA"/>
    <w:rsid w:val="008340C5"/>
    <w:rsid w:val="00836879"/>
    <w:rsid w:val="008374E4"/>
    <w:rsid w:val="00837D63"/>
    <w:rsid w:val="00841DA0"/>
    <w:rsid w:val="00844F3E"/>
    <w:rsid w:val="00847B01"/>
    <w:rsid w:val="00847E80"/>
    <w:rsid w:val="008501DF"/>
    <w:rsid w:val="00851DC8"/>
    <w:rsid w:val="008544B9"/>
    <w:rsid w:val="00855264"/>
    <w:rsid w:val="00855CFB"/>
    <w:rsid w:val="00857691"/>
    <w:rsid w:val="008602AF"/>
    <w:rsid w:val="0086179A"/>
    <w:rsid w:val="0086616C"/>
    <w:rsid w:val="0087321D"/>
    <w:rsid w:val="00874BD6"/>
    <w:rsid w:val="00874DEB"/>
    <w:rsid w:val="00881580"/>
    <w:rsid w:val="008845EE"/>
    <w:rsid w:val="00884E12"/>
    <w:rsid w:val="00887B3C"/>
    <w:rsid w:val="008925B2"/>
    <w:rsid w:val="008928F9"/>
    <w:rsid w:val="008938D9"/>
    <w:rsid w:val="00893DF0"/>
    <w:rsid w:val="00895526"/>
    <w:rsid w:val="00897A26"/>
    <w:rsid w:val="008A01F1"/>
    <w:rsid w:val="008A52C4"/>
    <w:rsid w:val="008B31BD"/>
    <w:rsid w:val="008B4650"/>
    <w:rsid w:val="008C02E8"/>
    <w:rsid w:val="008C0FB9"/>
    <w:rsid w:val="008C189D"/>
    <w:rsid w:val="008C45D1"/>
    <w:rsid w:val="008C5C8D"/>
    <w:rsid w:val="008C671F"/>
    <w:rsid w:val="008D044E"/>
    <w:rsid w:val="008D1394"/>
    <w:rsid w:val="008D190A"/>
    <w:rsid w:val="008D2C23"/>
    <w:rsid w:val="008D2D28"/>
    <w:rsid w:val="008D4F8D"/>
    <w:rsid w:val="008D54AA"/>
    <w:rsid w:val="008E3A21"/>
    <w:rsid w:val="008E5562"/>
    <w:rsid w:val="008F01B6"/>
    <w:rsid w:val="008F0F6A"/>
    <w:rsid w:val="008F3439"/>
    <w:rsid w:val="008F5B63"/>
    <w:rsid w:val="00900064"/>
    <w:rsid w:val="00902332"/>
    <w:rsid w:val="00902501"/>
    <w:rsid w:val="009072C5"/>
    <w:rsid w:val="00910A33"/>
    <w:rsid w:val="009141A5"/>
    <w:rsid w:val="009142D0"/>
    <w:rsid w:val="0091487D"/>
    <w:rsid w:val="00917BC8"/>
    <w:rsid w:val="009204C7"/>
    <w:rsid w:val="00920588"/>
    <w:rsid w:val="00921A0E"/>
    <w:rsid w:val="00922F2A"/>
    <w:rsid w:val="00922FF7"/>
    <w:rsid w:val="009234B3"/>
    <w:rsid w:val="009245C2"/>
    <w:rsid w:val="00926FB0"/>
    <w:rsid w:val="0092729C"/>
    <w:rsid w:val="009302B0"/>
    <w:rsid w:val="0093125A"/>
    <w:rsid w:val="009355EA"/>
    <w:rsid w:val="0093648A"/>
    <w:rsid w:val="00941DA7"/>
    <w:rsid w:val="009426D2"/>
    <w:rsid w:val="00942C06"/>
    <w:rsid w:val="00942C8B"/>
    <w:rsid w:val="009434A3"/>
    <w:rsid w:val="00943FBA"/>
    <w:rsid w:val="009446B4"/>
    <w:rsid w:val="00944BC2"/>
    <w:rsid w:val="00945675"/>
    <w:rsid w:val="00945946"/>
    <w:rsid w:val="009461A5"/>
    <w:rsid w:val="00947FB6"/>
    <w:rsid w:val="00951E9F"/>
    <w:rsid w:val="00953092"/>
    <w:rsid w:val="00954950"/>
    <w:rsid w:val="009574CA"/>
    <w:rsid w:val="00962A35"/>
    <w:rsid w:val="00963508"/>
    <w:rsid w:val="00965473"/>
    <w:rsid w:val="00965685"/>
    <w:rsid w:val="0096591D"/>
    <w:rsid w:val="0096606F"/>
    <w:rsid w:val="00967881"/>
    <w:rsid w:val="00972625"/>
    <w:rsid w:val="00972AAA"/>
    <w:rsid w:val="00975A98"/>
    <w:rsid w:val="00975B43"/>
    <w:rsid w:val="00981EDB"/>
    <w:rsid w:val="00982F48"/>
    <w:rsid w:val="00983F56"/>
    <w:rsid w:val="00984660"/>
    <w:rsid w:val="009851EE"/>
    <w:rsid w:val="00987F46"/>
    <w:rsid w:val="009A0355"/>
    <w:rsid w:val="009A282A"/>
    <w:rsid w:val="009B088C"/>
    <w:rsid w:val="009B57E9"/>
    <w:rsid w:val="009B7045"/>
    <w:rsid w:val="009C2C65"/>
    <w:rsid w:val="009C6C0F"/>
    <w:rsid w:val="009C76F3"/>
    <w:rsid w:val="009C7C05"/>
    <w:rsid w:val="009D2879"/>
    <w:rsid w:val="009D35A9"/>
    <w:rsid w:val="009D3780"/>
    <w:rsid w:val="009D3E0E"/>
    <w:rsid w:val="009D5A1E"/>
    <w:rsid w:val="009E37B0"/>
    <w:rsid w:val="009E3F9C"/>
    <w:rsid w:val="009E4BEB"/>
    <w:rsid w:val="009F00AD"/>
    <w:rsid w:val="009F134E"/>
    <w:rsid w:val="009F198E"/>
    <w:rsid w:val="009F2E14"/>
    <w:rsid w:val="009F3FAA"/>
    <w:rsid w:val="009F4CC3"/>
    <w:rsid w:val="009F4FA7"/>
    <w:rsid w:val="009F7F79"/>
    <w:rsid w:val="00A0004E"/>
    <w:rsid w:val="00A024A9"/>
    <w:rsid w:val="00A04D2E"/>
    <w:rsid w:val="00A07B82"/>
    <w:rsid w:val="00A10E1F"/>
    <w:rsid w:val="00A15B21"/>
    <w:rsid w:val="00A15ECE"/>
    <w:rsid w:val="00A163FC"/>
    <w:rsid w:val="00A2085B"/>
    <w:rsid w:val="00A213F3"/>
    <w:rsid w:val="00A22E18"/>
    <w:rsid w:val="00A239DC"/>
    <w:rsid w:val="00A31811"/>
    <w:rsid w:val="00A32B7A"/>
    <w:rsid w:val="00A341E4"/>
    <w:rsid w:val="00A4074B"/>
    <w:rsid w:val="00A40ABC"/>
    <w:rsid w:val="00A4282A"/>
    <w:rsid w:val="00A467A4"/>
    <w:rsid w:val="00A50092"/>
    <w:rsid w:val="00A54D99"/>
    <w:rsid w:val="00A57814"/>
    <w:rsid w:val="00A57D4A"/>
    <w:rsid w:val="00A60CEE"/>
    <w:rsid w:val="00A60DBF"/>
    <w:rsid w:val="00A63FDF"/>
    <w:rsid w:val="00A66E54"/>
    <w:rsid w:val="00A71BCE"/>
    <w:rsid w:val="00A73107"/>
    <w:rsid w:val="00A739DD"/>
    <w:rsid w:val="00A7510D"/>
    <w:rsid w:val="00A75394"/>
    <w:rsid w:val="00A836B1"/>
    <w:rsid w:val="00A83C8F"/>
    <w:rsid w:val="00A8538C"/>
    <w:rsid w:val="00A85EF4"/>
    <w:rsid w:val="00A926B4"/>
    <w:rsid w:val="00A9489C"/>
    <w:rsid w:val="00A948FF"/>
    <w:rsid w:val="00A949D0"/>
    <w:rsid w:val="00A97421"/>
    <w:rsid w:val="00AA09EC"/>
    <w:rsid w:val="00AA2DC4"/>
    <w:rsid w:val="00AA3280"/>
    <w:rsid w:val="00AA3BA2"/>
    <w:rsid w:val="00AA548D"/>
    <w:rsid w:val="00AA5914"/>
    <w:rsid w:val="00AB0C3A"/>
    <w:rsid w:val="00AB1AA3"/>
    <w:rsid w:val="00AB3AA6"/>
    <w:rsid w:val="00AB4981"/>
    <w:rsid w:val="00AC4532"/>
    <w:rsid w:val="00AC4E24"/>
    <w:rsid w:val="00AD287D"/>
    <w:rsid w:val="00AD358B"/>
    <w:rsid w:val="00AD4464"/>
    <w:rsid w:val="00AD66EB"/>
    <w:rsid w:val="00AD68F5"/>
    <w:rsid w:val="00AD6D2F"/>
    <w:rsid w:val="00AE05AE"/>
    <w:rsid w:val="00AE1549"/>
    <w:rsid w:val="00AE350E"/>
    <w:rsid w:val="00AE3744"/>
    <w:rsid w:val="00AE7D09"/>
    <w:rsid w:val="00AF1C43"/>
    <w:rsid w:val="00AF2BBA"/>
    <w:rsid w:val="00AF33EC"/>
    <w:rsid w:val="00AF3AB2"/>
    <w:rsid w:val="00AF5D1C"/>
    <w:rsid w:val="00AF61E1"/>
    <w:rsid w:val="00AF7678"/>
    <w:rsid w:val="00B04325"/>
    <w:rsid w:val="00B0553E"/>
    <w:rsid w:val="00B062D2"/>
    <w:rsid w:val="00B06855"/>
    <w:rsid w:val="00B070FD"/>
    <w:rsid w:val="00B12072"/>
    <w:rsid w:val="00B1371B"/>
    <w:rsid w:val="00B20CDB"/>
    <w:rsid w:val="00B229AF"/>
    <w:rsid w:val="00B231FB"/>
    <w:rsid w:val="00B23B59"/>
    <w:rsid w:val="00B2487B"/>
    <w:rsid w:val="00B25F8C"/>
    <w:rsid w:val="00B27DBD"/>
    <w:rsid w:val="00B30346"/>
    <w:rsid w:val="00B32E33"/>
    <w:rsid w:val="00B42FDC"/>
    <w:rsid w:val="00B44569"/>
    <w:rsid w:val="00B45936"/>
    <w:rsid w:val="00B46E90"/>
    <w:rsid w:val="00B515CF"/>
    <w:rsid w:val="00B5269C"/>
    <w:rsid w:val="00B540C5"/>
    <w:rsid w:val="00B567AB"/>
    <w:rsid w:val="00B61812"/>
    <w:rsid w:val="00B63BC8"/>
    <w:rsid w:val="00B702F9"/>
    <w:rsid w:val="00B750AC"/>
    <w:rsid w:val="00B80BB7"/>
    <w:rsid w:val="00B8388F"/>
    <w:rsid w:val="00B84020"/>
    <w:rsid w:val="00B85CFC"/>
    <w:rsid w:val="00B86BCF"/>
    <w:rsid w:val="00B90C1A"/>
    <w:rsid w:val="00B93218"/>
    <w:rsid w:val="00B93B8C"/>
    <w:rsid w:val="00B961AD"/>
    <w:rsid w:val="00BA06FC"/>
    <w:rsid w:val="00BA0C01"/>
    <w:rsid w:val="00BA2DB8"/>
    <w:rsid w:val="00BA34EA"/>
    <w:rsid w:val="00BA3FC0"/>
    <w:rsid w:val="00BA620B"/>
    <w:rsid w:val="00BB0E4B"/>
    <w:rsid w:val="00BB0F4D"/>
    <w:rsid w:val="00BB13C3"/>
    <w:rsid w:val="00BB2650"/>
    <w:rsid w:val="00BB2CFA"/>
    <w:rsid w:val="00BB4573"/>
    <w:rsid w:val="00BB6946"/>
    <w:rsid w:val="00BC0159"/>
    <w:rsid w:val="00BC66E8"/>
    <w:rsid w:val="00BC71B0"/>
    <w:rsid w:val="00BC7A10"/>
    <w:rsid w:val="00BD1F4B"/>
    <w:rsid w:val="00BD4554"/>
    <w:rsid w:val="00BE024E"/>
    <w:rsid w:val="00BE0E7B"/>
    <w:rsid w:val="00BE21A3"/>
    <w:rsid w:val="00BE42A3"/>
    <w:rsid w:val="00BE6850"/>
    <w:rsid w:val="00BE727F"/>
    <w:rsid w:val="00BF24FF"/>
    <w:rsid w:val="00BF5E62"/>
    <w:rsid w:val="00BF69F9"/>
    <w:rsid w:val="00C04799"/>
    <w:rsid w:val="00C0492A"/>
    <w:rsid w:val="00C05232"/>
    <w:rsid w:val="00C062E5"/>
    <w:rsid w:val="00C063B0"/>
    <w:rsid w:val="00C14FA3"/>
    <w:rsid w:val="00C2058E"/>
    <w:rsid w:val="00C21EEC"/>
    <w:rsid w:val="00C23DCA"/>
    <w:rsid w:val="00C24A3A"/>
    <w:rsid w:val="00C25900"/>
    <w:rsid w:val="00C30FAD"/>
    <w:rsid w:val="00C32A95"/>
    <w:rsid w:val="00C32D2B"/>
    <w:rsid w:val="00C35C78"/>
    <w:rsid w:val="00C416C0"/>
    <w:rsid w:val="00C45B26"/>
    <w:rsid w:val="00C4726E"/>
    <w:rsid w:val="00C50AA8"/>
    <w:rsid w:val="00C50BD0"/>
    <w:rsid w:val="00C5373A"/>
    <w:rsid w:val="00C56E1D"/>
    <w:rsid w:val="00C6071A"/>
    <w:rsid w:val="00C65ADD"/>
    <w:rsid w:val="00C66717"/>
    <w:rsid w:val="00C728BF"/>
    <w:rsid w:val="00C72B7F"/>
    <w:rsid w:val="00C7403F"/>
    <w:rsid w:val="00C75360"/>
    <w:rsid w:val="00C768F3"/>
    <w:rsid w:val="00C81DC5"/>
    <w:rsid w:val="00C8737B"/>
    <w:rsid w:val="00C87E1D"/>
    <w:rsid w:val="00C91D01"/>
    <w:rsid w:val="00C92577"/>
    <w:rsid w:val="00C93494"/>
    <w:rsid w:val="00C93640"/>
    <w:rsid w:val="00C93F34"/>
    <w:rsid w:val="00C947EC"/>
    <w:rsid w:val="00CA33DA"/>
    <w:rsid w:val="00CA35A0"/>
    <w:rsid w:val="00CA3CBE"/>
    <w:rsid w:val="00CA4C01"/>
    <w:rsid w:val="00CA5C75"/>
    <w:rsid w:val="00CA5F57"/>
    <w:rsid w:val="00CA72F2"/>
    <w:rsid w:val="00CA76E3"/>
    <w:rsid w:val="00CB254F"/>
    <w:rsid w:val="00CB2AC1"/>
    <w:rsid w:val="00CB2B32"/>
    <w:rsid w:val="00CB31D4"/>
    <w:rsid w:val="00CB41C9"/>
    <w:rsid w:val="00CC0DFD"/>
    <w:rsid w:val="00CC14AE"/>
    <w:rsid w:val="00CC503B"/>
    <w:rsid w:val="00CC7E28"/>
    <w:rsid w:val="00CD55E7"/>
    <w:rsid w:val="00CD5605"/>
    <w:rsid w:val="00CD5722"/>
    <w:rsid w:val="00CD6B59"/>
    <w:rsid w:val="00CE0523"/>
    <w:rsid w:val="00CE2FAD"/>
    <w:rsid w:val="00CE6597"/>
    <w:rsid w:val="00CE6BF5"/>
    <w:rsid w:val="00CE7EE8"/>
    <w:rsid w:val="00CF1ADA"/>
    <w:rsid w:val="00CF28A7"/>
    <w:rsid w:val="00CF2ED9"/>
    <w:rsid w:val="00CF2F75"/>
    <w:rsid w:val="00CF3A99"/>
    <w:rsid w:val="00CF3AAC"/>
    <w:rsid w:val="00CF5D84"/>
    <w:rsid w:val="00CF72EB"/>
    <w:rsid w:val="00CF7B07"/>
    <w:rsid w:val="00D00B60"/>
    <w:rsid w:val="00D02D78"/>
    <w:rsid w:val="00D1643F"/>
    <w:rsid w:val="00D1781D"/>
    <w:rsid w:val="00D245FB"/>
    <w:rsid w:val="00D26AC0"/>
    <w:rsid w:val="00D26E2A"/>
    <w:rsid w:val="00D30DD5"/>
    <w:rsid w:val="00D335A3"/>
    <w:rsid w:val="00D33EB4"/>
    <w:rsid w:val="00D35083"/>
    <w:rsid w:val="00D36C90"/>
    <w:rsid w:val="00D4324E"/>
    <w:rsid w:val="00D44D8C"/>
    <w:rsid w:val="00D47E78"/>
    <w:rsid w:val="00D5323D"/>
    <w:rsid w:val="00D61EDB"/>
    <w:rsid w:val="00D70197"/>
    <w:rsid w:val="00D72FB7"/>
    <w:rsid w:val="00D75C70"/>
    <w:rsid w:val="00D774F5"/>
    <w:rsid w:val="00D83C48"/>
    <w:rsid w:val="00D845F6"/>
    <w:rsid w:val="00D967D0"/>
    <w:rsid w:val="00DA589A"/>
    <w:rsid w:val="00DB7A12"/>
    <w:rsid w:val="00DC1B8B"/>
    <w:rsid w:val="00DC2447"/>
    <w:rsid w:val="00DC2895"/>
    <w:rsid w:val="00DC4807"/>
    <w:rsid w:val="00DD5439"/>
    <w:rsid w:val="00DD61AD"/>
    <w:rsid w:val="00DD66D6"/>
    <w:rsid w:val="00DD6BCA"/>
    <w:rsid w:val="00DD762D"/>
    <w:rsid w:val="00DD7A1B"/>
    <w:rsid w:val="00DE3BF3"/>
    <w:rsid w:val="00DE4984"/>
    <w:rsid w:val="00DE5AD2"/>
    <w:rsid w:val="00DF3A04"/>
    <w:rsid w:val="00DF3EB1"/>
    <w:rsid w:val="00DF4C96"/>
    <w:rsid w:val="00DF7A12"/>
    <w:rsid w:val="00E00F4E"/>
    <w:rsid w:val="00E02F89"/>
    <w:rsid w:val="00E05E30"/>
    <w:rsid w:val="00E117DB"/>
    <w:rsid w:val="00E128EA"/>
    <w:rsid w:val="00E13554"/>
    <w:rsid w:val="00E217C0"/>
    <w:rsid w:val="00E31045"/>
    <w:rsid w:val="00E31596"/>
    <w:rsid w:val="00E31F57"/>
    <w:rsid w:val="00E42955"/>
    <w:rsid w:val="00E42E4A"/>
    <w:rsid w:val="00E4338D"/>
    <w:rsid w:val="00E466BF"/>
    <w:rsid w:val="00E533F8"/>
    <w:rsid w:val="00E555BB"/>
    <w:rsid w:val="00E57C77"/>
    <w:rsid w:val="00E60382"/>
    <w:rsid w:val="00E63744"/>
    <w:rsid w:val="00E64A3C"/>
    <w:rsid w:val="00E7040C"/>
    <w:rsid w:val="00E750C7"/>
    <w:rsid w:val="00E77092"/>
    <w:rsid w:val="00E80576"/>
    <w:rsid w:val="00E81386"/>
    <w:rsid w:val="00E85827"/>
    <w:rsid w:val="00E87F05"/>
    <w:rsid w:val="00E91C59"/>
    <w:rsid w:val="00E91F87"/>
    <w:rsid w:val="00E92A4E"/>
    <w:rsid w:val="00E946D6"/>
    <w:rsid w:val="00E94786"/>
    <w:rsid w:val="00E97AEC"/>
    <w:rsid w:val="00EA0E4E"/>
    <w:rsid w:val="00EA1251"/>
    <w:rsid w:val="00EB0507"/>
    <w:rsid w:val="00EB098A"/>
    <w:rsid w:val="00EB2778"/>
    <w:rsid w:val="00EB329B"/>
    <w:rsid w:val="00EC0217"/>
    <w:rsid w:val="00EC2AD5"/>
    <w:rsid w:val="00EC358D"/>
    <w:rsid w:val="00EC5AFA"/>
    <w:rsid w:val="00EC622C"/>
    <w:rsid w:val="00EC67EF"/>
    <w:rsid w:val="00EC68BB"/>
    <w:rsid w:val="00ED3D19"/>
    <w:rsid w:val="00ED43E4"/>
    <w:rsid w:val="00ED7FD1"/>
    <w:rsid w:val="00EE21CA"/>
    <w:rsid w:val="00EE56DD"/>
    <w:rsid w:val="00EE57B1"/>
    <w:rsid w:val="00EE68A1"/>
    <w:rsid w:val="00EF1316"/>
    <w:rsid w:val="00EF4244"/>
    <w:rsid w:val="00EF42B6"/>
    <w:rsid w:val="00EF6A13"/>
    <w:rsid w:val="00F02463"/>
    <w:rsid w:val="00F036DE"/>
    <w:rsid w:val="00F07CDF"/>
    <w:rsid w:val="00F1063E"/>
    <w:rsid w:val="00F119E0"/>
    <w:rsid w:val="00F123D9"/>
    <w:rsid w:val="00F138C4"/>
    <w:rsid w:val="00F14F6D"/>
    <w:rsid w:val="00F22C24"/>
    <w:rsid w:val="00F242F4"/>
    <w:rsid w:val="00F30586"/>
    <w:rsid w:val="00F31A0F"/>
    <w:rsid w:val="00F3615D"/>
    <w:rsid w:val="00F364ED"/>
    <w:rsid w:val="00F41CFD"/>
    <w:rsid w:val="00F44C7D"/>
    <w:rsid w:val="00F45541"/>
    <w:rsid w:val="00F47AC7"/>
    <w:rsid w:val="00F55BCC"/>
    <w:rsid w:val="00F565FD"/>
    <w:rsid w:val="00F572AC"/>
    <w:rsid w:val="00F62BE1"/>
    <w:rsid w:val="00F63719"/>
    <w:rsid w:val="00F6514C"/>
    <w:rsid w:val="00F65446"/>
    <w:rsid w:val="00F657A2"/>
    <w:rsid w:val="00F667D1"/>
    <w:rsid w:val="00F677EB"/>
    <w:rsid w:val="00F70386"/>
    <w:rsid w:val="00F70622"/>
    <w:rsid w:val="00F70FDA"/>
    <w:rsid w:val="00F72DB4"/>
    <w:rsid w:val="00F73C52"/>
    <w:rsid w:val="00F73CDC"/>
    <w:rsid w:val="00F74E1E"/>
    <w:rsid w:val="00F75B03"/>
    <w:rsid w:val="00F80648"/>
    <w:rsid w:val="00F80649"/>
    <w:rsid w:val="00F80837"/>
    <w:rsid w:val="00F84758"/>
    <w:rsid w:val="00F84C11"/>
    <w:rsid w:val="00F87710"/>
    <w:rsid w:val="00F917C7"/>
    <w:rsid w:val="00F9375C"/>
    <w:rsid w:val="00F93D2E"/>
    <w:rsid w:val="00F9547A"/>
    <w:rsid w:val="00FA1C4B"/>
    <w:rsid w:val="00FA24CB"/>
    <w:rsid w:val="00FA370C"/>
    <w:rsid w:val="00FA52C7"/>
    <w:rsid w:val="00FA6378"/>
    <w:rsid w:val="00FA677E"/>
    <w:rsid w:val="00FA7B71"/>
    <w:rsid w:val="00FB6DE5"/>
    <w:rsid w:val="00FC00DD"/>
    <w:rsid w:val="00FC2263"/>
    <w:rsid w:val="00FC2943"/>
    <w:rsid w:val="00FC44CF"/>
    <w:rsid w:val="00FC48DD"/>
    <w:rsid w:val="00FC68E4"/>
    <w:rsid w:val="00FD04CE"/>
    <w:rsid w:val="00FD1BFF"/>
    <w:rsid w:val="00FD7087"/>
    <w:rsid w:val="00FD7C0D"/>
    <w:rsid w:val="00FE2B1A"/>
    <w:rsid w:val="00FE4438"/>
    <w:rsid w:val="00FE48C8"/>
    <w:rsid w:val="00FF0214"/>
    <w:rsid w:val="00FF1E45"/>
    <w:rsid w:val="00FF466A"/>
    <w:rsid w:val="010B1A0A"/>
    <w:rsid w:val="01315B3F"/>
    <w:rsid w:val="013A7477"/>
    <w:rsid w:val="01C46F0E"/>
    <w:rsid w:val="01E42734"/>
    <w:rsid w:val="01F90320"/>
    <w:rsid w:val="021B29E1"/>
    <w:rsid w:val="023C4E17"/>
    <w:rsid w:val="027E32EB"/>
    <w:rsid w:val="02963835"/>
    <w:rsid w:val="02D50DC8"/>
    <w:rsid w:val="03666478"/>
    <w:rsid w:val="03680B06"/>
    <w:rsid w:val="0397587E"/>
    <w:rsid w:val="03A60371"/>
    <w:rsid w:val="04142526"/>
    <w:rsid w:val="0440308A"/>
    <w:rsid w:val="04A944DF"/>
    <w:rsid w:val="04D355D4"/>
    <w:rsid w:val="04DB3D2D"/>
    <w:rsid w:val="050065F7"/>
    <w:rsid w:val="053923C9"/>
    <w:rsid w:val="053A7139"/>
    <w:rsid w:val="054743F1"/>
    <w:rsid w:val="055661FF"/>
    <w:rsid w:val="055F6437"/>
    <w:rsid w:val="05D26CBD"/>
    <w:rsid w:val="05EB2841"/>
    <w:rsid w:val="060F610A"/>
    <w:rsid w:val="06304B8B"/>
    <w:rsid w:val="06EA42B0"/>
    <w:rsid w:val="070B0907"/>
    <w:rsid w:val="0728339D"/>
    <w:rsid w:val="072D1451"/>
    <w:rsid w:val="073D3C81"/>
    <w:rsid w:val="074309F6"/>
    <w:rsid w:val="07432F93"/>
    <w:rsid w:val="07A67F98"/>
    <w:rsid w:val="07B85B78"/>
    <w:rsid w:val="07C52228"/>
    <w:rsid w:val="07C87222"/>
    <w:rsid w:val="07D02A1C"/>
    <w:rsid w:val="07FA2A9F"/>
    <w:rsid w:val="080817A8"/>
    <w:rsid w:val="088338BC"/>
    <w:rsid w:val="08B43F5D"/>
    <w:rsid w:val="08D17B76"/>
    <w:rsid w:val="09303BF0"/>
    <w:rsid w:val="09536D3D"/>
    <w:rsid w:val="099570D4"/>
    <w:rsid w:val="09C5084A"/>
    <w:rsid w:val="09DA0CC4"/>
    <w:rsid w:val="09DC49FE"/>
    <w:rsid w:val="09DF0A7D"/>
    <w:rsid w:val="0AC547E7"/>
    <w:rsid w:val="0AD87420"/>
    <w:rsid w:val="0AE06F2C"/>
    <w:rsid w:val="0B0F66F1"/>
    <w:rsid w:val="0B2D325A"/>
    <w:rsid w:val="0B375954"/>
    <w:rsid w:val="0BC317DE"/>
    <w:rsid w:val="0BCD7883"/>
    <w:rsid w:val="0C102D21"/>
    <w:rsid w:val="0D2C7533"/>
    <w:rsid w:val="0D2D690D"/>
    <w:rsid w:val="0D311E8D"/>
    <w:rsid w:val="0D557074"/>
    <w:rsid w:val="0D5E2AE5"/>
    <w:rsid w:val="0D671740"/>
    <w:rsid w:val="0D827EF0"/>
    <w:rsid w:val="0DC40799"/>
    <w:rsid w:val="0E0C1A91"/>
    <w:rsid w:val="0E1E0331"/>
    <w:rsid w:val="0E663136"/>
    <w:rsid w:val="0E6A7DDE"/>
    <w:rsid w:val="0E6E4335"/>
    <w:rsid w:val="0F38336D"/>
    <w:rsid w:val="0F7E2E31"/>
    <w:rsid w:val="0F9002E2"/>
    <w:rsid w:val="0FB423E3"/>
    <w:rsid w:val="0FCA190C"/>
    <w:rsid w:val="0FDD366A"/>
    <w:rsid w:val="100843CB"/>
    <w:rsid w:val="108045F2"/>
    <w:rsid w:val="10900278"/>
    <w:rsid w:val="10A02596"/>
    <w:rsid w:val="10AD0995"/>
    <w:rsid w:val="10CB7702"/>
    <w:rsid w:val="10D46732"/>
    <w:rsid w:val="10DD5AF3"/>
    <w:rsid w:val="11216BE1"/>
    <w:rsid w:val="11230730"/>
    <w:rsid w:val="1125393D"/>
    <w:rsid w:val="112D4B14"/>
    <w:rsid w:val="112E6273"/>
    <w:rsid w:val="112F02CD"/>
    <w:rsid w:val="11585C37"/>
    <w:rsid w:val="11BE0CD6"/>
    <w:rsid w:val="12426032"/>
    <w:rsid w:val="12471CEF"/>
    <w:rsid w:val="12727C8F"/>
    <w:rsid w:val="127B4339"/>
    <w:rsid w:val="128D4695"/>
    <w:rsid w:val="129D230E"/>
    <w:rsid w:val="130E264B"/>
    <w:rsid w:val="139C6918"/>
    <w:rsid w:val="13B82E9D"/>
    <w:rsid w:val="13EE19B1"/>
    <w:rsid w:val="1429699B"/>
    <w:rsid w:val="143C61AE"/>
    <w:rsid w:val="14D1611E"/>
    <w:rsid w:val="151F415B"/>
    <w:rsid w:val="153E6F26"/>
    <w:rsid w:val="1594472B"/>
    <w:rsid w:val="15967596"/>
    <w:rsid w:val="15B42ABF"/>
    <w:rsid w:val="161B79D2"/>
    <w:rsid w:val="163D50AD"/>
    <w:rsid w:val="16BD33CE"/>
    <w:rsid w:val="16C7225B"/>
    <w:rsid w:val="171F24DE"/>
    <w:rsid w:val="172B5EAE"/>
    <w:rsid w:val="177B28AD"/>
    <w:rsid w:val="17863D37"/>
    <w:rsid w:val="17AC0EEC"/>
    <w:rsid w:val="18086A75"/>
    <w:rsid w:val="18250BCB"/>
    <w:rsid w:val="18533CFD"/>
    <w:rsid w:val="18643D4F"/>
    <w:rsid w:val="18FA6A3B"/>
    <w:rsid w:val="19236D8B"/>
    <w:rsid w:val="19B845EB"/>
    <w:rsid w:val="1A43480F"/>
    <w:rsid w:val="1A6030FC"/>
    <w:rsid w:val="1ABD5BF9"/>
    <w:rsid w:val="1AD3526B"/>
    <w:rsid w:val="1B1A6779"/>
    <w:rsid w:val="1BFE2CE6"/>
    <w:rsid w:val="1C471A0E"/>
    <w:rsid w:val="1C750435"/>
    <w:rsid w:val="1C9C34CE"/>
    <w:rsid w:val="1C9F59E9"/>
    <w:rsid w:val="1CB81D05"/>
    <w:rsid w:val="1CBD66FD"/>
    <w:rsid w:val="1CE41681"/>
    <w:rsid w:val="1CF241E9"/>
    <w:rsid w:val="1E1B14F2"/>
    <w:rsid w:val="1E203744"/>
    <w:rsid w:val="1E3E315B"/>
    <w:rsid w:val="1E4C7946"/>
    <w:rsid w:val="1E554A8A"/>
    <w:rsid w:val="1E6E5C2F"/>
    <w:rsid w:val="1EBD526E"/>
    <w:rsid w:val="1ED672BE"/>
    <w:rsid w:val="1EEB6EEF"/>
    <w:rsid w:val="1EEE0EA1"/>
    <w:rsid w:val="1F204D21"/>
    <w:rsid w:val="1F5823ED"/>
    <w:rsid w:val="1F5C5A3E"/>
    <w:rsid w:val="1FD7397C"/>
    <w:rsid w:val="20395752"/>
    <w:rsid w:val="204143A4"/>
    <w:rsid w:val="20996424"/>
    <w:rsid w:val="20CA2D9C"/>
    <w:rsid w:val="210323BF"/>
    <w:rsid w:val="210358A2"/>
    <w:rsid w:val="211425B6"/>
    <w:rsid w:val="2118682E"/>
    <w:rsid w:val="219F6122"/>
    <w:rsid w:val="21A32932"/>
    <w:rsid w:val="21BB7B68"/>
    <w:rsid w:val="21BD7601"/>
    <w:rsid w:val="22C84202"/>
    <w:rsid w:val="22E00807"/>
    <w:rsid w:val="236914B7"/>
    <w:rsid w:val="239A5FF4"/>
    <w:rsid w:val="23D21B65"/>
    <w:rsid w:val="23F500A8"/>
    <w:rsid w:val="247318EB"/>
    <w:rsid w:val="24DD49E3"/>
    <w:rsid w:val="24EF3BAC"/>
    <w:rsid w:val="251A4472"/>
    <w:rsid w:val="2521400B"/>
    <w:rsid w:val="252C0382"/>
    <w:rsid w:val="257C309D"/>
    <w:rsid w:val="258F77F6"/>
    <w:rsid w:val="25C25024"/>
    <w:rsid w:val="26607132"/>
    <w:rsid w:val="267C6519"/>
    <w:rsid w:val="268F4670"/>
    <w:rsid w:val="269964E8"/>
    <w:rsid w:val="27301578"/>
    <w:rsid w:val="2735361B"/>
    <w:rsid w:val="28D918A7"/>
    <w:rsid w:val="28EA53D2"/>
    <w:rsid w:val="29114E16"/>
    <w:rsid w:val="29274F6C"/>
    <w:rsid w:val="293128F9"/>
    <w:rsid w:val="294705FE"/>
    <w:rsid w:val="29733788"/>
    <w:rsid w:val="298B6EF3"/>
    <w:rsid w:val="299277F6"/>
    <w:rsid w:val="29A24CB1"/>
    <w:rsid w:val="2B056FB2"/>
    <w:rsid w:val="2B60125C"/>
    <w:rsid w:val="2BD841BA"/>
    <w:rsid w:val="2BDC355E"/>
    <w:rsid w:val="2C385E08"/>
    <w:rsid w:val="2C875859"/>
    <w:rsid w:val="2CA955D9"/>
    <w:rsid w:val="2D0C4103"/>
    <w:rsid w:val="2D75029E"/>
    <w:rsid w:val="2D75237C"/>
    <w:rsid w:val="2D83129D"/>
    <w:rsid w:val="2DA14521"/>
    <w:rsid w:val="2DDC3D1F"/>
    <w:rsid w:val="2E0A503D"/>
    <w:rsid w:val="2E2C328B"/>
    <w:rsid w:val="2F4F672E"/>
    <w:rsid w:val="2F5E0CE3"/>
    <w:rsid w:val="2F891421"/>
    <w:rsid w:val="2FD77F1D"/>
    <w:rsid w:val="2FEE58B7"/>
    <w:rsid w:val="301075BD"/>
    <w:rsid w:val="30127A5F"/>
    <w:rsid w:val="3031563F"/>
    <w:rsid w:val="30317A02"/>
    <w:rsid w:val="30391FC2"/>
    <w:rsid w:val="304F147C"/>
    <w:rsid w:val="304F77A2"/>
    <w:rsid w:val="30AF479D"/>
    <w:rsid w:val="30DB6CFA"/>
    <w:rsid w:val="30E14551"/>
    <w:rsid w:val="30E763FF"/>
    <w:rsid w:val="30FB7D13"/>
    <w:rsid w:val="311E0278"/>
    <w:rsid w:val="316E61C1"/>
    <w:rsid w:val="31721CE9"/>
    <w:rsid w:val="31920929"/>
    <w:rsid w:val="32BF560C"/>
    <w:rsid w:val="32CF476C"/>
    <w:rsid w:val="32E14A9C"/>
    <w:rsid w:val="33337C2B"/>
    <w:rsid w:val="33775400"/>
    <w:rsid w:val="337C6572"/>
    <w:rsid w:val="33AA0DB5"/>
    <w:rsid w:val="33D500DB"/>
    <w:rsid w:val="340F01D7"/>
    <w:rsid w:val="34392DE6"/>
    <w:rsid w:val="344F77CA"/>
    <w:rsid w:val="34811EE0"/>
    <w:rsid w:val="34C0512A"/>
    <w:rsid w:val="34D4205F"/>
    <w:rsid w:val="34F47A30"/>
    <w:rsid w:val="350318BE"/>
    <w:rsid w:val="351D3D46"/>
    <w:rsid w:val="352273DC"/>
    <w:rsid w:val="353C0463"/>
    <w:rsid w:val="354924F4"/>
    <w:rsid w:val="354A5060"/>
    <w:rsid w:val="35A36B8E"/>
    <w:rsid w:val="36050C15"/>
    <w:rsid w:val="36514031"/>
    <w:rsid w:val="36801C4A"/>
    <w:rsid w:val="36842BD2"/>
    <w:rsid w:val="36DD1A1E"/>
    <w:rsid w:val="36F67FD6"/>
    <w:rsid w:val="37093954"/>
    <w:rsid w:val="37135440"/>
    <w:rsid w:val="372A4E59"/>
    <w:rsid w:val="37311C27"/>
    <w:rsid w:val="382A2A41"/>
    <w:rsid w:val="383855D9"/>
    <w:rsid w:val="383952DD"/>
    <w:rsid w:val="38425A17"/>
    <w:rsid w:val="384E371A"/>
    <w:rsid w:val="38D4425E"/>
    <w:rsid w:val="392C19AE"/>
    <w:rsid w:val="39320F78"/>
    <w:rsid w:val="394E45A4"/>
    <w:rsid w:val="39736192"/>
    <w:rsid w:val="39B65BDB"/>
    <w:rsid w:val="3A176AA6"/>
    <w:rsid w:val="3A2F7F45"/>
    <w:rsid w:val="3A5F7084"/>
    <w:rsid w:val="3AF307D3"/>
    <w:rsid w:val="3AFD6C7C"/>
    <w:rsid w:val="3B1A7A5E"/>
    <w:rsid w:val="3B3A62C4"/>
    <w:rsid w:val="3B3F0ABA"/>
    <w:rsid w:val="3B627A29"/>
    <w:rsid w:val="3B662B8F"/>
    <w:rsid w:val="3BD61BA7"/>
    <w:rsid w:val="3C7F29BE"/>
    <w:rsid w:val="3CBD22FF"/>
    <w:rsid w:val="3CF4361D"/>
    <w:rsid w:val="3D0733FA"/>
    <w:rsid w:val="3D755B7C"/>
    <w:rsid w:val="3DB72A99"/>
    <w:rsid w:val="3E36276F"/>
    <w:rsid w:val="3E7773AF"/>
    <w:rsid w:val="3E7B47F4"/>
    <w:rsid w:val="3E89500E"/>
    <w:rsid w:val="3E9C5EDD"/>
    <w:rsid w:val="3EC860C6"/>
    <w:rsid w:val="3F620208"/>
    <w:rsid w:val="3FCF1A32"/>
    <w:rsid w:val="40143CF5"/>
    <w:rsid w:val="40275AB8"/>
    <w:rsid w:val="404B69AF"/>
    <w:rsid w:val="408B6047"/>
    <w:rsid w:val="409A7DFE"/>
    <w:rsid w:val="40BD0440"/>
    <w:rsid w:val="40D30966"/>
    <w:rsid w:val="40D60531"/>
    <w:rsid w:val="40D86990"/>
    <w:rsid w:val="40E56165"/>
    <w:rsid w:val="41696450"/>
    <w:rsid w:val="41744708"/>
    <w:rsid w:val="417835E0"/>
    <w:rsid w:val="41D028CD"/>
    <w:rsid w:val="41F36599"/>
    <w:rsid w:val="41F62039"/>
    <w:rsid w:val="42165DE4"/>
    <w:rsid w:val="42614A7F"/>
    <w:rsid w:val="42A13B50"/>
    <w:rsid w:val="42BD3AF1"/>
    <w:rsid w:val="43374870"/>
    <w:rsid w:val="436631F6"/>
    <w:rsid w:val="436C3183"/>
    <w:rsid w:val="437B164C"/>
    <w:rsid w:val="43E820A1"/>
    <w:rsid w:val="44100EF6"/>
    <w:rsid w:val="443E19EC"/>
    <w:rsid w:val="44781F0E"/>
    <w:rsid w:val="44D727C1"/>
    <w:rsid w:val="44DF1057"/>
    <w:rsid w:val="452E7BCE"/>
    <w:rsid w:val="45316955"/>
    <w:rsid w:val="455C6A9F"/>
    <w:rsid w:val="45A83772"/>
    <w:rsid w:val="45D657F0"/>
    <w:rsid w:val="45DB68F8"/>
    <w:rsid w:val="46464C71"/>
    <w:rsid w:val="4655000D"/>
    <w:rsid w:val="46761547"/>
    <w:rsid w:val="468275AE"/>
    <w:rsid w:val="469662A8"/>
    <w:rsid w:val="46B86122"/>
    <w:rsid w:val="46C13A8C"/>
    <w:rsid w:val="46D46D3F"/>
    <w:rsid w:val="4729480B"/>
    <w:rsid w:val="47876D9F"/>
    <w:rsid w:val="47D602F8"/>
    <w:rsid w:val="481408A0"/>
    <w:rsid w:val="48423A28"/>
    <w:rsid w:val="48563BE3"/>
    <w:rsid w:val="489B4556"/>
    <w:rsid w:val="48A95C91"/>
    <w:rsid w:val="48B447D2"/>
    <w:rsid w:val="48B8408C"/>
    <w:rsid w:val="48E96000"/>
    <w:rsid w:val="4954665F"/>
    <w:rsid w:val="496C3A8C"/>
    <w:rsid w:val="49772353"/>
    <w:rsid w:val="49C35CAE"/>
    <w:rsid w:val="49CC649E"/>
    <w:rsid w:val="49ED1167"/>
    <w:rsid w:val="4A4B2C59"/>
    <w:rsid w:val="4A581AD8"/>
    <w:rsid w:val="4A7F69C7"/>
    <w:rsid w:val="4A947BBE"/>
    <w:rsid w:val="4A995D1F"/>
    <w:rsid w:val="4ACC0CF7"/>
    <w:rsid w:val="4AE27EC9"/>
    <w:rsid w:val="4AED139C"/>
    <w:rsid w:val="4B08247D"/>
    <w:rsid w:val="4B650C94"/>
    <w:rsid w:val="4B787762"/>
    <w:rsid w:val="4B9C37FE"/>
    <w:rsid w:val="4BE3161E"/>
    <w:rsid w:val="4C107D48"/>
    <w:rsid w:val="4C121D12"/>
    <w:rsid w:val="4C306A45"/>
    <w:rsid w:val="4C33733C"/>
    <w:rsid w:val="4C5D1164"/>
    <w:rsid w:val="4C707D8E"/>
    <w:rsid w:val="4C9013B5"/>
    <w:rsid w:val="4CB85E5A"/>
    <w:rsid w:val="4CCF07CD"/>
    <w:rsid w:val="4D303664"/>
    <w:rsid w:val="4D381304"/>
    <w:rsid w:val="4D3D11CC"/>
    <w:rsid w:val="4D5762F6"/>
    <w:rsid w:val="4D636D39"/>
    <w:rsid w:val="4D7140DF"/>
    <w:rsid w:val="4DCB498A"/>
    <w:rsid w:val="4DE85515"/>
    <w:rsid w:val="4DFA59F2"/>
    <w:rsid w:val="4E1B5F5C"/>
    <w:rsid w:val="4E407ABA"/>
    <w:rsid w:val="4E714E8A"/>
    <w:rsid w:val="4E7F1E43"/>
    <w:rsid w:val="4EE3354C"/>
    <w:rsid w:val="4F234D48"/>
    <w:rsid w:val="4F772FDE"/>
    <w:rsid w:val="4F84587D"/>
    <w:rsid w:val="4F9631B8"/>
    <w:rsid w:val="4FA669F9"/>
    <w:rsid w:val="4FEE776A"/>
    <w:rsid w:val="502C1695"/>
    <w:rsid w:val="50321F12"/>
    <w:rsid w:val="50682F40"/>
    <w:rsid w:val="509E7373"/>
    <w:rsid w:val="510F7DD5"/>
    <w:rsid w:val="514243DA"/>
    <w:rsid w:val="5236142C"/>
    <w:rsid w:val="52BE618E"/>
    <w:rsid w:val="52D16FDD"/>
    <w:rsid w:val="52D75A6F"/>
    <w:rsid w:val="52E0763D"/>
    <w:rsid w:val="52E96632"/>
    <w:rsid w:val="52EF461A"/>
    <w:rsid w:val="530D7383"/>
    <w:rsid w:val="53306707"/>
    <w:rsid w:val="53AE002B"/>
    <w:rsid w:val="53BB2150"/>
    <w:rsid w:val="53D007E1"/>
    <w:rsid w:val="53D83568"/>
    <w:rsid w:val="53ED2E7B"/>
    <w:rsid w:val="54281318"/>
    <w:rsid w:val="543C792C"/>
    <w:rsid w:val="544B0214"/>
    <w:rsid w:val="546D21DB"/>
    <w:rsid w:val="546E38E4"/>
    <w:rsid w:val="547A1F39"/>
    <w:rsid w:val="54F616D5"/>
    <w:rsid w:val="55642445"/>
    <w:rsid w:val="55CD4D44"/>
    <w:rsid w:val="56064695"/>
    <w:rsid w:val="566439B7"/>
    <w:rsid w:val="567E7FAF"/>
    <w:rsid w:val="56D27B00"/>
    <w:rsid w:val="57056523"/>
    <w:rsid w:val="570A3854"/>
    <w:rsid w:val="57252CBF"/>
    <w:rsid w:val="579959FD"/>
    <w:rsid w:val="57A26A47"/>
    <w:rsid w:val="57D001C2"/>
    <w:rsid w:val="580B04BC"/>
    <w:rsid w:val="58223779"/>
    <w:rsid w:val="58287BA3"/>
    <w:rsid w:val="583337E0"/>
    <w:rsid w:val="583E0C6D"/>
    <w:rsid w:val="58507E4A"/>
    <w:rsid w:val="5855208D"/>
    <w:rsid w:val="588F030E"/>
    <w:rsid w:val="58AE3374"/>
    <w:rsid w:val="58C9700B"/>
    <w:rsid w:val="58DA407B"/>
    <w:rsid w:val="594A7F1F"/>
    <w:rsid w:val="59522C3E"/>
    <w:rsid w:val="59547806"/>
    <w:rsid w:val="598E5059"/>
    <w:rsid w:val="59C3790C"/>
    <w:rsid w:val="59C74EFF"/>
    <w:rsid w:val="59E3390F"/>
    <w:rsid w:val="5A0506A5"/>
    <w:rsid w:val="5A4A0DAE"/>
    <w:rsid w:val="5A7B7324"/>
    <w:rsid w:val="5AE5041A"/>
    <w:rsid w:val="5B0E57DF"/>
    <w:rsid w:val="5B1A3067"/>
    <w:rsid w:val="5B5C3AC4"/>
    <w:rsid w:val="5B5F1285"/>
    <w:rsid w:val="5B9744EE"/>
    <w:rsid w:val="5BCF4A31"/>
    <w:rsid w:val="5BF44F90"/>
    <w:rsid w:val="5C3060EA"/>
    <w:rsid w:val="5C9D3503"/>
    <w:rsid w:val="5CAA3239"/>
    <w:rsid w:val="5CE73F37"/>
    <w:rsid w:val="5D1B4FAF"/>
    <w:rsid w:val="5D29669D"/>
    <w:rsid w:val="5D6C7383"/>
    <w:rsid w:val="5DCC7F73"/>
    <w:rsid w:val="5E0929E5"/>
    <w:rsid w:val="5E1C4706"/>
    <w:rsid w:val="5E56381F"/>
    <w:rsid w:val="5E6B2E81"/>
    <w:rsid w:val="5EB153BA"/>
    <w:rsid w:val="5ECC16FC"/>
    <w:rsid w:val="5F104458"/>
    <w:rsid w:val="5F3B335C"/>
    <w:rsid w:val="5F795ED8"/>
    <w:rsid w:val="5F922AF6"/>
    <w:rsid w:val="5FB579A1"/>
    <w:rsid w:val="5FCD4F55"/>
    <w:rsid w:val="5FD06C66"/>
    <w:rsid w:val="5FD63317"/>
    <w:rsid w:val="5FDB58CE"/>
    <w:rsid w:val="5FDC7C1E"/>
    <w:rsid w:val="5FF3053F"/>
    <w:rsid w:val="5FF464E6"/>
    <w:rsid w:val="60194FC5"/>
    <w:rsid w:val="603821C3"/>
    <w:rsid w:val="60A15DA7"/>
    <w:rsid w:val="60C9733D"/>
    <w:rsid w:val="60EF2335"/>
    <w:rsid w:val="61445BB6"/>
    <w:rsid w:val="61A346C3"/>
    <w:rsid w:val="61BE36A0"/>
    <w:rsid w:val="61C568D3"/>
    <w:rsid w:val="61D81403"/>
    <w:rsid w:val="6206054E"/>
    <w:rsid w:val="621F58AA"/>
    <w:rsid w:val="627F70AA"/>
    <w:rsid w:val="629A5BF8"/>
    <w:rsid w:val="62AD6788"/>
    <w:rsid w:val="62DF321A"/>
    <w:rsid w:val="630B2590"/>
    <w:rsid w:val="631D3074"/>
    <w:rsid w:val="63504435"/>
    <w:rsid w:val="63554095"/>
    <w:rsid w:val="63B9790C"/>
    <w:rsid w:val="640B731B"/>
    <w:rsid w:val="640D2888"/>
    <w:rsid w:val="642C418E"/>
    <w:rsid w:val="64610A81"/>
    <w:rsid w:val="647B20CE"/>
    <w:rsid w:val="6480170A"/>
    <w:rsid w:val="64C26A7C"/>
    <w:rsid w:val="64DE10A6"/>
    <w:rsid w:val="64F16FBB"/>
    <w:rsid w:val="658B558C"/>
    <w:rsid w:val="65972404"/>
    <w:rsid w:val="659F2EFF"/>
    <w:rsid w:val="65EE2A50"/>
    <w:rsid w:val="663B19B9"/>
    <w:rsid w:val="66817772"/>
    <w:rsid w:val="66967FC4"/>
    <w:rsid w:val="66CF3FED"/>
    <w:rsid w:val="67160D62"/>
    <w:rsid w:val="67245CAF"/>
    <w:rsid w:val="67254E56"/>
    <w:rsid w:val="67640099"/>
    <w:rsid w:val="679E078F"/>
    <w:rsid w:val="67A80159"/>
    <w:rsid w:val="67C1270F"/>
    <w:rsid w:val="67E14CBF"/>
    <w:rsid w:val="680870E9"/>
    <w:rsid w:val="6834498E"/>
    <w:rsid w:val="68622E92"/>
    <w:rsid w:val="68663C2D"/>
    <w:rsid w:val="68811614"/>
    <w:rsid w:val="68F3029A"/>
    <w:rsid w:val="6908288A"/>
    <w:rsid w:val="692C4C2F"/>
    <w:rsid w:val="69515681"/>
    <w:rsid w:val="69900669"/>
    <w:rsid w:val="69AE49D0"/>
    <w:rsid w:val="69C108EB"/>
    <w:rsid w:val="69C60412"/>
    <w:rsid w:val="69F67DC3"/>
    <w:rsid w:val="6A4F33E6"/>
    <w:rsid w:val="6A735C95"/>
    <w:rsid w:val="6AB97B37"/>
    <w:rsid w:val="6AE4051C"/>
    <w:rsid w:val="6AE43611"/>
    <w:rsid w:val="6B0B6804"/>
    <w:rsid w:val="6B76154F"/>
    <w:rsid w:val="6BB5214A"/>
    <w:rsid w:val="6BB6236B"/>
    <w:rsid w:val="6BDE4B1F"/>
    <w:rsid w:val="6C04333C"/>
    <w:rsid w:val="6C3C73AC"/>
    <w:rsid w:val="6C5B2719"/>
    <w:rsid w:val="6CBC6B05"/>
    <w:rsid w:val="6CBE4CB4"/>
    <w:rsid w:val="6CDF2429"/>
    <w:rsid w:val="6CE11004"/>
    <w:rsid w:val="6CEB5639"/>
    <w:rsid w:val="6DB12D65"/>
    <w:rsid w:val="6DCC7B1B"/>
    <w:rsid w:val="6DD210F6"/>
    <w:rsid w:val="6E1B45FE"/>
    <w:rsid w:val="6E305914"/>
    <w:rsid w:val="6EA4270C"/>
    <w:rsid w:val="6EB34D0B"/>
    <w:rsid w:val="6EB47A71"/>
    <w:rsid w:val="6ED113C1"/>
    <w:rsid w:val="6F5611CB"/>
    <w:rsid w:val="6FF32242"/>
    <w:rsid w:val="6FFF7695"/>
    <w:rsid w:val="70212C41"/>
    <w:rsid w:val="70AE032A"/>
    <w:rsid w:val="70BE39B1"/>
    <w:rsid w:val="70BF74C3"/>
    <w:rsid w:val="70C03355"/>
    <w:rsid w:val="70CA5942"/>
    <w:rsid w:val="70DA43C4"/>
    <w:rsid w:val="71724D1D"/>
    <w:rsid w:val="71E83AB2"/>
    <w:rsid w:val="71EC2196"/>
    <w:rsid w:val="722F42A8"/>
    <w:rsid w:val="723F4A32"/>
    <w:rsid w:val="72593CA6"/>
    <w:rsid w:val="72B45E96"/>
    <w:rsid w:val="72C84451"/>
    <w:rsid w:val="740E40BE"/>
    <w:rsid w:val="745A0E1D"/>
    <w:rsid w:val="746832D6"/>
    <w:rsid w:val="746A776C"/>
    <w:rsid w:val="758342DD"/>
    <w:rsid w:val="75C93289"/>
    <w:rsid w:val="75E371F6"/>
    <w:rsid w:val="75EF591E"/>
    <w:rsid w:val="75FB1F89"/>
    <w:rsid w:val="76193B43"/>
    <w:rsid w:val="762D7D90"/>
    <w:rsid w:val="764940B1"/>
    <w:rsid w:val="766D1BEA"/>
    <w:rsid w:val="7690295E"/>
    <w:rsid w:val="769510D8"/>
    <w:rsid w:val="76FE383C"/>
    <w:rsid w:val="771A1E90"/>
    <w:rsid w:val="777B394A"/>
    <w:rsid w:val="77A75EC4"/>
    <w:rsid w:val="782871A6"/>
    <w:rsid w:val="788A7D98"/>
    <w:rsid w:val="78B2022E"/>
    <w:rsid w:val="78B34481"/>
    <w:rsid w:val="791A6F51"/>
    <w:rsid w:val="791F6AAB"/>
    <w:rsid w:val="793A202F"/>
    <w:rsid w:val="795835B5"/>
    <w:rsid w:val="7958396F"/>
    <w:rsid w:val="797427B0"/>
    <w:rsid w:val="79B47850"/>
    <w:rsid w:val="79C51696"/>
    <w:rsid w:val="79E5464C"/>
    <w:rsid w:val="7A0535DA"/>
    <w:rsid w:val="7A0C6472"/>
    <w:rsid w:val="7AB579A7"/>
    <w:rsid w:val="7AE443DE"/>
    <w:rsid w:val="7AFE53B8"/>
    <w:rsid w:val="7B3E1782"/>
    <w:rsid w:val="7BA12F5D"/>
    <w:rsid w:val="7BBF572B"/>
    <w:rsid w:val="7C142300"/>
    <w:rsid w:val="7C564B3D"/>
    <w:rsid w:val="7C5A6308"/>
    <w:rsid w:val="7C882E76"/>
    <w:rsid w:val="7CC8480B"/>
    <w:rsid w:val="7D3E5ADE"/>
    <w:rsid w:val="7D74061E"/>
    <w:rsid w:val="7DC57D8D"/>
    <w:rsid w:val="7DCF7710"/>
    <w:rsid w:val="7E141D72"/>
    <w:rsid w:val="7E337317"/>
    <w:rsid w:val="7E4347A9"/>
    <w:rsid w:val="7E861746"/>
    <w:rsid w:val="7E9556FA"/>
    <w:rsid w:val="7ECC28CB"/>
    <w:rsid w:val="7EF55729"/>
    <w:rsid w:val="7F097446"/>
    <w:rsid w:val="7F9A1C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styleId="3">
    <w:name w:val="heading 1"/>
    <w:basedOn w:val="1"/>
    <w:next w:val="1"/>
    <w:link w:val="41"/>
    <w:qFormat/>
    <w:uiPriority w:val="9"/>
    <w:pPr>
      <w:keepNext/>
      <w:keepLines/>
      <w:spacing w:before="340" w:after="330" w:line="576" w:lineRule="auto"/>
      <w:jc w:val="center"/>
      <w:outlineLvl w:val="0"/>
    </w:pPr>
    <w:rPr>
      <w:rFonts w:eastAsia="黑体"/>
      <w:b/>
      <w:kern w:val="44"/>
      <w:sz w:val="36"/>
    </w:rPr>
  </w:style>
  <w:style w:type="paragraph" w:styleId="2">
    <w:name w:val="heading 2"/>
    <w:basedOn w:val="1"/>
    <w:next w:val="1"/>
    <w:link w:val="42"/>
    <w:qFormat/>
    <w:uiPriority w:val="9"/>
    <w:pPr>
      <w:keepNext/>
      <w:keepLines/>
      <w:spacing w:before="260" w:after="260" w:line="413" w:lineRule="auto"/>
      <w:jc w:val="center"/>
      <w:outlineLvl w:val="1"/>
    </w:pPr>
    <w:rPr>
      <w:rFonts w:ascii="Arial" w:hAnsi="Arial" w:eastAsia="楷体"/>
      <w:b/>
    </w:rPr>
  </w:style>
  <w:style w:type="paragraph" w:styleId="4">
    <w:name w:val="heading 3"/>
    <w:basedOn w:val="1"/>
    <w:next w:val="1"/>
    <w:link w:val="43"/>
    <w:qFormat/>
    <w:uiPriority w:val="9"/>
    <w:pPr>
      <w:keepNext/>
      <w:keepLines/>
      <w:spacing w:before="260" w:after="260" w:line="413" w:lineRule="auto"/>
      <w:outlineLvl w:val="2"/>
    </w:pPr>
    <w:rPr>
      <w:rFonts w:eastAsia="楷体"/>
      <w:b/>
      <w:lang w:val="zh-CN"/>
    </w:rPr>
  </w:style>
  <w:style w:type="paragraph" w:styleId="5">
    <w:name w:val="heading 4"/>
    <w:basedOn w:val="1"/>
    <w:next w:val="1"/>
    <w:link w:val="56"/>
    <w:unhideWhenUsed/>
    <w:qFormat/>
    <w:uiPriority w:val="9"/>
    <w:pPr>
      <w:keepNext/>
      <w:keepLines/>
      <w:outlineLvl w:val="3"/>
    </w:pPr>
    <w:rPr>
      <w:rFonts w:eastAsia="仿宋" w:asciiTheme="majorHAnsi" w:hAnsiTheme="majorHAnsi" w:cstheme="majorBidi"/>
      <w:b/>
      <w:bCs/>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Document Map"/>
    <w:basedOn w:val="1"/>
    <w:link w:val="51"/>
    <w:semiHidden/>
    <w:unhideWhenUsed/>
    <w:qFormat/>
    <w:uiPriority w:val="99"/>
    <w:rPr>
      <w:rFonts w:ascii="宋体" w:eastAsia="宋体"/>
      <w:sz w:val="18"/>
      <w:szCs w:val="18"/>
      <w:lang w:val="zh-CN"/>
    </w:rPr>
  </w:style>
  <w:style w:type="paragraph" w:styleId="8">
    <w:name w:val="annotation text"/>
    <w:basedOn w:val="1"/>
    <w:link w:val="49"/>
    <w:unhideWhenUsed/>
    <w:qFormat/>
    <w:uiPriority w:val="99"/>
    <w:pPr>
      <w:jc w:val="left"/>
    </w:pPr>
    <w:rPr>
      <w:lang w:val="zh-CN"/>
    </w:rPr>
  </w:style>
  <w:style w:type="paragraph" w:styleId="9">
    <w:name w:val="toc 5"/>
    <w:basedOn w:val="1"/>
    <w:next w:val="1"/>
    <w:unhideWhenUsed/>
    <w:qFormat/>
    <w:uiPriority w:val="39"/>
    <w:pPr>
      <w:ind w:left="1680" w:leftChars="800"/>
    </w:pPr>
  </w:style>
  <w:style w:type="paragraph" w:styleId="10">
    <w:name w:val="toc 3"/>
    <w:basedOn w:val="1"/>
    <w:next w:val="1"/>
    <w:unhideWhenUsed/>
    <w:qFormat/>
    <w:uiPriority w:val="39"/>
    <w:pPr>
      <w:ind w:left="840" w:leftChars="400"/>
    </w:pPr>
  </w:style>
  <w:style w:type="paragraph" w:styleId="11">
    <w:name w:val="Plain Text"/>
    <w:basedOn w:val="1"/>
    <w:link w:val="45"/>
    <w:unhideWhenUsed/>
    <w:qFormat/>
    <w:uiPriority w:val="99"/>
    <w:pPr>
      <w:jc w:val="center"/>
    </w:pPr>
    <w:rPr>
      <w:rFonts w:ascii="宋体" w:hAnsi="宋体" w:eastAsia="仿宋"/>
      <w:b/>
      <w:sz w:val="52"/>
      <w:szCs w:val="21"/>
      <w:lang w:val="zh-CN"/>
    </w:rPr>
  </w:style>
  <w:style w:type="paragraph" w:styleId="12">
    <w:name w:val="toc 8"/>
    <w:basedOn w:val="1"/>
    <w:next w:val="1"/>
    <w:unhideWhenUsed/>
    <w:qFormat/>
    <w:uiPriority w:val="39"/>
    <w:pPr>
      <w:ind w:left="2940" w:leftChars="1400"/>
    </w:pPr>
  </w:style>
  <w:style w:type="paragraph" w:styleId="13">
    <w:name w:val="Date"/>
    <w:basedOn w:val="1"/>
    <w:next w:val="1"/>
    <w:link w:val="68"/>
    <w:unhideWhenUsed/>
    <w:qFormat/>
    <w:uiPriority w:val="99"/>
    <w:pPr>
      <w:ind w:left="100" w:leftChars="2500"/>
    </w:pPr>
  </w:style>
  <w:style w:type="paragraph" w:styleId="14">
    <w:name w:val="Balloon Text"/>
    <w:basedOn w:val="1"/>
    <w:link w:val="48"/>
    <w:semiHidden/>
    <w:unhideWhenUsed/>
    <w:qFormat/>
    <w:uiPriority w:val="99"/>
    <w:rPr>
      <w:sz w:val="18"/>
      <w:szCs w:val="18"/>
      <w:lang w:val="zh-CN"/>
    </w:rPr>
  </w:style>
  <w:style w:type="paragraph" w:styleId="15">
    <w:name w:val="footer"/>
    <w:basedOn w:val="1"/>
    <w:link w:val="35"/>
    <w:unhideWhenUsed/>
    <w:qFormat/>
    <w:uiPriority w:val="99"/>
    <w:pPr>
      <w:tabs>
        <w:tab w:val="center" w:pos="4153"/>
        <w:tab w:val="right" w:pos="8306"/>
      </w:tabs>
      <w:snapToGrid w:val="0"/>
      <w:jc w:val="left"/>
    </w:pPr>
    <w:rPr>
      <w:sz w:val="18"/>
      <w:szCs w:val="18"/>
    </w:rPr>
  </w:style>
  <w:style w:type="paragraph" w:styleId="16">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link w:val="65"/>
    <w:unhideWhenUsed/>
    <w:qFormat/>
    <w:uiPriority w:val="39"/>
  </w:style>
  <w:style w:type="paragraph" w:styleId="18">
    <w:name w:val="toc 4"/>
    <w:basedOn w:val="1"/>
    <w:next w:val="1"/>
    <w:unhideWhenUsed/>
    <w:qFormat/>
    <w:uiPriority w:val="39"/>
    <w:pPr>
      <w:ind w:left="1260" w:leftChars="600"/>
    </w:pPr>
  </w:style>
  <w:style w:type="paragraph" w:styleId="19">
    <w:name w:val="footnote text"/>
    <w:basedOn w:val="1"/>
    <w:link w:val="46"/>
    <w:semiHidden/>
    <w:unhideWhenUsed/>
    <w:qFormat/>
    <w:uiPriority w:val="99"/>
    <w:pPr>
      <w:snapToGrid w:val="0"/>
      <w:jc w:val="left"/>
    </w:pPr>
    <w:rPr>
      <w:sz w:val="18"/>
      <w:szCs w:val="18"/>
      <w:lang w:val="zh-CN"/>
    </w:rPr>
  </w:style>
  <w:style w:type="paragraph" w:styleId="20">
    <w:name w:val="toc 6"/>
    <w:basedOn w:val="1"/>
    <w:next w:val="1"/>
    <w:unhideWhenUsed/>
    <w:qFormat/>
    <w:uiPriority w:val="39"/>
    <w:pPr>
      <w:ind w:left="2100" w:leftChars="1000"/>
    </w:pPr>
  </w:style>
  <w:style w:type="paragraph" w:styleId="21">
    <w:name w:val="toc 2"/>
    <w:basedOn w:val="1"/>
    <w:next w:val="1"/>
    <w:unhideWhenUsed/>
    <w:qFormat/>
    <w:uiPriority w:val="39"/>
    <w:pPr>
      <w:ind w:left="420" w:leftChars="200"/>
    </w:pPr>
  </w:style>
  <w:style w:type="paragraph" w:styleId="22">
    <w:name w:val="toc 9"/>
    <w:basedOn w:val="1"/>
    <w:next w:val="1"/>
    <w:unhideWhenUsed/>
    <w:qFormat/>
    <w:uiPriority w:val="39"/>
    <w:pPr>
      <w:ind w:left="3360" w:leftChars="1600"/>
    </w:pPr>
  </w:style>
  <w:style w:type="paragraph" w:styleId="23">
    <w:name w:val="Normal (Web)"/>
    <w:basedOn w:val="1"/>
    <w:unhideWhenUsed/>
    <w:qFormat/>
    <w:uiPriority w:val="99"/>
    <w:pPr>
      <w:spacing w:before="100" w:beforeAutospacing="1" w:after="100" w:afterAutospacing="1"/>
    </w:pPr>
    <w:rPr>
      <w:rFonts w:ascii="宋体" w:hAnsi="宋体" w:eastAsia="宋体" w:cs="宋体"/>
      <w:sz w:val="24"/>
    </w:rPr>
  </w:style>
  <w:style w:type="paragraph" w:styleId="24">
    <w:name w:val="annotation subject"/>
    <w:basedOn w:val="8"/>
    <w:next w:val="8"/>
    <w:link w:val="50"/>
    <w:semiHidden/>
    <w:unhideWhenUsed/>
    <w:qFormat/>
    <w:uiPriority w:val="99"/>
    <w:rPr>
      <w:b/>
      <w:bCs/>
    </w:rPr>
  </w:style>
  <w:style w:type="table" w:styleId="26">
    <w:name w:val="Table Grid"/>
    <w:basedOn w:val="25"/>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22"/>
    <w:rPr>
      <w:b/>
      <w:bCs/>
    </w:rPr>
  </w:style>
  <w:style w:type="character" w:styleId="29">
    <w:name w:val="page number"/>
    <w:basedOn w:val="27"/>
    <w:unhideWhenUsed/>
    <w:qFormat/>
    <w:uiPriority w:val="99"/>
  </w:style>
  <w:style w:type="character" w:styleId="30">
    <w:name w:val="Emphasis"/>
    <w:qFormat/>
    <w:uiPriority w:val="20"/>
    <w:rPr>
      <w:i/>
      <w:iCs/>
    </w:rPr>
  </w:style>
  <w:style w:type="character" w:styleId="31">
    <w:name w:val="Hyperlink"/>
    <w:unhideWhenUsed/>
    <w:qFormat/>
    <w:uiPriority w:val="99"/>
    <w:rPr>
      <w:color w:val="0000FF"/>
      <w:u w:val="single"/>
    </w:rPr>
  </w:style>
  <w:style w:type="character" w:styleId="32">
    <w:name w:val="annotation reference"/>
    <w:semiHidden/>
    <w:unhideWhenUsed/>
    <w:qFormat/>
    <w:uiPriority w:val="99"/>
    <w:rPr>
      <w:sz w:val="21"/>
      <w:szCs w:val="21"/>
    </w:rPr>
  </w:style>
  <w:style w:type="character" w:styleId="33">
    <w:name w:val="footnote reference"/>
    <w:semiHidden/>
    <w:unhideWhenUsed/>
    <w:qFormat/>
    <w:uiPriority w:val="99"/>
    <w:rPr>
      <w:vertAlign w:val="superscript"/>
    </w:rPr>
  </w:style>
  <w:style w:type="character" w:customStyle="1" w:styleId="34">
    <w:name w:val="页眉 Char"/>
    <w:basedOn w:val="27"/>
    <w:link w:val="16"/>
    <w:qFormat/>
    <w:uiPriority w:val="99"/>
    <w:rPr>
      <w:rFonts w:ascii="Times New Roman" w:hAnsi="Times New Roman" w:eastAsia="仿宋_GB2312" w:cs="Times New Roman"/>
      <w:sz w:val="18"/>
      <w:szCs w:val="18"/>
    </w:rPr>
  </w:style>
  <w:style w:type="character" w:customStyle="1" w:styleId="35">
    <w:name w:val="页脚 Char"/>
    <w:basedOn w:val="27"/>
    <w:link w:val="15"/>
    <w:qFormat/>
    <w:uiPriority w:val="99"/>
    <w:rPr>
      <w:rFonts w:ascii="Times New Roman" w:hAnsi="Times New Roman" w:eastAsia="仿宋_GB2312" w:cs="Times New Roman"/>
      <w:sz w:val="18"/>
      <w:szCs w:val="18"/>
    </w:rPr>
  </w:style>
  <w:style w:type="paragraph" w:customStyle="1" w:styleId="36">
    <w:name w:val="Char1 Char Char Char Char Char1 Char Char Char Char Char Char1 Char"/>
    <w:basedOn w:val="1"/>
    <w:qFormat/>
    <w:uiPriority w:val="0"/>
    <w:pPr>
      <w:numPr>
        <w:ilvl w:val="0"/>
        <w:numId w:val="1"/>
      </w:numPr>
      <w:tabs>
        <w:tab w:val="clear" w:pos="420"/>
      </w:tabs>
    </w:pPr>
    <w:rPr>
      <w:szCs w:val="20"/>
    </w:rPr>
  </w:style>
  <w:style w:type="paragraph" w:customStyle="1" w:styleId="37">
    <w:name w:val="Char"/>
    <w:basedOn w:val="1"/>
    <w:qFormat/>
    <w:uiPriority w:val="0"/>
    <w:rPr>
      <w:rFonts w:eastAsia="宋体"/>
      <w:sz w:val="24"/>
      <w:szCs w:val="24"/>
    </w:rPr>
  </w:style>
  <w:style w:type="paragraph" w:customStyle="1" w:styleId="38">
    <w:name w:val="正文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customStyle="1" w:styleId="39">
    <w:name w:val="_Style 8"/>
    <w:basedOn w:val="38"/>
    <w:qFormat/>
    <w:uiPriority w:val="0"/>
  </w:style>
  <w:style w:type="character" w:customStyle="1" w:styleId="40">
    <w:name w:val="apple-converted-space"/>
    <w:basedOn w:val="27"/>
    <w:qFormat/>
    <w:uiPriority w:val="0"/>
  </w:style>
  <w:style w:type="character" w:customStyle="1" w:styleId="41">
    <w:name w:val="标题 1 Char"/>
    <w:basedOn w:val="27"/>
    <w:link w:val="3"/>
    <w:qFormat/>
    <w:uiPriority w:val="9"/>
    <w:rPr>
      <w:rFonts w:ascii="Times New Roman" w:hAnsi="Times New Roman" w:eastAsia="黑体" w:cs="Times New Roman"/>
      <w:b/>
      <w:kern w:val="44"/>
      <w:sz w:val="36"/>
      <w:szCs w:val="32"/>
    </w:rPr>
  </w:style>
  <w:style w:type="character" w:customStyle="1" w:styleId="42">
    <w:name w:val="标题 2 Char"/>
    <w:basedOn w:val="27"/>
    <w:link w:val="2"/>
    <w:qFormat/>
    <w:uiPriority w:val="9"/>
    <w:rPr>
      <w:rFonts w:ascii="Arial" w:hAnsi="Arial" w:eastAsia="楷体" w:cs="Times New Roman"/>
      <w:b/>
      <w:sz w:val="32"/>
      <w:szCs w:val="32"/>
    </w:rPr>
  </w:style>
  <w:style w:type="character" w:customStyle="1" w:styleId="43">
    <w:name w:val="标题 3 Char"/>
    <w:link w:val="4"/>
    <w:qFormat/>
    <w:uiPriority w:val="9"/>
    <w:rPr>
      <w:rFonts w:ascii="Times New Roman" w:hAnsi="Times New Roman" w:eastAsia="楷体" w:cs="Times New Roman"/>
      <w:b/>
      <w:sz w:val="32"/>
      <w:szCs w:val="32"/>
      <w:lang w:val="zh-CN" w:eastAsia="zh-CN"/>
    </w:rPr>
  </w:style>
  <w:style w:type="character" w:customStyle="1" w:styleId="44">
    <w:name w:val="不明显强调1"/>
    <w:qFormat/>
    <w:uiPriority w:val="19"/>
    <w:rPr>
      <w:i/>
      <w:iCs/>
      <w:color w:val="808080"/>
    </w:rPr>
  </w:style>
  <w:style w:type="character" w:customStyle="1" w:styleId="45">
    <w:name w:val="纯文本 Char"/>
    <w:link w:val="11"/>
    <w:semiHidden/>
    <w:qFormat/>
    <w:uiPriority w:val="99"/>
    <w:rPr>
      <w:rFonts w:ascii="宋体" w:hAnsi="宋体" w:eastAsia="仿宋" w:cs="Times New Roman"/>
      <w:b/>
      <w:sz w:val="52"/>
      <w:szCs w:val="21"/>
      <w:lang w:val="zh-CN" w:eastAsia="zh-CN"/>
    </w:rPr>
  </w:style>
  <w:style w:type="character" w:customStyle="1" w:styleId="46">
    <w:name w:val="脚注文本 Char"/>
    <w:link w:val="19"/>
    <w:semiHidden/>
    <w:qFormat/>
    <w:uiPriority w:val="99"/>
    <w:rPr>
      <w:rFonts w:ascii="Times New Roman" w:hAnsi="Times New Roman" w:eastAsia="仿宋_GB2312" w:cs="Times New Roman"/>
      <w:sz w:val="18"/>
      <w:szCs w:val="18"/>
      <w:lang w:val="zh-CN" w:eastAsia="zh-CN"/>
    </w:rPr>
  </w:style>
  <w:style w:type="paragraph" w:styleId="47">
    <w:name w:val="List Paragraph"/>
    <w:basedOn w:val="1"/>
    <w:qFormat/>
    <w:uiPriority w:val="99"/>
    <w:pPr>
      <w:ind w:firstLine="420" w:firstLineChars="200"/>
    </w:pPr>
    <w:rPr>
      <w:rFonts w:ascii="Calibri" w:hAnsi="Calibri" w:eastAsia="宋体"/>
      <w:sz w:val="21"/>
      <w:szCs w:val="22"/>
    </w:rPr>
  </w:style>
  <w:style w:type="character" w:customStyle="1" w:styleId="48">
    <w:name w:val="批注框文本 Char"/>
    <w:link w:val="14"/>
    <w:semiHidden/>
    <w:qFormat/>
    <w:uiPriority w:val="99"/>
    <w:rPr>
      <w:rFonts w:ascii="Times New Roman" w:hAnsi="Times New Roman" w:eastAsia="仿宋_GB2312" w:cs="Times New Roman"/>
      <w:sz w:val="18"/>
      <w:szCs w:val="18"/>
      <w:lang w:val="zh-CN" w:eastAsia="zh-CN"/>
    </w:rPr>
  </w:style>
  <w:style w:type="character" w:customStyle="1" w:styleId="49">
    <w:name w:val="批注文字 Char"/>
    <w:link w:val="8"/>
    <w:semiHidden/>
    <w:qFormat/>
    <w:uiPriority w:val="99"/>
    <w:rPr>
      <w:rFonts w:ascii="Times New Roman" w:hAnsi="Times New Roman" w:eastAsia="仿宋_GB2312" w:cs="Times New Roman"/>
      <w:sz w:val="32"/>
      <w:szCs w:val="32"/>
      <w:lang w:val="zh-CN" w:eastAsia="zh-CN"/>
    </w:rPr>
  </w:style>
  <w:style w:type="character" w:customStyle="1" w:styleId="50">
    <w:name w:val="批注主题 Char"/>
    <w:link w:val="24"/>
    <w:semiHidden/>
    <w:qFormat/>
    <w:uiPriority w:val="99"/>
    <w:rPr>
      <w:rFonts w:ascii="Times New Roman" w:hAnsi="Times New Roman" w:eastAsia="仿宋_GB2312" w:cs="Times New Roman"/>
      <w:b/>
      <w:bCs/>
      <w:sz w:val="32"/>
      <w:szCs w:val="32"/>
      <w:lang w:val="zh-CN" w:eastAsia="zh-CN"/>
    </w:rPr>
  </w:style>
  <w:style w:type="character" w:customStyle="1" w:styleId="51">
    <w:name w:val="文档结构图 Char"/>
    <w:link w:val="7"/>
    <w:semiHidden/>
    <w:qFormat/>
    <w:uiPriority w:val="99"/>
    <w:rPr>
      <w:rFonts w:ascii="宋体" w:hAnsi="Times New Roman" w:eastAsia="宋体" w:cs="Times New Roman"/>
      <w:sz w:val="18"/>
      <w:szCs w:val="18"/>
      <w:lang w:val="zh-CN" w:eastAsia="zh-CN"/>
    </w:rPr>
  </w:style>
  <w:style w:type="paragraph" w:customStyle="1" w:styleId="52">
    <w:name w:val="正文 New"/>
    <w:qFormat/>
    <w:uiPriority w:val="0"/>
    <w:pPr>
      <w:widowControl w:val="0"/>
      <w:jc w:val="center"/>
    </w:pPr>
    <w:rPr>
      <w:rFonts w:ascii="Times New Roman" w:hAnsi="Times New Roman" w:eastAsia="黑体" w:cs="Times New Roman"/>
      <w:b/>
      <w:kern w:val="2"/>
      <w:sz w:val="52"/>
      <w:lang w:val="en-US" w:eastAsia="zh-CN" w:bidi="ar-SA"/>
    </w:rPr>
  </w:style>
  <w:style w:type="paragraph" w:customStyle="1" w:styleId="53">
    <w:name w:val="正文 New New New New New"/>
    <w:qFormat/>
    <w:uiPriority w:val="0"/>
    <w:pPr>
      <w:widowControl w:val="0"/>
      <w:topLinePunct/>
      <w:jc w:val="center"/>
    </w:pPr>
    <w:rPr>
      <w:rFonts w:ascii="方正书宋_GBK" w:hAnsi="Times New Roman" w:eastAsia="黑体" w:cs="Times New Roman"/>
      <w:kern w:val="2"/>
      <w:sz w:val="52"/>
      <w:szCs w:val="24"/>
      <w:lang w:val="en-US" w:eastAsia="zh-CN" w:bidi="ar-SA"/>
    </w:rPr>
  </w:style>
  <w:style w:type="paragraph" w:customStyle="1" w:styleId="54">
    <w:name w:val="正文 New New New New New New New New New New New New New New New New New New New"/>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customStyle="1" w:styleId="55">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仿宋" w:cs="Times New Roman"/>
      <w:b/>
      <w:kern w:val="2"/>
      <w:sz w:val="32"/>
      <w:szCs w:val="24"/>
      <w:lang w:val="en-US" w:eastAsia="zh-CN" w:bidi="ar-SA"/>
    </w:rPr>
  </w:style>
  <w:style w:type="character" w:customStyle="1" w:styleId="56">
    <w:name w:val="标题 4 Char"/>
    <w:basedOn w:val="27"/>
    <w:link w:val="5"/>
    <w:qFormat/>
    <w:uiPriority w:val="9"/>
    <w:rPr>
      <w:rFonts w:eastAsia="仿宋" w:asciiTheme="majorHAnsi" w:hAnsiTheme="majorHAnsi" w:cstheme="majorBidi"/>
      <w:b/>
      <w:bCs/>
      <w:sz w:val="32"/>
      <w:szCs w:val="28"/>
    </w:rPr>
  </w:style>
  <w:style w:type="character" w:customStyle="1" w:styleId="57">
    <w:name w:val="bjh-p"/>
    <w:basedOn w:val="27"/>
    <w:qFormat/>
    <w:uiPriority w:val="0"/>
  </w:style>
  <w:style w:type="paragraph" w:customStyle="1" w:styleId="58">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rPr>
  </w:style>
  <w:style w:type="character" w:customStyle="1" w:styleId="59">
    <w:name w:val="不明显强调2"/>
    <w:qFormat/>
    <w:uiPriority w:val="19"/>
    <w:rPr>
      <w:i/>
      <w:iCs/>
      <w:color w:val="808080"/>
    </w:rPr>
  </w:style>
  <w:style w:type="table" w:customStyle="1" w:styleId="60">
    <w:name w:val="网格型1"/>
    <w:basedOn w:val="25"/>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
    <w:name w:val="网格型2"/>
    <w:basedOn w:val="25"/>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2">
    <w:name w:val="lemmawgt-lemmatitle-title1"/>
    <w:basedOn w:val="27"/>
    <w:qFormat/>
    <w:uiPriority w:val="0"/>
  </w:style>
  <w:style w:type="paragraph" w:customStyle="1" w:styleId="63">
    <w:name w:val="Char1 Char Char Char Char Char1 Char Char Char Char Char Char1 Char1"/>
    <w:basedOn w:val="52"/>
    <w:qFormat/>
    <w:uiPriority w:val="0"/>
    <w:pPr>
      <w:ind w:left="420" w:hanging="420"/>
    </w:pPr>
  </w:style>
  <w:style w:type="paragraph" w:customStyle="1" w:styleId="64">
    <w:name w:val="Char1 Char Char Char Char Char1 Char Char Char Char Char Char1 Char2"/>
    <w:basedOn w:val="52"/>
    <w:qFormat/>
    <w:uiPriority w:val="0"/>
    <w:pPr>
      <w:ind w:left="420" w:hanging="420"/>
    </w:pPr>
  </w:style>
  <w:style w:type="character" w:customStyle="1" w:styleId="65">
    <w:name w:val="目录 1 Char"/>
    <w:link w:val="17"/>
    <w:qFormat/>
    <w:uiPriority w:val="39"/>
  </w:style>
  <w:style w:type="paragraph" w:customStyle="1" w:styleId="66">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Calibri" w:hAnsi="Calibri" w:eastAsia="宋体" w:cs="Calibri"/>
      <w:color w:val="000000"/>
      <w:kern w:val="2"/>
      <w:sz w:val="21"/>
      <w:szCs w:val="21"/>
      <w:u w:color="000000"/>
      <w:lang w:val="en-US" w:eastAsia="zh-CN" w:bidi="ar-SA"/>
    </w:rPr>
  </w:style>
  <w:style w:type="paragraph" w:customStyle="1" w:styleId="67">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68">
    <w:name w:val="日期 Char"/>
    <w:basedOn w:val="27"/>
    <w:link w:val="13"/>
    <w:qFormat/>
    <w:uiPriority w:val="99"/>
    <w:rPr>
      <w:rFonts w:ascii="Times New Roman" w:hAnsi="Times New Roman" w:eastAsia="仿宋_GB2312"/>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17D5DD-B47E-4D4E-9A8D-EB769B3F683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76</Pages>
  <Words>6533</Words>
  <Characters>37240</Characters>
  <Lines>310</Lines>
  <Paragraphs>87</Paragraphs>
  <TotalTime>3</TotalTime>
  <ScaleCrop>false</ScaleCrop>
  <LinksUpToDate>false</LinksUpToDate>
  <CharactersWithSpaces>43686</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2022-02-16T02:49:00Z</dcterms:created>
  <dc:creator>mingxu</dc:creator>
  <cp:lastModifiedBy>Z Z H</cp:lastModifiedBy>
  <cp:lastPrinted>2022-02-16T02:43:00Z</cp:lastPrinted>
  <dcterms:modified xsi:type="dcterms:W3CDTF">2022-02-17T01:58:37Z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KSOSaveFontToCloudKey">
    <vt:lpwstr>790338157_embed</vt:lpwstr>
  </property>
  <property fmtid="{D5CDD505-2E9C-101B-9397-08002B2CF9AE}" pid="4" name="ICV">
    <vt:lpwstr>DADE4979F064412EB81B69A239652458</vt:lpwstr>
  </property>
</Properties>
</file>