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spacing w:after="0"/>
        <w:rPr>
          <w:rFonts w:ascii="Times New Roman" w:hAnsi="Times New Roman" w:eastAsia="黑体" w:cs="Times New Roman"/>
          <w:sz w:val="32"/>
          <w:szCs w:val="32"/>
        </w:rPr>
      </w:pPr>
      <w:bookmarkStart w:id="1" w:name="_GoBack"/>
      <w:bookmarkEnd w:id="1"/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720" w:lineRule="auto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工业产品绿色设计示范企业</w:t>
      </w:r>
    </w:p>
    <w:p>
      <w:pPr>
        <w:spacing w:line="720" w:lineRule="auto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申报书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480" w:lineRule="auto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480" w:lineRule="auto"/>
        <w:ind w:firstLine="1600" w:firstLineChars="500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企业名称：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（加盖单位公章）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</w:t>
      </w:r>
    </w:p>
    <w:p>
      <w:pPr>
        <w:ind w:firstLine="1600" w:firstLineChars="5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480" w:lineRule="auto"/>
        <w:ind w:firstLine="1600" w:firstLineChars="500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推荐单位：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</w:t>
      </w:r>
    </w:p>
    <w:p>
      <w:pPr>
        <w:spacing w:line="480" w:lineRule="auto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480" w:lineRule="auto"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工业和信息化部制</w:t>
      </w:r>
    </w:p>
    <w:p>
      <w:pPr>
        <w:spacing w:line="480" w:lineRule="auto"/>
        <w:jc w:val="center"/>
        <w:rPr>
          <w:rFonts w:ascii="Times New Roman" w:hAnsi="Times New Roman" w:eastAsia="仿宋_GB2312" w:cs="Times New Roman"/>
          <w:sz w:val="36"/>
          <w:szCs w:val="36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年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月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填</w:t>
      </w:r>
      <w:r>
        <w:rPr>
          <w:rFonts w:ascii="Times New Roman" w:hAnsi="Times New Roman" w:eastAsia="黑体" w:cs="Times New Roman"/>
          <w:sz w:val="36"/>
          <w:szCs w:val="36"/>
        </w:rPr>
        <w:t xml:space="preserve"> </w:t>
      </w:r>
      <w:r>
        <w:rPr>
          <w:rFonts w:hint="default" w:ascii="Times New Roman" w:hAnsi="Times New Roman" w:eastAsia="黑体" w:cs="Times New Roman"/>
          <w:sz w:val="36"/>
          <w:szCs w:val="36"/>
        </w:rPr>
        <w:t>写</w:t>
      </w:r>
      <w:r>
        <w:rPr>
          <w:rFonts w:ascii="Times New Roman" w:hAnsi="Times New Roman" w:eastAsia="黑体" w:cs="Times New Roman"/>
          <w:sz w:val="36"/>
          <w:szCs w:val="36"/>
        </w:rPr>
        <w:t xml:space="preserve"> </w:t>
      </w:r>
      <w:r>
        <w:rPr>
          <w:rFonts w:hint="default" w:ascii="Times New Roman" w:hAnsi="Times New Roman" w:eastAsia="黑体" w:cs="Times New Roman"/>
          <w:sz w:val="36"/>
          <w:szCs w:val="36"/>
        </w:rPr>
        <w:t>要</w:t>
      </w:r>
      <w:r>
        <w:rPr>
          <w:rFonts w:ascii="Times New Roman" w:hAnsi="Times New Roman" w:eastAsia="黑体" w:cs="Times New Roman"/>
          <w:sz w:val="36"/>
          <w:szCs w:val="36"/>
        </w:rPr>
        <w:t xml:space="preserve"> </w:t>
      </w:r>
      <w:r>
        <w:rPr>
          <w:rFonts w:hint="default" w:ascii="Times New Roman" w:hAnsi="Times New Roman" w:eastAsia="黑体" w:cs="Times New Roman"/>
          <w:sz w:val="36"/>
          <w:szCs w:val="36"/>
        </w:rPr>
        <w:t>求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一、企业应如实</w:t>
      </w:r>
      <w:r>
        <w:rPr>
          <w:rFonts w:ascii="Times New Roman" w:hAnsi="Times New Roman" w:eastAsia="仿宋_GB2312" w:cs="Times New Roman"/>
          <w:sz w:val="32"/>
          <w:szCs w:val="32"/>
        </w:rPr>
        <w:t>、详细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填报</w:t>
      </w:r>
      <w:r>
        <w:rPr>
          <w:rFonts w:ascii="Times New Roman" w:hAnsi="Times New Roman" w:eastAsia="仿宋_GB2312" w:cs="Times New Roman"/>
          <w:sz w:val="32"/>
          <w:szCs w:val="32"/>
        </w:rPr>
        <w:t>申报书各项内容，对全部资料的真实性负责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二、“</w:t>
      </w:r>
      <w:r>
        <w:rPr>
          <w:rFonts w:ascii="Times New Roman" w:hAnsi="Times New Roman" w:eastAsia="仿宋_GB2312" w:cs="Times New Roman"/>
          <w:sz w:val="32"/>
          <w:szCs w:val="32"/>
        </w:rPr>
        <w:t>推荐单位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各省、自治区、直辖市及计划单列市、新疆生产建设兵团工业和信息化主管部门，有关中央企业</w:t>
      </w:r>
      <w:r>
        <w:rPr>
          <w:rFonts w:ascii="Times New Roman" w:hAnsi="Times New Roman" w:eastAsia="仿宋_GB2312" w:cs="Times New Roman"/>
          <w:sz w:val="32"/>
          <w:szCs w:val="32"/>
        </w:rPr>
        <w:t>，名称填写全称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三、所属行业</w:t>
      </w:r>
      <w:r>
        <w:rPr>
          <w:rFonts w:hint="eastAsia" w:eastAsia="仿宋_GB2312" w:cs="Times New Roman"/>
          <w:sz w:val="32"/>
          <w:szCs w:val="32"/>
          <w:lang w:eastAsia="zh-CN"/>
        </w:rPr>
        <w:t>主要包括电子电器、纺织、机械装备、汽车及配件、轻工</w:t>
      </w:r>
      <w:r>
        <w:rPr>
          <w:rFonts w:hint="eastAsia" w:eastAsia="仿宋_GB2312"/>
          <w:sz w:val="32"/>
          <w:szCs w:val="32"/>
          <w:lang w:eastAsia="zh-CN"/>
        </w:rPr>
        <w:t>及</w:t>
      </w:r>
      <w:r>
        <w:rPr>
          <w:rFonts w:hint="default" w:eastAsia="仿宋_GB2312"/>
          <w:sz w:val="32"/>
          <w:szCs w:val="32"/>
        </w:rPr>
        <w:t>其他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四、按照规定格式填写</w:t>
      </w:r>
      <w:r>
        <w:rPr>
          <w:rFonts w:hint="eastAsia" w:eastAsia="仿宋_GB2312" w:cs="Times New Roman"/>
          <w:sz w:val="32"/>
          <w:szCs w:val="32"/>
          <w:lang w:eastAsia="zh-CN"/>
        </w:rPr>
        <w:t>和编制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eastAsia="仿宋_GB2312" w:cs="Times New Roman"/>
          <w:sz w:val="32"/>
          <w:szCs w:val="32"/>
          <w:lang w:eastAsia="zh-CN"/>
        </w:rPr>
        <w:t>在</w:t>
      </w:r>
      <w:r>
        <w:rPr>
          <w:rFonts w:hint="default" w:eastAsia="仿宋_GB2312"/>
          <w:sz w:val="32"/>
          <w:szCs w:val="32"/>
        </w:rPr>
        <w:t>工业节能与绿色发展管理平台（https://green.miit.gov.cn）</w:t>
      </w:r>
      <w:r>
        <w:rPr>
          <w:rFonts w:hint="eastAsia" w:eastAsia="仿宋_GB2312"/>
          <w:sz w:val="32"/>
          <w:szCs w:val="32"/>
          <w:lang w:eastAsia="zh-CN"/>
        </w:rPr>
        <w:t>上</w:t>
      </w:r>
      <w:r>
        <w:rPr>
          <w:rFonts w:hint="eastAsia" w:eastAsia="仿宋_GB2312" w:cs="Times New Roman"/>
          <w:sz w:val="32"/>
          <w:szCs w:val="32"/>
          <w:lang w:eastAsia="zh-CN"/>
        </w:rPr>
        <w:t>提交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PDF</w:t>
      </w:r>
      <w:r>
        <w:rPr>
          <w:rFonts w:hint="eastAsia" w:eastAsia="仿宋_GB2312" w:cs="Times New Roman"/>
          <w:sz w:val="32"/>
          <w:szCs w:val="32"/>
          <w:lang w:eastAsia="zh-CN"/>
        </w:rPr>
        <w:t>电子版材料，</w:t>
      </w:r>
      <w:r>
        <w:rPr>
          <w:rFonts w:hint="default" w:eastAsia="仿宋_GB2312"/>
          <w:sz w:val="32"/>
          <w:szCs w:val="32"/>
        </w:rPr>
        <w:t>申报书及附件证明材料应为一个PDF文件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sz w:val="32"/>
          <w:szCs w:val="32"/>
        </w:rPr>
        <w:t>一、基本信息</w:t>
      </w:r>
    </w:p>
    <w:tbl>
      <w:tblPr>
        <w:tblStyle w:val="9"/>
        <w:tblW w:w="867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8"/>
        <w:gridCol w:w="2126"/>
        <w:gridCol w:w="677"/>
        <w:gridCol w:w="1240"/>
        <w:gridCol w:w="209"/>
        <w:gridCol w:w="21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所属行业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组织机构代码</w:t>
            </w:r>
          </w:p>
          <w:p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eastAsia="zh-CN"/>
              </w:rPr>
              <w:t>统一社会信用代码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主营业务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主要产品及占比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eastAsia="zh-CN"/>
              </w:rPr>
              <w:t>绿色产品销售收入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2019年：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2020年：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2021年：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hint="eastAsia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201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9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-202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1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年绿色产品累计开发数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（种）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hint="eastAsia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截至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2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val="en-US" w:eastAsia="zh-CN"/>
              </w:rPr>
              <w:t>021年相关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专利数（含软著）（项）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201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9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-202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1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年参与相关标准制修订（项）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基于生命周期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评价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方法的产品碳足迹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报告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rPr>
                <w:rFonts w:hint="eastAsia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32"/>
                <w:szCs w:val="32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有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企业性质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内资（□国有□集体□民营）□中外合资□港澳台□外商独资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是否上市公司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□否</w:t>
            </w: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□是（上市时间：       ，股票代码： 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是否有产品出口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□否</w:t>
            </w:r>
          </w:p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□是（主要出口地点：         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803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邮编</w:t>
            </w:r>
          </w:p>
        </w:tc>
        <w:tc>
          <w:tcPr>
            <w:tcW w:w="2336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注册机关</w:t>
            </w:r>
          </w:p>
        </w:tc>
        <w:tc>
          <w:tcPr>
            <w:tcW w:w="2803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注册资本</w:t>
            </w:r>
          </w:p>
        </w:tc>
        <w:tc>
          <w:tcPr>
            <w:tcW w:w="2336" w:type="dxa"/>
            <w:gridSpan w:val="2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成立日期</w:t>
            </w:r>
          </w:p>
        </w:tc>
        <w:tc>
          <w:tcPr>
            <w:tcW w:w="2803" w:type="dxa"/>
            <w:gridSpan w:val="2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法定代表人及电话</w:t>
            </w:r>
          </w:p>
        </w:tc>
        <w:tc>
          <w:tcPr>
            <w:tcW w:w="2336" w:type="dxa"/>
            <w:gridSpan w:val="2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申报工作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联系部门</w:t>
            </w:r>
          </w:p>
        </w:tc>
        <w:tc>
          <w:tcPr>
            <w:tcW w:w="2803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336" w:type="dxa"/>
            <w:gridSpan w:val="2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03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传真</w:t>
            </w:r>
          </w:p>
        </w:tc>
        <w:tc>
          <w:tcPr>
            <w:tcW w:w="2336" w:type="dxa"/>
            <w:gridSpan w:val="2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2803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336" w:type="dxa"/>
            <w:gridSpan w:val="2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企业简介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spacing w:line="276" w:lineRule="auto"/>
            </w:pPr>
          </w:p>
          <w:p>
            <w:pPr>
              <w:widowControl/>
              <w:spacing w:line="276" w:lineRule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主要包括：企业</w:t>
            </w:r>
            <w:r>
              <w:rPr>
                <w:rFonts w:hint="eastAsia"/>
                <w:sz w:val="24"/>
                <w:szCs w:val="24"/>
                <w:lang w:eastAsia="zh-CN"/>
              </w:rPr>
              <w:t>基本情况、经营状况、</w:t>
            </w:r>
            <w:r>
              <w:rPr>
                <w:rFonts w:hint="default"/>
                <w:sz w:val="24"/>
                <w:szCs w:val="24"/>
              </w:rPr>
              <w:t>主导产品</w:t>
            </w:r>
            <w:r>
              <w:rPr>
                <w:rFonts w:hint="eastAsia"/>
                <w:sz w:val="24"/>
                <w:szCs w:val="24"/>
                <w:lang w:eastAsia="zh-CN"/>
              </w:rPr>
              <w:t>及市场占有率、主要工艺和产能、管理体系及</w:t>
            </w:r>
            <w:r>
              <w:rPr>
                <w:rFonts w:hint="default"/>
                <w:sz w:val="24"/>
                <w:szCs w:val="24"/>
              </w:rPr>
              <w:t>所获</w:t>
            </w:r>
            <w:r>
              <w:rPr>
                <w:rFonts w:hint="eastAsia"/>
                <w:sz w:val="24"/>
                <w:szCs w:val="24"/>
                <w:lang w:eastAsia="zh-CN"/>
              </w:rPr>
              <w:t>奖励</w:t>
            </w:r>
            <w:r>
              <w:rPr>
                <w:rFonts w:hint="default"/>
                <w:sz w:val="24"/>
                <w:szCs w:val="24"/>
              </w:rPr>
              <w:t>荣誉等情况。</w:t>
            </w:r>
          </w:p>
          <w:p>
            <w:pPr>
              <w:widowControl/>
              <w:spacing w:line="276" w:lineRule="auto"/>
            </w:pPr>
            <w:r>
              <w:rPr>
                <w:rFonts w:hint="default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800</w:t>
            </w:r>
            <w:r>
              <w:rPr>
                <w:rFonts w:hint="default"/>
                <w:sz w:val="24"/>
                <w:szCs w:val="24"/>
              </w:rPr>
              <w:t>字以内）</w:t>
            </w:r>
          </w:p>
          <w:p>
            <w:pPr>
              <w:pStyle w:val="2"/>
            </w:pPr>
          </w:p>
          <w:p>
            <w:pPr>
              <w:pStyle w:val="2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298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eastAsia="zh-CN"/>
              </w:rPr>
              <w:t>企业绿色设计亮点及成效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numPr>
                <w:ilvl w:val="-1"/>
                <w:numId w:val="0"/>
              </w:num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主要包括：</w:t>
            </w:r>
          </w:p>
          <w:p>
            <w:pPr>
              <w:widowControl/>
              <w:numPr>
                <w:ilvl w:val="-1"/>
                <w:numId w:val="0"/>
              </w:num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企业贯彻落实绿色设计理念和低碳发展要求的做法，开展产品生命周期碳足迹、水足迹和环境影响分析评价，应用评价结果制定企业绿色低碳发展战略及产品绿色化措施；</w:t>
            </w:r>
          </w:p>
          <w:p>
            <w:pPr>
              <w:widowControl/>
              <w:numPr>
                <w:ilvl w:val="-1"/>
                <w:numId w:val="0"/>
              </w:num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企业绿色设计技术创新的经验和成效，加强产品设计研发机构和专业团队建设，应用绿色设计基础数据库及先进设计工具与方法，应用数字化、低碳化、轻量化、循环化、模块化、集成化、设计制造一体化等方面绿色设计关键技术，开发高性能、高质量的绿色低碳环保产品；</w:t>
            </w:r>
          </w:p>
          <w:p>
            <w:pPr>
              <w:widowControl/>
              <w:numPr>
                <w:ilvl w:val="-1"/>
                <w:numId w:val="0"/>
              </w:num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绿色产品推广做法和成效，参与制定绿色产品相关的技术规范、标准或政策，绿色产品在产品结构中比重、销量及产值情况，绿色品牌培育和发展经验。</w:t>
            </w:r>
          </w:p>
          <w:p>
            <w:pPr>
              <w:widowControl/>
              <w:numPr>
                <w:ilvl w:val="-1"/>
                <w:numId w:val="0"/>
              </w:numPr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default"/>
                <w:sz w:val="24"/>
                <w:szCs w:val="24"/>
              </w:rPr>
              <w:t>字以内）</w:t>
            </w:r>
          </w:p>
          <w:p>
            <w:pPr>
              <w:widowControl/>
              <w:numPr>
                <w:ilvl w:val="-1"/>
                <w:numId w:val="0"/>
              </w:numPr>
              <w:rPr>
                <w:rFonts w:hint="eastAsia"/>
                <w:lang w:eastAsia="zh-CN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outlineLvl w:val="1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b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sz w:val="32"/>
          <w:szCs w:val="32"/>
        </w:rPr>
        <w:t>二、</w:t>
      </w:r>
      <w:bookmarkStart w:id="0" w:name="_Hlk65760745"/>
      <w:r>
        <w:rPr>
          <w:rFonts w:hint="default" w:ascii="Times New Roman" w:hAnsi="Times New Roman" w:eastAsia="黑体" w:cs="Times New Roman"/>
          <w:sz w:val="32"/>
          <w:szCs w:val="32"/>
        </w:rPr>
        <w:t>绿色设计示范企业自评价表</w:t>
      </w:r>
      <w:bookmarkEnd w:id="0"/>
    </w:p>
    <w:tbl>
      <w:tblPr>
        <w:tblStyle w:val="9"/>
        <w:tblW w:w="10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1176"/>
        <w:gridCol w:w="3852"/>
        <w:gridCol w:w="1417"/>
        <w:gridCol w:w="609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tblHeader/>
          <w:jc w:val="center"/>
        </w:trPr>
        <w:tc>
          <w:tcPr>
            <w:tcW w:w="240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 w:val="0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8"/>
              </w:rPr>
              <w:t>评价</w:t>
            </w:r>
            <w:r>
              <w:rPr>
                <w:rFonts w:ascii="Times New Roman" w:hAnsi="Times New Roman" w:eastAsia="黑体" w:cs="Times New Roman"/>
                <w:b w:val="0"/>
                <w:bCs/>
                <w:sz w:val="28"/>
                <w:szCs w:val="28"/>
              </w:rPr>
              <w:t>要素</w:t>
            </w:r>
          </w:p>
        </w:tc>
        <w:tc>
          <w:tcPr>
            <w:tcW w:w="3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 w:val="0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8"/>
              </w:rPr>
              <w:t>评价</w:t>
            </w:r>
            <w:r>
              <w:rPr>
                <w:rFonts w:ascii="Times New Roman" w:hAnsi="Times New Roman" w:eastAsia="黑体" w:cs="Times New Roman"/>
                <w:b w:val="0"/>
                <w:bCs/>
                <w:sz w:val="28"/>
                <w:szCs w:val="28"/>
              </w:rPr>
              <w:t>标准</w:t>
            </w:r>
          </w:p>
        </w:tc>
        <w:tc>
          <w:tcPr>
            <w:tcW w:w="202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 w:val="0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8"/>
              </w:rPr>
              <w:t>评价结果</w:t>
            </w: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黑体" w:cs="Times New Roman"/>
                <w:b w:val="0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8"/>
              </w:rPr>
              <w:t>证明材料</w:t>
            </w:r>
            <w:r>
              <w:rPr>
                <w:rFonts w:hint="eastAsia" w:eastAsia="黑体" w:cs="Times New Roman"/>
                <w:b w:val="0"/>
                <w:bCs/>
                <w:sz w:val="28"/>
                <w:szCs w:val="28"/>
                <w:lang w:eastAsia="zh-CN"/>
              </w:rPr>
              <w:t>说明及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8"/>
              </w:rPr>
              <w:t>页码索引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6257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1、申报企业基本条件</w:t>
            </w:r>
            <w:r>
              <w:rPr>
                <w:rFonts w:hint="default" w:ascii="Times New Roman" w:hAnsi="Times New Roman" w:eastAsia="楷体_GB2312" w:cs="Times New Roman"/>
                <w:b/>
                <w:color w:val="auto"/>
                <w:sz w:val="24"/>
                <w:szCs w:val="24"/>
              </w:rPr>
              <w:t>（一票否决项）</w:t>
            </w:r>
          </w:p>
        </w:tc>
        <w:tc>
          <w:tcPr>
            <w:tcW w:w="2026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符合情况</w:t>
            </w:r>
          </w:p>
        </w:tc>
        <w:tc>
          <w:tcPr>
            <w:tcW w:w="20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62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具有独立法人资格。</w:t>
            </w:r>
          </w:p>
        </w:tc>
        <w:tc>
          <w:tcPr>
            <w:tcW w:w="202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符合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不符合</w:t>
            </w: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62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具备有关法律法规、国家标准或者行业标准规定的安全生产条件，三年内未发生重大及以上安全、质量、环保事故，无安全、质量、环保、能耗不良信息记录。</w:t>
            </w:r>
          </w:p>
        </w:tc>
        <w:tc>
          <w:tcPr>
            <w:tcW w:w="202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符合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不符合</w:t>
            </w: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6257" w:type="dxa"/>
            <w:gridSpan w:val="3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2、申报企业综合水平评价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标准分值</w:t>
            </w:r>
          </w:p>
        </w:tc>
        <w:tc>
          <w:tcPr>
            <w:tcW w:w="60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得分</w:t>
            </w:r>
          </w:p>
        </w:tc>
        <w:tc>
          <w:tcPr>
            <w:tcW w:w="20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6257" w:type="dxa"/>
            <w:gridSpan w:val="3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eastAsia" w:eastAsia="楷体_GB2312" w:cs="Times New Roman"/>
                <w:b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0分</w:t>
            </w:r>
          </w:p>
        </w:tc>
        <w:tc>
          <w:tcPr>
            <w:tcW w:w="60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  <w:jc w:val="center"/>
        </w:trPr>
        <w:tc>
          <w:tcPr>
            <w:tcW w:w="240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企业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绿色低碳发展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战略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和措施</w:t>
            </w:r>
          </w:p>
          <w:p>
            <w:pPr>
              <w:widowControl/>
              <w:ind w:left="107" w:right="81"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分）</w:t>
            </w:r>
          </w:p>
        </w:tc>
        <w:tc>
          <w:tcPr>
            <w:tcW w:w="3852" w:type="dxa"/>
            <w:tcBorders>
              <w:left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ind w:left="102" w:right="-20"/>
              <w:jc w:val="both"/>
              <w:rPr>
                <w:rFonts w:ascii="Times New Roman" w:hAnsi="Times New Roman" w:eastAsia="宋体" w:cs="Times New Roman"/>
                <w:b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拥有明确的绿色</w:t>
            </w:r>
            <w:r>
              <w:rPr>
                <w:rFonts w:hint="default" w:cs="Times New Roman"/>
                <w:sz w:val="24"/>
                <w:szCs w:val="24"/>
                <w:lang w:eastAsia="zh-CN"/>
              </w:rPr>
              <w:t>低碳循环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发展战略，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具备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开展产品生命周期评价</w:t>
            </w:r>
            <w:r>
              <w:rPr>
                <w:rFonts w:hint="default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cs="Times New Roman"/>
                <w:sz w:val="24"/>
                <w:szCs w:val="24"/>
                <w:lang w:val="en-US" w:eastAsia="zh-CN"/>
              </w:rPr>
              <w:t>碳足迹评价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的基础能力，并能够根据评价结果进行产品优化和改进</w:t>
            </w:r>
            <w:r>
              <w:rPr>
                <w:rFonts w:hint="default" w:cs="Times New Roman"/>
                <w:sz w:val="24"/>
                <w:szCs w:val="24"/>
                <w:lang w:eastAsia="zh-CN"/>
              </w:rPr>
              <w:t>，提出产品绿色低碳水平提升措施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_GB2312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/>
                <w:sz w:val="24"/>
                <w:szCs w:val="24"/>
                <w:lang w:val="en-US" w:eastAsia="zh-CN"/>
              </w:rPr>
              <w:t>6-10</w:t>
            </w:r>
          </w:p>
        </w:tc>
        <w:tc>
          <w:tcPr>
            <w:tcW w:w="60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eastAsia="zh-CN"/>
              </w:rPr>
              <w:t>样例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:</w:t>
            </w:r>
          </w:p>
          <w:p>
            <w:pPr>
              <w:widowControl/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企业</w:t>
            </w:r>
            <w:r>
              <w:rPr>
                <w:rFonts w:hint="eastAsia"/>
                <w:sz w:val="21"/>
                <w:szCs w:val="21"/>
              </w:rPr>
              <w:t>拥有明确的绿色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低碳循环发展战略，具有碳足迹评价及生命周期评价能力，提出产品绿色低碳水平提升措施</w:t>
            </w:r>
            <w:r>
              <w:rPr>
                <w:rFonts w:hint="eastAsia"/>
                <w:sz w:val="21"/>
                <w:szCs w:val="21"/>
                <w:lang w:eastAsia="zh-CN"/>
              </w:rPr>
              <w:t>。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详见申报书Px-Px。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24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ind w:left="107" w:right="8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ind w:left="102" w:right="-2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拥有明确的绿色</w:t>
            </w:r>
            <w:r>
              <w:rPr>
                <w:rFonts w:hint="default" w:cs="Times New Roman"/>
                <w:sz w:val="24"/>
                <w:szCs w:val="24"/>
                <w:lang w:eastAsia="zh-CN"/>
              </w:rPr>
              <w:t>低碳循环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发展战略，</w:t>
            </w:r>
            <w:r>
              <w:rPr>
                <w:rFonts w:hint="default" w:cs="Times New Roman"/>
                <w:sz w:val="24"/>
                <w:szCs w:val="24"/>
                <w:lang w:val="en-US" w:eastAsia="zh-CN"/>
              </w:rPr>
              <w:t>具备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开展产品生命周期评价</w:t>
            </w:r>
            <w:r>
              <w:rPr>
                <w:rFonts w:hint="default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cs="Times New Roman"/>
                <w:sz w:val="24"/>
                <w:szCs w:val="24"/>
                <w:lang w:val="en-US" w:eastAsia="zh-CN"/>
              </w:rPr>
              <w:t>碳足迹评价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的基础能力。</w:t>
            </w:r>
          </w:p>
        </w:tc>
        <w:tc>
          <w:tcPr>
            <w:tcW w:w="1417" w:type="dxa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楷体_GB2312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/>
                <w:sz w:val="24"/>
                <w:szCs w:val="24"/>
                <w:lang w:val="en-US" w:eastAsia="zh-CN"/>
              </w:rPr>
              <w:t>1-5</w:t>
            </w:r>
          </w:p>
        </w:tc>
        <w:tc>
          <w:tcPr>
            <w:tcW w:w="60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24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ind w:left="107" w:right="8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ind w:left="102" w:right="-20"/>
              <w:jc w:val="both"/>
              <w:rPr>
                <w:rFonts w:hint="default" w:cs="Times New Roman"/>
                <w:sz w:val="24"/>
                <w:szCs w:val="24"/>
                <w:lang w:eastAsia="zh-CN"/>
              </w:rPr>
            </w:pPr>
            <w:r>
              <w:rPr>
                <w:rFonts w:hint="default" w:cs="Times New Roman"/>
                <w:sz w:val="24"/>
                <w:szCs w:val="24"/>
                <w:lang w:val="en-US" w:eastAsia="zh-CN"/>
              </w:rPr>
              <w:t>无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明确的绿色</w:t>
            </w:r>
            <w:r>
              <w:rPr>
                <w:rFonts w:hint="default" w:cs="Times New Roman"/>
                <w:sz w:val="24"/>
                <w:szCs w:val="24"/>
                <w:lang w:eastAsia="zh-CN"/>
              </w:rPr>
              <w:t>低碳循环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发展战略，</w:t>
            </w:r>
            <w:r>
              <w:rPr>
                <w:rFonts w:hint="default" w:cs="Times New Roman"/>
                <w:sz w:val="24"/>
                <w:szCs w:val="24"/>
                <w:lang w:val="en-US" w:eastAsia="zh-CN"/>
              </w:rPr>
              <w:t>无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开展产品生命周期评价</w:t>
            </w:r>
            <w:r>
              <w:rPr>
                <w:rFonts w:hint="default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cs="Times New Roman"/>
                <w:sz w:val="24"/>
                <w:szCs w:val="24"/>
                <w:lang w:val="en-US" w:eastAsia="zh-CN"/>
              </w:rPr>
              <w:t>碳足迹评价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的基础能力。</w:t>
            </w:r>
          </w:p>
        </w:tc>
        <w:tc>
          <w:tcPr>
            <w:tcW w:w="1417" w:type="dxa"/>
            <w:tcBorders>
              <w:top w:val="nil"/>
              <w:left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楷体_GB2312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09" w:type="dxa"/>
            <w:tcBorders>
              <w:top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1" w:hRule="atLeast"/>
          <w:jc w:val="center"/>
        </w:trPr>
        <w:tc>
          <w:tcPr>
            <w:tcW w:w="2405" w:type="dxa"/>
            <w:gridSpan w:val="2"/>
            <w:vMerge w:val="restart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ind w:left="107" w:righ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管理能力</w:t>
            </w:r>
          </w:p>
          <w:p>
            <w:pPr>
              <w:widowControl/>
              <w:ind w:left="107" w:righ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分）</w:t>
            </w:r>
          </w:p>
        </w:tc>
        <w:tc>
          <w:tcPr>
            <w:tcW w:w="3852" w:type="dxa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通过ISO9001质量管理体系认证、ISO14001环境管理体系认证、ISO50001能源管理体系认证、ISO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001职业健康安全管理体系认证及本行业代表性管理体系认证中的任意3项及以上。</w:t>
            </w:r>
          </w:p>
        </w:tc>
        <w:tc>
          <w:tcPr>
            <w:tcW w:w="1417" w:type="dxa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eastAsia="zh-CN"/>
              </w:rPr>
              <w:t>样例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: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通过</w:t>
            </w:r>
            <w:r>
              <w:rPr>
                <w:rFonts w:hint="eastAsia"/>
                <w:sz w:val="21"/>
                <w:szCs w:val="21"/>
              </w:rPr>
              <w:t>ISO9001质量管理体系认证、ISO14001环境管理体系认证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等n项认证，详见申报书Px-Px。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2405" w:type="dxa"/>
            <w:gridSpan w:val="2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通过上述体系认证中的任意2项。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405" w:type="dxa"/>
            <w:gridSpan w:val="2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通过上述体系认证中的任意1项。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405" w:type="dxa"/>
            <w:gridSpan w:val="2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无任何认证。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405" w:type="dxa"/>
            <w:gridSpan w:val="2"/>
            <w:vMerge w:val="restart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市场竞争力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分）</w:t>
            </w:r>
          </w:p>
        </w:tc>
        <w:tc>
          <w:tcPr>
            <w:tcW w:w="3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主导产品在国际或国内的市场占有率在全行业中处于领先水平。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2405" w:type="dxa"/>
            <w:gridSpan w:val="2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主导产品在国际或国内的市场占有率在全行业中处于较高水平。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405" w:type="dxa"/>
            <w:gridSpan w:val="2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主导产品在国际、国内的市场占有率在全行业中处于平均水平。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405" w:type="dxa"/>
            <w:gridSpan w:val="2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主导产品在国际、国内的市场占有率在全行业中低于平均水平。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405" w:type="dxa"/>
            <w:gridSpan w:val="2"/>
            <w:vMerge w:val="restart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市场影响力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分）</w:t>
            </w:r>
          </w:p>
        </w:tc>
        <w:tc>
          <w:tcPr>
            <w:tcW w:w="3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拥有国际知名商标、中国驰名商标等自主知名品牌，或品牌知名度达到同等水平。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405" w:type="dxa"/>
            <w:gridSpan w:val="2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拥有省名牌商标、著名商标等自主知名品牌，或品牌知名度达到同等水平。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405" w:type="dxa"/>
            <w:gridSpan w:val="2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不拥有自主品牌。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405" w:type="dxa"/>
            <w:gridSpan w:val="2"/>
            <w:vMerge w:val="restart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企业运营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分）</w:t>
            </w:r>
          </w:p>
        </w:tc>
        <w:tc>
          <w:tcPr>
            <w:tcW w:w="3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运营及财务状况良好，且近3年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201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-20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连续实现盈利。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405" w:type="dxa"/>
            <w:gridSpan w:val="2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企业运营及财务状况较好，且近3年内连续2年实现盈利。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405" w:type="dxa"/>
            <w:gridSpan w:val="2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近3年内任意1年实现盈利。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405" w:type="dxa"/>
            <w:gridSpan w:val="2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企业近3年内持续亏损。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6257" w:type="dxa"/>
            <w:gridSpan w:val="3"/>
            <w:vMerge w:val="restart"/>
            <w:tcBorders>
              <w:top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left="102" w:right="-20"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3、申报企业绿色设计专项水平评价</w:t>
            </w:r>
          </w:p>
        </w:tc>
        <w:tc>
          <w:tcPr>
            <w:tcW w:w="1417" w:type="dxa"/>
            <w:tcBorders>
              <w:top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标准分值</w:t>
            </w:r>
          </w:p>
        </w:tc>
        <w:tc>
          <w:tcPr>
            <w:tcW w:w="609" w:type="dxa"/>
            <w:tcBorders>
              <w:top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得分</w:t>
            </w:r>
          </w:p>
        </w:tc>
        <w:tc>
          <w:tcPr>
            <w:tcW w:w="2016" w:type="dxa"/>
            <w:tcBorders>
              <w:top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6257" w:type="dxa"/>
            <w:gridSpan w:val="3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left="102" w:right="-20"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eastAsia" w:eastAsia="楷体_GB2312" w:cs="Times New Roman"/>
                <w:b/>
                <w:sz w:val="24"/>
                <w:szCs w:val="24"/>
                <w:lang w:val="en-US" w:eastAsia="zh-CN"/>
              </w:rPr>
              <w:t>70</w:t>
            </w: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分</w:t>
            </w:r>
          </w:p>
        </w:tc>
        <w:tc>
          <w:tcPr>
            <w:tcW w:w="60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122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绿色设计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实力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分）</w:t>
            </w:r>
          </w:p>
        </w:tc>
        <w:tc>
          <w:tcPr>
            <w:tcW w:w="11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创新能力</w:t>
            </w:r>
          </w:p>
          <w:p>
            <w:pPr>
              <w:widowControl/>
              <w:spacing w:before="16"/>
              <w:ind w:left="0" w:right="1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分）</w:t>
            </w: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拥有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国家级企业技术中心、工业设计中心、高新技术企业等称号，或拥有相当的技术机构。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拥有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省级企业技术中心、工业设计中心、高新技术企业等称号，或拥有相当的技术机构。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拥有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省级以下企业技术中心、工业设计中心、高新技术企业，或拥有相当的技术机构。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不具有任何称号或技术机构。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研发投入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分）</w:t>
            </w: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201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-202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年间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研发经费支出及占主营业务收入比重，处于行业领先水平。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201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-202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年间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研发经费支出及占主营业务收入比重，处于行业较好水平。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201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-202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年间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研发经费支出及占主营业务收入比重，处于行业平均水平。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bottom w:val="nil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bottom w:val="nil"/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无研发投入。</w:t>
            </w:r>
          </w:p>
        </w:tc>
        <w:tc>
          <w:tcPr>
            <w:tcW w:w="1417" w:type="dxa"/>
            <w:tcBorders>
              <w:bottom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tcBorders>
              <w:bottom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3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创新水平（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分）</w:t>
            </w: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201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-202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年间获得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绿色设计技术或产品相关的发明专利、软件著作权、相关奖项，合计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项及以上。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top w:val="nil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201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-202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年间获得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绿色设计技术或产品相关的发明专利、软件著作权、相关奖项，合计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201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-202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年间获得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绿色设计技术或产品相关的发明专利、软件著作权、相关奖项，合计1-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201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-202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年间未获得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相关的发明专利、软件著作权、相关奖项。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人员团队</w:t>
            </w:r>
          </w:p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分）</w:t>
            </w: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leftChars="0" w:right="151" w:rightChars="0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建有专门的产品设计研发机构，团队人员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0人（含）以上。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leftChars="0" w:right="151" w:rightChars="0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建有专门的产品设计研发机构，团队人员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人。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leftChars="0" w:right="151" w:rightChars="0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建有专门的产品设计研发机构，团队人员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人以下。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leftChars="0" w:right="151" w:rightChars="0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无研发人员。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绿色设计基础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和关键技术应用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分）</w:t>
            </w:r>
          </w:p>
        </w:tc>
        <w:tc>
          <w:tcPr>
            <w:tcW w:w="11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系统设计工具与方法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分）</w:t>
            </w: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具有水平较高的绿色设计相关数据库和设计工具。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4-6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具有绿色设计相关数据库和设计工具。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1-3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不具有绿色设计相关数据库和设计工具。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.2.2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设计应用转化能力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分）</w:t>
            </w: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具有完善的检验验证、计量测试等绿色设计应用转化能力。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4-5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具有检验验证、计量测试等绿色设计应用转化能力。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1-3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不具有检验验证、计量测试等绿色设计应用转化能力。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3.2.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  <w:p>
            <w:pPr>
              <w:widowControl/>
              <w:jc w:val="center"/>
              <w:rPr>
                <w:rFonts w:hint="default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cs="Times New Roman"/>
                <w:sz w:val="24"/>
                <w:szCs w:val="24"/>
                <w:lang w:val="en-US" w:eastAsia="zh-CN"/>
              </w:rPr>
              <w:t>全生命周期评价应用</w:t>
            </w:r>
          </w:p>
          <w:p>
            <w:pPr>
              <w:widowControl/>
              <w:jc w:val="center"/>
              <w:rPr>
                <w:rFonts w:hint="default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cs="Times New Roman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cs="Times New Roman"/>
                <w:sz w:val="24"/>
                <w:szCs w:val="24"/>
                <w:lang w:val="en-US" w:eastAsia="zh-CN"/>
              </w:rPr>
              <w:t>分）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vAlign w:val="top"/>
          </w:tcPr>
          <w:p>
            <w:pPr>
              <w:widowControl/>
              <w:spacing w:before="16"/>
              <w:ind w:left="102" w:right="15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</w:rPr>
              <w:t>提供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3份及以上产品的</w:t>
            </w:r>
            <w:r>
              <w:rPr>
                <w:rFonts w:hint="default"/>
                <w:sz w:val="24"/>
                <w:szCs w:val="24"/>
              </w:rPr>
              <w:t>生命周期评价报告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且报告包含碳足迹定量评估内容，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提出产品绿色低碳水平提升措施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5-6</w:t>
            </w:r>
          </w:p>
        </w:tc>
        <w:tc>
          <w:tcPr>
            <w:tcW w:w="609" w:type="dxa"/>
            <w:tcBorders>
              <w:top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top w:val="nil"/>
            </w:tcBorders>
            <w:vAlign w:val="center"/>
          </w:tcPr>
          <w:p>
            <w:pPr>
              <w:widowControl/>
              <w:jc w:val="center"/>
              <w:rPr>
                <w:rFonts w:hint="eastAsia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eastAsia="zh-CN"/>
              </w:rPr>
              <w:t>样例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: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企业</w:t>
            </w:r>
            <w:r>
              <w:rPr>
                <w:rFonts w:hint="eastAsia"/>
                <w:sz w:val="21"/>
                <w:szCs w:val="21"/>
              </w:rPr>
              <w:t>拥有明确的绿色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</w:rPr>
              <w:t>提供</w:t>
            </w:r>
            <w:r>
              <w:rPr>
                <w:rFonts w:hint="eastAsia"/>
                <w:sz w:val="21"/>
                <w:szCs w:val="21"/>
                <w:lang w:eastAsia="zh-CN"/>
              </w:rPr>
              <w:t>产品生命周期</w:t>
            </w:r>
            <w:r>
              <w:rPr>
                <w:rFonts w:hint="eastAsia"/>
                <w:sz w:val="21"/>
                <w:szCs w:val="21"/>
              </w:rPr>
              <w:t>评价报告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n份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，报告均涉及碳足迹定量评估，</w:t>
            </w:r>
            <w:r>
              <w:rPr>
                <w:rFonts w:hint="eastAsia"/>
                <w:sz w:val="21"/>
                <w:szCs w:val="21"/>
              </w:rPr>
              <w:t>提出</w:t>
            </w:r>
            <w:r>
              <w:rPr>
                <w:rFonts w:hint="eastAsia"/>
                <w:sz w:val="21"/>
                <w:szCs w:val="21"/>
                <w:lang w:eastAsia="zh-CN"/>
              </w:rPr>
              <w:t>了</w:t>
            </w:r>
            <w:r>
              <w:rPr>
                <w:rFonts w:hint="eastAsia"/>
                <w:sz w:val="21"/>
                <w:szCs w:val="21"/>
              </w:rPr>
              <w:t>提升产品绿色低碳水平的</w:t>
            </w:r>
            <w:r>
              <w:rPr>
                <w:rFonts w:hint="eastAsia"/>
                <w:sz w:val="21"/>
                <w:szCs w:val="21"/>
                <w:lang w:eastAsia="zh-CN"/>
              </w:rPr>
              <w:t>……</w:t>
            </w:r>
            <w:r>
              <w:rPr>
                <w:rFonts w:hint="eastAsia"/>
                <w:sz w:val="21"/>
                <w:szCs w:val="21"/>
              </w:rPr>
              <w:t>措施</w:t>
            </w:r>
            <w:r>
              <w:rPr>
                <w:rFonts w:hint="eastAsia"/>
                <w:sz w:val="21"/>
                <w:szCs w:val="21"/>
                <w:lang w:eastAsia="zh-CN"/>
              </w:rPr>
              <w:t>。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详见申报书Px-Px。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widowControl/>
              <w:spacing w:before="16"/>
              <w:ind w:left="102" w:right="151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</w:rPr>
              <w:t>提供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2份及以上产品的</w:t>
            </w:r>
            <w:r>
              <w:rPr>
                <w:rFonts w:hint="default"/>
                <w:sz w:val="24"/>
                <w:szCs w:val="24"/>
              </w:rPr>
              <w:t>生命周期评价报告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且报告包含碳足迹定量评估内容，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提出产品绿色低碳水平提升措施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3-4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widowControl/>
              <w:spacing w:before="16"/>
              <w:ind w:left="102" w:right="151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提供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1份及以上产品的</w:t>
            </w:r>
            <w:r>
              <w:rPr>
                <w:rFonts w:hint="default"/>
                <w:sz w:val="24"/>
                <w:szCs w:val="24"/>
              </w:rPr>
              <w:t>生命周期评价报告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且报告包含碳足迹定量评估内容，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提出产品绿色低碳水平提升措施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1-2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widowControl/>
              <w:spacing w:before="16"/>
              <w:ind w:left="102" w:right="151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未提供</w:t>
            </w:r>
            <w:r>
              <w:rPr>
                <w:rFonts w:hint="default"/>
                <w:sz w:val="24"/>
                <w:szCs w:val="24"/>
              </w:rPr>
              <w:t>生命周期评价报告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或报告未包含碳足迹定量评估内容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3.2.4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关键技术突破和应用（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8分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在轻量化、低碳化、循环化、数字化</w:t>
            </w:r>
            <w:r>
              <w:rPr>
                <w:rFonts w:hint="default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模块化、集成化</w:t>
            </w:r>
            <w:r>
              <w:rPr>
                <w:rFonts w:hint="eastAsia"/>
                <w:sz w:val="24"/>
                <w:szCs w:val="24"/>
                <w:lang w:eastAsia="zh-CN"/>
              </w:rPr>
              <w:t>、设计制造一体化</w:t>
            </w:r>
            <w:r>
              <w:rPr>
                <w:rFonts w:hint="eastAsia"/>
                <w:sz w:val="24"/>
                <w:szCs w:val="24"/>
              </w:rPr>
              <w:t>等</w:t>
            </w:r>
            <w:r>
              <w:rPr>
                <w:rFonts w:hint="eastAsia"/>
                <w:sz w:val="24"/>
                <w:szCs w:val="24"/>
                <w:lang w:eastAsia="zh-CN"/>
              </w:rPr>
              <w:t>方面，采用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3项及以上绿色设计关键技术，并提供应用案例。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在轻量化、低碳化、循环化、数字化</w:t>
            </w:r>
            <w:r>
              <w:rPr>
                <w:rFonts w:hint="default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模块化、集成化</w:t>
            </w:r>
            <w:r>
              <w:rPr>
                <w:rFonts w:hint="eastAsia"/>
                <w:sz w:val="24"/>
                <w:szCs w:val="24"/>
                <w:lang w:eastAsia="zh-CN"/>
              </w:rPr>
              <w:t>、设计制造一体化</w:t>
            </w:r>
            <w:r>
              <w:rPr>
                <w:rFonts w:hint="eastAsia"/>
                <w:sz w:val="24"/>
                <w:szCs w:val="24"/>
              </w:rPr>
              <w:t>等</w:t>
            </w:r>
            <w:r>
              <w:rPr>
                <w:rFonts w:hint="eastAsia"/>
                <w:sz w:val="24"/>
                <w:szCs w:val="24"/>
                <w:lang w:eastAsia="zh-CN"/>
              </w:rPr>
              <w:t>方面，采用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2项绿色设计关键技术，并提供应用案例。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在轻量化、低碳化、循环化、数字化</w:t>
            </w:r>
            <w:r>
              <w:rPr>
                <w:rFonts w:hint="default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模块化、集成化</w:t>
            </w:r>
            <w:r>
              <w:rPr>
                <w:rFonts w:hint="eastAsia"/>
                <w:sz w:val="24"/>
                <w:szCs w:val="24"/>
                <w:lang w:eastAsia="zh-CN"/>
              </w:rPr>
              <w:t>、设计制造一体化</w:t>
            </w:r>
            <w:r>
              <w:rPr>
                <w:rFonts w:hint="eastAsia"/>
                <w:sz w:val="24"/>
                <w:szCs w:val="24"/>
              </w:rPr>
              <w:t>等</w:t>
            </w:r>
            <w:r>
              <w:rPr>
                <w:rFonts w:hint="eastAsia"/>
                <w:sz w:val="24"/>
                <w:szCs w:val="24"/>
                <w:lang w:eastAsia="zh-CN"/>
              </w:rPr>
              <w:t>方面，采用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1项绿色设计关键技术，并提供应用案例。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无相关技术应用情况。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绿色设计产品情况（20分）</w:t>
            </w:r>
          </w:p>
        </w:tc>
        <w:tc>
          <w:tcPr>
            <w:tcW w:w="11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绿色产品开发情况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（6分）</w:t>
            </w: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年期间，累计开发绿色产品1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种以上。（绿色产品包括：①国家或省级绿色产品（列入绿色设计产品以及节能、节水、再制造、资源综合利用、有毒有害原料替代等国家或省级目录中的产品）；②由有资质的第三方机构认证的绿色产品（提供认证报告）；③其他绿色产品（提供相关检测报告）。）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年期间，累计开发绿色产品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种。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年期间，累计开发绿色产品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种。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.3.2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绿色产品生产能力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（5分）</w:t>
            </w: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绿色产品产量及其占比，处于行业领先水平。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绿色产品产量及其占比，处于行业平均水平。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绿色产品产量及其占比，低于行业平均水平。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.3.3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绿色产品销售情况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（5分）</w:t>
            </w: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绿色产品销量或销售额占比，处于行业领先水平。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绿色产品销量或销售额占比，处于行业平均水平。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绿色产品销量或销售额占比，低于行业平均水平。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2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.3.4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标准政策参与情况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（4分）</w:t>
            </w:r>
          </w:p>
        </w:tc>
        <w:tc>
          <w:tcPr>
            <w:tcW w:w="3852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年期间，申报企业牵头或参与制定各类绿色设计、绿色产品及绿色制造相关标准、技术规范、政策等，合计2项得1分，每增加1项加1分，满分得4分（5个）。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6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405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绿色发展水平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分）</w:t>
            </w:r>
          </w:p>
        </w:tc>
        <w:tc>
          <w:tcPr>
            <w:tcW w:w="3852" w:type="dxa"/>
            <w:vAlign w:val="top"/>
          </w:tcPr>
          <w:p>
            <w:pPr>
              <w:widowControl/>
              <w:spacing w:before="16"/>
              <w:ind w:left="102" w:right="151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①获得国家级或省级绿色工厂称号；②获得国家级或省级绿色供应链管理企业称号；③负责绿色制造系统集成项目；④获得绿色制造系统解决方案供应商称号。⑤获得国家级或省级能效“领跑者”企业称号⑥获得国家级水效“领跑者”企业称号或省级节水标杆企业称号。拥有上述6项中的任意3项及以上。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0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4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vAlign w:val="top"/>
          </w:tcPr>
          <w:p>
            <w:pPr>
              <w:widowControl/>
              <w:spacing w:before="16"/>
              <w:ind w:left="102" w:right="151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上述6项中任意2项。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0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4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vAlign w:val="top"/>
          </w:tcPr>
          <w:p>
            <w:pPr>
              <w:widowControl/>
              <w:spacing w:before="16"/>
              <w:ind w:left="102" w:right="151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上述6项中任意1项。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0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405" w:type="dxa"/>
            <w:gridSpan w:val="2"/>
            <w:vMerge w:val="continue"/>
            <w:tcBorders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bottom w:val="nil"/>
            </w:tcBorders>
            <w:vAlign w:val="top"/>
          </w:tcPr>
          <w:p>
            <w:pPr>
              <w:widowControl/>
              <w:spacing w:before="16"/>
              <w:ind w:left="102" w:right="151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无相关称号。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09" w:type="dxa"/>
            <w:tcBorders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7674" w:type="dxa"/>
            <w:gridSpan w:val="4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  <w:t>4</w:t>
            </w:r>
            <w:r>
              <w:rPr>
                <w:rFonts w:hint="default" w:ascii="Times New Roman" w:hAnsi="Times New Roman" w:eastAsia="楷体_GB2312" w:cs="Times New Roman"/>
                <w:b/>
                <w:sz w:val="24"/>
                <w:szCs w:val="24"/>
              </w:rPr>
              <w:t>、申报企业自评价总得分</w:t>
            </w:r>
          </w:p>
        </w:tc>
        <w:tc>
          <w:tcPr>
            <w:tcW w:w="262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snapToGrid w:val="0"/>
        <w:spacing w:line="360" w:lineRule="auto"/>
        <w:rPr>
          <w:rFonts w:hint="default" w:ascii="Times New Roman" w:hAnsi="Times New Roman" w:eastAsia="楷体" w:cs="Times New Roman"/>
          <w:sz w:val="24"/>
          <w:szCs w:val="24"/>
        </w:rPr>
      </w:pPr>
      <w:r>
        <w:rPr>
          <w:rFonts w:hint="default" w:ascii="Times New Roman" w:hAnsi="Times New Roman" w:eastAsia="楷体" w:cs="Times New Roman"/>
          <w:sz w:val="24"/>
          <w:szCs w:val="24"/>
        </w:rPr>
        <w:t>备注：1.对照各项要求，对近3年（201</w:t>
      </w:r>
      <w:r>
        <w:rPr>
          <w:rFonts w:hint="eastAsia" w:eastAsia="楷体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楷体" w:cs="Times New Roman"/>
          <w:sz w:val="24"/>
          <w:szCs w:val="24"/>
        </w:rPr>
        <w:t>-202</w:t>
      </w:r>
      <w:r>
        <w:rPr>
          <w:rFonts w:hint="eastAsia" w:eastAsia="楷体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楷体" w:cs="Times New Roman"/>
          <w:sz w:val="24"/>
          <w:szCs w:val="24"/>
        </w:rPr>
        <w:t>年）情况进行评估，成立不足3年的</w:t>
      </w:r>
      <w:r>
        <w:rPr>
          <w:rFonts w:hint="default" w:ascii="Times New Roman" w:hAnsi="Times New Roman" w:eastAsia="楷体" w:cs="Times New Roman"/>
          <w:sz w:val="24"/>
          <w:szCs w:val="24"/>
        </w:rPr>
        <w:tab/>
      </w:r>
      <w:r>
        <w:rPr>
          <w:rFonts w:hint="default" w:ascii="Times New Roman" w:hAnsi="Times New Roman" w:eastAsia="楷体" w:cs="Times New Roman"/>
          <w:sz w:val="24"/>
          <w:szCs w:val="24"/>
        </w:rPr>
        <w:tab/>
      </w:r>
      <w:r>
        <w:rPr>
          <w:rFonts w:hint="default" w:ascii="Times New Roman" w:hAnsi="Times New Roman" w:eastAsia="楷体" w:cs="Times New Roman"/>
          <w:sz w:val="24"/>
          <w:szCs w:val="24"/>
        </w:rPr>
        <w:t xml:space="preserve">    填写成立以来的情况；</w:t>
      </w:r>
    </w:p>
    <w:p>
      <w:pPr>
        <w:snapToGrid w:val="0"/>
        <w:spacing w:line="360" w:lineRule="auto"/>
        <w:ind w:firstLine="720" w:firstLineChars="300"/>
        <w:rPr>
          <w:rFonts w:hint="default" w:ascii="Times New Roman" w:hAnsi="Times New Roman" w:eastAsia="楷体" w:cs="Times New Roman"/>
          <w:sz w:val="24"/>
          <w:szCs w:val="24"/>
        </w:rPr>
      </w:pPr>
      <w:r>
        <w:rPr>
          <w:rFonts w:hint="default" w:ascii="Times New Roman" w:hAnsi="Times New Roman" w:eastAsia="楷体" w:cs="Times New Roman"/>
          <w:sz w:val="24"/>
          <w:szCs w:val="24"/>
        </w:rPr>
        <w:t>2.应逐项填写情况概述，并附相关证明材料（在证明材料索引中注明）。</w:t>
      </w:r>
    </w:p>
    <w:p>
      <w:pPr>
        <w:snapToGrid w:val="0"/>
        <w:ind w:firstLine="720" w:firstLineChars="3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hint="default" w:ascii="Times New Roman" w:hAnsi="Times New Roman" w:eastAsia="黑体" w:cs="Times New Roman"/>
          <w:sz w:val="32"/>
          <w:szCs w:val="32"/>
        </w:rPr>
        <w:t>三、绿色设计自评价</w:t>
      </w:r>
    </w:p>
    <w:p>
      <w:pPr>
        <w:ind w:firstLine="642" w:firstLineChars="200"/>
        <w:outlineLvl w:val="1"/>
        <w:rPr>
          <w:rFonts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（一）基本情况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1</w:t>
      </w:r>
      <w:r>
        <w:rPr>
          <w:rFonts w:hint="eastAsia" w:eastAsia="仿宋_GB2312" w:cs="Times New Roman"/>
          <w:bCs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所属行业发展概况及绿色设计推行情况；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2</w:t>
      </w:r>
      <w:r>
        <w:rPr>
          <w:rFonts w:hint="eastAsia" w:eastAsia="仿宋_GB2312" w:cs="Times New Roman"/>
          <w:bCs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申报企业发展概况及绿色设计推行情况。</w:t>
      </w:r>
    </w:p>
    <w:p>
      <w:pPr>
        <w:ind w:firstLine="642" w:firstLineChars="200"/>
        <w:outlineLvl w:val="1"/>
        <w:rPr>
          <w:rFonts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（二）指标符合情况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1</w:t>
      </w:r>
      <w:r>
        <w:rPr>
          <w:rFonts w:hint="eastAsia" w:eastAsia="仿宋_GB2312" w:cs="Times New Roman"/>
          <w:bCs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详细说明综合水平评价情况；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2</w:t>
      </w:r>
      <w:r>
        <w:rPr>
          <w:rFonts w:hint="eastAsia" w:eastAsia="仿宋_GB2312" w:cs="Times New Roman"/>
          <w:bCs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详细说明绿色设计专项水平评价情况。</w:t>
      </w:r>
    </w:p>
    <w:p>
      <w:pPr>
        <w:ind w:firstLine="642" w:firstLineChars="200"/>
        <w:outlineLvl w:val="1"/>
        <w:rPr>
          <w:rFonts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（三）绿色设计亮点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</w:pPr>
      <w:r>
        <w:rPr>
          <w:rFonts w:hint="eastAsia" w:eastAsia="仿宋_GB2312" w:cs="Times New Roman"/>
          <w:bCs/>
          <w:sz w:val="32"/>
          <w:szCs w:val="32"/>
          <w:lang w:val="en-US" w:eastAsia="zh-CN"/>
        </w:rPr>
        <w:t>1</w:t>
      </w:r>
      <w:r>
        <w:rPr>
          <w:rFonts w:hint="eastAsia" w:eastAsia="仿宋_GB2312" w:cs="Times New Roman"/>
          <w:bCs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企业贯彻落实绿色设计理念和低碳发展要求的做法，开展产品生命周期碳足迹、水足迹和环境影响分析评价</w:t>
      </w:r>
      <w:r>
        <w:rPr>
          <w:rFonts w:hint="eastAsia" w:eastAsia="仿宋_GB2312" w:cs="Times New Roman"/>
          <w:bCs/>
          <w:sz w:val="32"/>
          <w:szCs w:val="32"/>
          <w:lang w:eastAsia="zh-CN"/>
        </w:rPr>
        <w:t>，应用评价结果制定企业绿色低碳发展战略及产品绿色化措施；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eastAsia="仿宋_GB2312" w:cs="Times New Roman"/>
          <w:bCs/>
          <w:sz w:val="32"/>
          <w:szCs w:val="32"/>
          <w:lang w:val="en-US" w:eastAsia="zh-CN"/>
        </w:rPr>
        <w:t>2、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企业绿色设计技术创新的经验和成效，</w:t>
      </w:r>
      <w:r>
        <w:rPr>
          <w:rFonts w:hint="eastAsia" w:eastAsia="仿宋_GB2312" w:cs="Times New Roman"/>
          <w:bCs/>
          <w:sz w:val="32"/>
          <w:szCs w:val="32"/>
          <w:lang w:eastAsia="zh-CN"/>
        </w:rPr>
        <w:t>加强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产品设计研发机构和专业团队建设</w:t>
      </w:r>
      <w:r>
        <w:rPr>
          <w:rFonts w:hint="eastAsia" w:eastAsia="仿宋_GB2312" w:cs="Times New Roman"/>
          <w:bCs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应用绿色设计基础数据库及先进设计工具与方法，</w:t>
      </w:r>
      <w:r>
        <w:rPr>
          <w:rFonts w:hint="eastAsia" w:eastAsia="仿宋_GB2312" w:cs="Times New Roman"/>
          <w:bCs/>
          <w:sz w:val="32"/>
          <w:szCs w:val="32"/>
          <w:lang w:eastAsia="zh-CN"/>
        </w:rPr>
        <w:t>应用</w:t>
      </w:r>
      <w:r>
        <w:rPr>
          <w:rFonts w:hint="eastAsia" w:eastAsia="仿宋_GB2312"/>
          <w:bCs/>
          <w:sz w:val="32"/>
          <w:szCs w:val="32"/>
        </w:rPr>
        <w:t>数字化、低碳化、轻量化、循环化、模块化、集成化、设计制造一体化等方面</w:t>
      </w:r>
      <w:r>
        <w:rPr>
          <w:rFonts w:hint="eastAsia" w:eastAsia="仿宋_GB2312"/>
          <w:bCs/>
          <w:sz w:val="32"/>
          <w:szCs w:val="32"/>
          <w:lang w:eastAsia="zh-CN"/>
        </w:rPr>
        <w:t>绿色设计关键技术，开发高性能、高质量的绿色低碳环保产品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；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3</w:t>
      </w:r>
      <w:r>
        <w:rPr>
          <w:rFonts w:hint="eastAsia" w:eastAsia="仿宋_GB2312" w:cs="Times New Roman"/>
          <w:bCs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绿色产品推广</w:t>
      </w:r>
      <w:r>
        <w:rPr>
          <w:rFonts w:hint="eastAsia" w:eastAsia="仿宋_GB2312" w:cs="Times New Roman"/>
          <w:bCs/>
          <w:sz w:val="32"/>
          <w:szCs w:val="32"/>
          <w:lang w:eastAsia="zh-CN"/>
        </w:rPr>
        <w:t>做法和成效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，参与制定绿色产品相关的技术规范、标准或政策，绿色产品在产品结构中</w:t>
      </w:r>
      <w:r>
        <w:rPr>
          <w:rFonts w:hint="eastAsia" w:eastAsia="仿宋_GB2312" w:cs="Times New Roman"/>
          <w:bCs/>
          <w:sz w:val="32"/>
          <w:szCs w:val="32"/>
          <w:lang w:eastAsia="zh-CN"/>
        </w:rPr>
        <w:t>比重、销量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及产值情况，</w:t>
      </w:r>
      <w:r>
        <w:rPr>
          <w:rFonts w:hint="eastAsia" w:eastAsia="仿宋_GB2312" w:cs="Times New Roman"/>
          <w:bCs/>
          <w:sz w:val="32"/>
          <w:szCs w:val="32"/>
          <w:lang w:eastAsia="zh-CN"/>
        </w:rPr>
        <w:t>绿色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品牌培育和发展经验。</w:t>
      </w:r>
    </w:p>
    <w:p>
      <w:pPr>
        <w:ind w:firstLine="642" w:firstLineChars="200"/>
        <w:outlineLvl w:val="1"/>
        <w:rPr>
          <w:rFonts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（四）问题与建议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总结行业或自身存在的问题，提出相关建议。</w:t>
      </w:r>
    </w:p>
    <w:p>
      <w:pPr>
        <w:ind w:firstLine="640" w:firstLineChars="200"/>
        <w:outlineLvl w:val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四、证明材料</w:t>
      </w:r>
      <w:r>
        <w:rPr>
          <w:rFonts w:ascii="Times New Roman" w:hAnsi="Times New Roman" w:eastAsia="黑体" w:cs="Times New Roman"/>
          <w:sz w:val="32"/>
          <w:szCs w:val="32"/>
        </w:rPr>
        <w:t>清单</w:t>
      </w: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（一）申报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企业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营业执照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复印件（加盖公章）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；</w:t>
      </w: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（二）申报企业自评价证明材料；</w:t>
      </w: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（三）与本次申报相关的其他材料。</w:t>
      </w:r>
    </w:p>
    <w:p>
      <w:pPr>
        <w:spacing w:line="360" w:lineRule="auto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sz w:val="32"/>
          <w:szCs w:val="32"/>
        </w:rPr>
        <w:t>五</w:t>
      </w:r>
      <w:r>
        <w:rPr>
          <w:rFonts w:ascii="Times New Roman" w:hAnsi="Times New Roman" w:eastAsia="黑体" w:cs="Times New Roman"/>
          <w:sz w:val="32"/>
          <w:szCs w:val="32"/>
        </w:rPr>
        <w:t>、承诺说明</w:t>
      </w:r>
    </w:p>
    <w:tbl>
      <w:tblPr>
        <w:tblStyle w:val="9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8" w:hRule="atLeast"/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60" w:lineRule="auto"/>
              <w:ind w:firstLine="640" w:firstLineChars="200"/>
              <w:rPr>
                <w:rFonts w:ascii="Times New Roman" w:hAnsi="Times New Roman" w:eastAsia="仿宋_GB2312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</w:rPr>
              <w:t>我单位自愿申报工业产品绿色设计示范企业，并郑重承诺本次申报所提交的相关数据和信息均真实、有效，愿接受并积极配合主管部门的监督抽查和核验。如有违反，愿承担由此产生的相应责任。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60" w:lineRule="auto"/>
              <w:ind w:firstLine="4480" w:firstLineChars="1400"/>
              <w:rPr>
                <w:rFonts w:ascii="Times New Roman" w:hAnsi="Times New Roman" w:eastAsia="仿宋_GB2312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</w:rPr>
              <w:t>负责人签字：</w:t>
            </w:r>
          </w:p>
          <w:p>
            <w:pPr>
              <w:spacing w:line="360" w:lineRule="auto"/>
              <w:ind w:firstLine="640" w:firstLineChars="200"/>
              <w:rPr>
                <w:rFonts w:ascii="Times New Roman" w:hAnsi="Times New Roman" w:eastAsia="仿宋_GB2312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bCs/>
                <w:sz w:val="32"/>
                <w:szCs w:val="32"/>
              </w:rPr>
              <w:t xml:space="preserve">              </w:t>
            </w: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</w:rPr>
              <w:t xml:space="preserve">    （公章）</w:t>
            </w:r>
          </w:p>
          <w:p>
            <w:pPr>
              <w:spacing w:line="360" w:lineRule="auto"/>
              <w:ind w:firstLine="640" w:firstLineChars="200"/>
              <w:rPr>
                <w:rFonts w:ascii="Times New Roman" w:hAnsi="Times New Roman" w:eastAsia="仿宋_GB2312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</w:rPr>
              <w:t xml:space="preserve">                                年   月   日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>
      <w:pPr>
        <w:ind w:firstLine="640" w:firstLineChars="200"/>
        <w:outlineLvl w:val="0"/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pacing w:after="0"/>
        <w:rPr>
          <w:rFonts w:ascii="Times New Roman" w:hAnsi="Times New Roman" w:cs="Times New Roman"/>
        </w:rPr>
      </w:pPr>
    </w:p>
    <w:p/>
    <w:sectPr>
      <w:footerReference r:id="rId3" w:type="default"/>
      <w:pgSz w:w="11906" w:h="16838"/>
      <w:pgMar w:top="1757" w:right="1531" w:bottom="1757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14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BYAAABkcnMvUEsBAhQAFAAAAAgAh07iQO9sZGvRAAAAAgEAAA8AAAAAAAAAAQAgAAAAOAAAAGRy&#10;cy9kb3ducmV2LnhtbFBLAQIUABQAAAAIAIdO4kAjmDfovQEAAFcDAAAOAAAAAAAAAAEAIAAAADYB&#10;AABkcnMvZTJvRG9jLnhtbFBLBQYAAAAABgAGAFkBAAB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14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trackRevisions w:val="true"/>
  <w:documentProtection w:enforcement="0"/>
  <w:defaultTabStop w:val="420"/>
  <w:hyphenationZone w:val="360"/>
  <w:drawingGridVerticalSpacing w:val="158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760"/>
    <w:rsid w:val="00003712"/>
    <w:rsid w:val="0000700C"/>
    <w:rsid w:val="00067FD9"/>
    <w:rsid w:val="000C49E7"/>
    <w:rsid w:val="00127B3B"/>
    <w:rsid w:val="00151F51"/>
    <w:rsid w:val="00172187"/>
    <w:rsid w:val="001C13DB"/>
    <w:rsid w:val="00223E55"/>
    <w:rsid w:val="002537DE"/>
    <w:rsid w:val="00254CCC"/>
    <w:rsid w:val="00266BD2"/>
    <w:rsid w:val="00295714"/>
    <w:rsid w:val="002A035B"/>
    <w:rsid w:val="002A3EBF"/>
    <w:rsid w:val="002B2D5B"/>
    <w:rsid w:val="002C5510"/>
    <w:rsid w:val="002D5797"/>
    <w:rsid w:val="00350418"/>
    <w:rsid w:val="00360949"/>
    <w:rsid w:val="003C1025"/>
    <w:rsid w:val="003C1434"/>
    <w:rsid w:val="003D42FD"/>
    <w:rsid w:val="003E03C4"/>
    <w:rsid w:val="003F3A18"/>
    <w:rsid w:val="00454F4E"/>
    <w:rsid w:val="004C6FF4"/>
    <w:rsid w:val="0050395D"/>
    <w:rsid w:val="00512FF6"/>
    <w:rsid w:val="005531F2"/>
    <w:rsid w:val="005633BF"/>
    <w:rsid w:val="00570805"/>
    <w:rsid w:val="005D4C75"/>
    <w:rsid w:val="005E2BA2"/>
    <w:rsid w:val="00601C65"/>
    <w:rsid w:val="00624448"/>
    <w:rsid w:val="006274EC"/>
    <w:rsid w:val="00651D27"/>
    <w:rsid w:val="00683163"/>
    <w:rsid w:val="006A4A35"/>
    <w:rsid w:val="006C19B2"/>
    <w:rsid w:val="00710652"/>
    <w:rsid w:val="0072173E"/>
    <w:rsid w:val="00736D01"/>
    <w:rsid w:val="00781333"/>
    <w:rsid w:val="007B4441"/>
    <w:rsid w:val="007F3554"/>
    <w:rsid w:val="008072D5"/>
    <w:rsid w:val="00854F7E"/>
    <w:rsid w:val="00890886"/>
    <w:rsid w:val="008A5EC2"/>
    <w:rsid w:val="008C1760"/>
    <w:rsid w:val="008C5CCF"/>
    <w:rsid w:val="008E5495"/>
    <w:rsid w:val="008F5ECE"/>
    <w:rsid w:val="00905DB8"/>
    <w:rsid w:val="00924D3E"/>
    <w:rsid w:val="009363D2"/>
    <w:rsid w:val="00991954"/>
    <w:rsid w:val="009D0720"/>
    <w:rsid w:val="00A262B1"/>
    <w:rsid w:val="00A27567"/>
    <w:rsid w:val="00A4611F"/>
    <w:rsid w:val="00A52267"/>
    <w:rsid w:val="00A60EFB"/>
    <w:rsid w:val="00AA76EC"/>
    <w:rsid w:val="00AB21AD"/>
    <w:rsid w:val="00AE5271"/>
    <w:rsid w:val="00AF3D4B"/>
    <w:rsid w:val="00AF4DD7"/>
    <w:rsid w:val="00AF620C"/>
    <w:rsid w:val="00AF6EEE"/>
    <w:rsid w:val="00B16BD8"/>
    <w:rsid w:val="00B617D6"/>
    <w:rsid w:val="00B757E1"/>
    <w:rsid w:val="00B75EF4"/>
    <w:rsid w:val="00BA01E0"/>
    <w:rsid w:val="00BB652E"/>
    <w:rsid w:val="00C14B59"/>
    <w:rsid w:val="00C238D3"/>
    <w:rsid w:val="00C6594E"/>
    <w:rsid w:val="00C6732D"/>
    <w:rsid w:val="00C733C3"/>
    <w:rsid w:val="00CA0E51"/>
    <w:rsid w:val="00CF7AC2"/>
    <w:rsid w:val="00D134B0"/>
    <w:rsid w:val="00D40C7B"/>
    <w:rsid w:val="00D55EB1"/>
    <w:rsid w:val="00D57EE5"/>
    <w:rsid w:val="00D7777C"/>
    <w:rsid w:val="00DD7B34"/>
    <w:rsid w:val="00E54301"/>
    <w:rsid w:val="00E54764"/>
    <w:rsid w:val="00E777AE"/>
    <w:rsid w:val="00EB27AE"/>
    <w:rsid w:val="00EC0400"/>
    <w:rsid w:val="00EC52DD"/>
    <w:rsid w:val="00F02AA3"/>
    <w:rsid w:val="00F07D88"/>
    <w:rsid w:val="00F838AC"/>
    <w:rsid w:val="00F932CF"/>
    <w:rsid w:val="00FB6556"/>
    <w:rsid w:val="055C56C5"/>
    <w:rsid w:val="06213D7B"/>
    <w:rsid w:val="093733C9"/>
    <w:rsid w:val="094A7B7A"/>
    <w:rsid w:val="0E645301"/>
    <w:rsid w:val="12836145"/>
    <w:rsid w:val="13305F7C"/>
    <w:rsid w:val="13E33455"/>
    <w:rsid w:val="14F926F4"/>
    <w:rsid w:val="160101E2"/>
    <w:rsid w:val="176B67B6"/>
    <w:rsid w:val="1B48372E"/>
    <w:rsid w:val="1B7B3891"/>
    <w:rsid w:val="1D6A3F68"/>
    <w:rsid w:val="1FEFE89E"/>
    <w:rsid w:val="21F89B75"/>
    <w:rsid w:val="226E2973"/>
    <w:rsid w:val="23593975"/>
    <w:rsid w:val="240A246A"/>
    <w:rsid w:val="24992335"/>
    <w:rsid w:val="262A5235"/>
    <w:rsid w:val="270377B6"/>
    <w:rsid w:val="2B715282"/>
    <w:rsid w:val="2FFD404E"/>
    <w:rsid w:val="306D3930"/>
    <w:rsid w:val="308A4546"/>
    <w:rsid w:val="332227B7"/>
    <w:rsid w:val="3344434F"/>
    <w:rsid w:val="334B17A0"/>
    <w:rsid w:val="33640F37"/>
    <w:rsid w:val="345361E1"/>
    <w:rsid w:val="34932FAD"/>
    <w:rsid w:val="35B448A7"/>
    <w:rsid w:val="362F5B1E"/>
    <w:rsid w:val="368863EC"/>
    <w:rsid w:val="383C15A6"/>
    <w:rsid w:val="390A6FC2"/>
    <w:rsid w:val="3CA12E84"/>
    <w:rsid w:val="3D265393"/>
    <w:rsid w:val="3D5D7CE5"/>
    <w:rsid w:val="3DD77F4E"/>
    <w:rsid w:val="3DDA082B"/>
    <w:rsid w:val="3E72679E"/>
    <w:rsid w:val="3EAF0D99"/>
    <w:rsid w:val="3F2FCF73"/>
    <w:rsid w:val="40836463"/>
    <w:rsid w:val="443B2D8A"/>
    <w:rsid w:val="470152B5"/>
    <w:rsid w:val="47525B10"/>
    <w:rsid w:val="4B745FC3"/>
    <w:rsid w:val="520C0DB0"/>
    <w:rsid w:val="534B8EB1"/>
    <w:rsid w:val="55377E40"/>
    <w:rsid w:val="56F275D1"/>
    <w:rsid w:val="57FC4A90"/>
    <w:rsid w:val="5A165155"/>
    <w:rsid w:val="5A4F212E"/>
    <w:rsid w:val="5ABF5003"/>
    <w:rsid w:val="5C48279E"/>
    <w:rsid w:val="5D3E2E4D"/>
    <w:rsid w:val="5DF182D7"/>
    <w:rsid w:val="5E34342E"/>
    <w:rsid w:val="5EF835E3"/>
    <w:rsid w:val="5F2ED7B1"/>
    <w:rsid w:val="5FFE557A"/>
    <w:rsid w:val="60D051C0"/>
    <w:rsid w:val="665E0CC7"/>
    <w:rsid w:val="68D7589B"/>
    <w:rsid w:val="6BFB6B11"/>
    <w:rsid w:val="6DF928C3"/>
    <w:rsid w:val="6E2E4332"/>
    <w:rsid w:val="6FD701F6"/>
    <w:rsid w:val="6FDF66C9"/>
    <w:rsid w:val="6FE416D5"/>
    <w:rsid w:val="6FEECB73"/>
    <w:rsid w:val="700C06A3"/>
    <w:rsid w:val="71849950"/>
    <w:rsid w:val="722A7E62"/>
    <w:rsid w:val="737D4D48"/>
    <w:rsid w:val="743D2289"/>
    <w:rsid w:val="76AC4C13"/>
    <w:rsid w:val="77B76BBB"/>
    <w:rsid w:val="786372CE"/>
    <w:rsid w:val="78EF0A05"/>
    <w:rsid w:val="7BBF0254"/>
    <w:rsid w:val="7BCD2CB7"/>
    <w:rsid w:val="7BEF0B29"/>
    <w:rsid w:val="7BFF2EF3"/>
    <w:rsid w:val="7D900B44"/>
    <w:rsid w:val="7DB36601"/>
    <w:rsid w:val="7DEBAAAF"/>
    <w:rsid w:val="7DFFE7C2"/>
    <w:rsid w:val="7E7BABA4"/>
    <w:rsid w:val="7F5E7F44"/>
    <w:rsid w:val="7FD62BB8"/>
    <w:rsid w:val="9FFA3DA6"/>
    <w:rsid w:val="A97C9DE4"/>
    <w:rsid w:val="BBEF3439"/>
    <w:rsid w:val="BFDF7571"/>
    <w:rsid w:val="CBD8E6F3"/>
    <w:rsid w:val="CCCFC3F1"/>
    <w:rsid w:val="DBD7BF26"/>
    <w:rsid w:val="DE9F821C"/>
    <w:rsid w:val="DFFF3129"/>
    <w:rsid w:val="EFFB8060"/>
    <w:rsid w:val="F36E7CEC"/>
    <w:rsid w:val="F7A6CFA0"/>
    <w:rsid w:val="F7DDCFD2"/>
    <w:rsid w:val="FBD11344"/>
    <w:rsid w:val="FDF7217A"/>
    <w:rsid w:val="FE9D9D9E"/>
    <w:rsid w:val="FEAF08D0"/>
    <w:rsid w:val="FF6F354F"/>
    <w:rsid w:val="FF76C0E6"/>
    <w:rsid w:val="FFAB2B53"/>
    <w:rsid w:val="FFBD23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annotation subject"/>
    <w:basedOn w:val="3"/>
    <w:next w:val="3"/>
    <w:link w:val="16"/>
    <w:qFormat/>
    <w:uiPriority w:val="0"/>
    <w:rPr>
      <w:b/>
      <w:bCs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qFormat/>
    <w:uiPriority w:val="0"/>
    <w:rPr>
      <w:sz w:val="21"/>
      <w:szCs w:val="21"/>
    </w:rPr>
  </w:style>
  <w:style w:type="paragraph" w:customStyle="1" w:styleId="13">
    <w:name w:val="_Style 12"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批注文字 字符"/>
    <w:link w:val="3"/>
    <w:qFormat/>
    <w:uiPriority w:val="0"/>
    <w:rPr>
      <w:kern w:val="2"/>
      <w:sz w:val="21"/>
      <w:szCs w:val="22"/>
    </w:rPr>
  </w:style>
  <w:style w:type="character" w:customStyle="1" w:styleId="15">
    <w:name w:val="批注框文本 字符"/>
    <w:link w:val="4"/>
    <w:qFormat/>
    <w:uiPriority w:val="0"/>
    <w:rPr>
      <w:kern w:val="2"/>
      <w:sz w:val="18"/>
      <w:szCs w:val="18"/>
    </w:rPr>
  </w:style>
  <w:style w:type="character" w:customStyle="1" w:styleId="16">
    <w:name w:val="批注主题 字符"/>
    <w:link w:val="8"/>
    <w:qFormat/>
    <w:uiPriority w:val="0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922</Words>
  <Characters>5258</Characters>
  <Lines>43</Lines>
  <Paragraphs>12</Paragraphs>
  <TotalTime>9</TotalTime>
  <ScaleCrop>false</ScaleCrop>
  <LinksUpToDate>false</LinksUpToDate>
  <CharactersWithSpaces>6168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2021-03-01T14:40:00Z</dcterms:created>
  <dc:creator>kylin</dc:creator>
  <cp:lastModifiedBy>kylin</cp:lastModifiedBy>
  <cp:lastPrinted>2022-04-22T18:51:00Z</cp:lastPrinted>
  <dcterms:modified xsi:type="dcterms:W3CDTF">2022-04-26T10:52:11Z</dcterms:modified>
  <dc:title>为贯彻落实新发展理念，加快推行绿色设计，促进制造业高质量发展，推动环境保护和生态文明建设，现组织开展第二批工业产品绿色示范企业推荐工作。有关事项通知如下：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  <property fmtid="{D5CDD505-2E9C-101B-9397-08002B2CF9AE}" pid="3" name="ICV">
    <vt:lpwstr>06A8442FFF324B2AB7E8ADAF3376DB84</vt:lpwstr>
  </property>
</Properties>
</file>