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60" w:line="480" w:lineRule="atLeast"/>
        <w:jc w:val="center"/>
        <w:rPr>
          <w:rFonts w:ascii="Arial" w:hAnsi="Arial" w:eastAsia="宋体" w:cs="Arial"/>
          <w:kern w:val="0"/>
          <w:sz w:val="40"/>
          <w:szCs w:val="40"/>
        </w:rPr>
      </w:pPr>
      <w:r>
        <w:rPr>
          <w:rFonts w:ascii="Arial" w:hAnsi="Arial" w:eastAsia="宋体" w:cs="Arial"/>
          <w:b/>
          <w:bCs/>
          <w:kern w:val="0"/>
          <w:sz w:val="40"/>
          <w:szCs w:val="40"/>
        </w:rPr>
        <w:t>五华县退役军人事务局202</w:t>
      </w:r>
      <w:r>
        <w:rPr>
          <w:rFonts w:hint="eastAsia" w:ascii="Arial" w:hAnsi="Arial" w:eastAsia="宋体" w:cs="Arial"/>
          <w:b/>
          <w:bCs/>
          <w:kern w:val="0"/>
          <w:sz w:val="40"/>
          <w:szCs w:val="40"/>
        </w:rPr>
        <w:t>1</w:t>
      </w:r>
      <w:r>
        <w:rPr>
          <w:rFonts w:ascii="Arial" w:hAnsi="Arial" w:eastAsia="宋体" w:cs="Arial"/>
          <w:b/>
          <w:bCs/>
          <w:kern w:val="0"/>
          <w:sz w:val="40"/>
          <w:szCs w:val="40"/>
        </w:rPr>
        <w:t>年政府信息公开工作年度报告</w:t>
      </w:r>
    </w:p>
    <w:p>
      <w:pPr>
        <w:pStyle w:val="4"/>
        <w:spacing w:line="480" w:lineRule="atLeast"/>
        <w:rPr>
          <w:rFonts w:ascii="Arial" w:hAnsi="Arial" w:cs="Arial"/>
          <w:sz w:val="19"/>
          <w:szCs w:val="19"/>
        </w:rPr>
      </w:pPr>
      <w:r>
        <w:rPr>
          <w:rFonts w:ascii="Arial" w:hAnsi="Arial" w:cs="Arial"/>
          <w:sz w:val="19"/>
          <w:szCs w:val="19"/>
        </w:rPr>
        <w:t>　　</w:t>
      </w:r>
      <w:r>
        <w:rPr>
          <w:rStyle w:val="7"/>
          <w:rFonts w:ascii="Arial" w:hAnsi="Arial" w:cs="Arial"/>
        </w:rPr>
        <w:t>一、总体情况</w:t>
      </w:r>
    </w:p>
    <w:p>
      <w:pPr>
        <w:pStyle w:val="4"/>
        <w:spacing w:line="480" w:lineRule="atLeast"/>
        <w:rPr>
          <w:rFonts w:ascii="Arial" w:hAnsi="Arial" w:cs="Arial"/>
          <w:sz w:val="19"/>
          <w:szCs w:val="19"/>
        </w:rPr>
      </w:pPr>
      <w:r>
        <w:rPr>
          <w:rFonts w:ascii="Arial" w:hAnsi="Arial" w:cs="Arial"/>
          <w:sz w:val="19"/>
          <w:szCs w:val="19"/>
        </w:rPr>
        <w:t>　　</w:t>
      </w:r>
      <w:r>
        <w:rPr>
          <w:rFonts w:ascii="Arial" w:hAnsi="Arial" w:cs="Arial"/>
        </w:rPr>
        <w:t>我局领导班子高度重视政府信息公开工作，将其作为一项重要任务来抓，严格按照中央、省和市关于政府信息公开工作的部署，积极开展政府信息公开工作，提高政府工作透明度，严格按照“公开为原则，不公开为例外”的总体要求，主动、及时公开本部门政府信息，确保政府信息公开工作有序开展。</w:t>
      </w:r>
    </w:p>
    <w:p>
      <w:pPr>
        <w:pStyle w:val="4"/>
        <w:spacing w:line="480" w:lineRule="atLeast"/>
        <w:rPr>
          <w:rFonts w:ascii="Arial" w:hAnsi="Arial" w:cs="Arial"/>
          <w:sz w:val="19"/>
          <w:szCs w:val="19"/>
        </w:rPr>
      </w:pPr>
      <w:r>
        <w:rPr>
          <w:rFonts w:ascii="Arial" w:hAnsi="Arial" w:cs="Arial"/>
          <w:sz w:val="19"/>
          <w:szCs w:val="19"/>
        </w:rPr>
        <w:t>　　</w:t>
      </w:r>
      <w:r>
        <w:rPr>
          <w:rStyle w:val="7"/>
          <w:rFonts w:ascii="Arial" w:hAnsi="Arial" w:cs="Arial"/>
        </w:rPr>
        <w:t>（一）主动公开方面。</w:t>
      </w:r>
      <w:r>
        <w:rPr>
          <w:rFonts w:ascii="Arial" w:hAnsi="Arial" w:cs="Arial"/>
        </w:rPr>
        <w:t>202</w:t>
      </w:r>
      <w:r>
        <w:rPr>
          <w:rFonts w:hint="eastAsia" w:ascii="Arial" w:hAnsi="Arial" w:cs="Arial"/>
        </w:rPr>
        <w:t>1</w:t>
      </w:r>
      <w:r>
        <w:rPr>
          <w:rFonts w:ascii="Arial" w:hAnsi="Arial" w:cs="Arial"/>
        </w:rPr>
        <w:t>年，我局在单位网页频道和县政府信息公开目录系统上主动发布工作动态、部门文件、政府信息公开工作年度报告、部门预决算和“三公”经费预决算等相关信息</w:t>
      </w:r>
      <w:r>
        <w:rPr>
          <w:rFonts w:hint="eastAsia" w:ascii="Arial" w:hAnsi="Arial" w:cs="Arial"/>
        </w:rPr>
        <w:t>110</w:t>
      </w:r>
      <w:r>
        <w:rPr>
          <w:rFonts w:ascii="Arial" w:hAnsi="Arial" w:cs="Arial"/>
        </w:rPr>
        <w:t>篇，其中，工作动态类信息</w:t>
      </w:r>
      <w:r>
        <w:rPr>
          <w:rFonts w:hint="eastAsia" w:ascii="Arial" w:hAnsi="Arial" w:cs="Arial"/>
        </w:rPr>
        <w:t>104</w:t>
      </w:r>
      <w:r>
        <w:rPr>
          <w:rFonts w:ascii="Arial" w:hAnsi="Arial" w:cs="Arial"/>
        </w:rPr>
        <w:t>篇、部门文件</w:t>
      </w:r>
      <w:r>
        <w:rPr>
          <w:rFonts w:hint="eastAsia" w:ascii="Arial" w:hAnsi="Arial" w:cs="Arial"/>
        </w:rPr>
        <w:t>3</w:t>
      </w:r>
      <w:r>
        <w:rPr>
          <w:rFonts w:ascii="Arial" w:hAnsi="Arial" w:cs="Arial"/>
        </w:rPr>
        <w:t>份、信息公开工作年度报告2篇、部门预决算和“三公”经费预决算</w:t>
      </w:r>
      <w:r>
        <w:rPr>
          <w:rFonts w:hint="eastAsia" w:ascii="Arial" w:hAnsi="Arial" w:cs="Arial"/>
        </w:rPr>
        <w:t>1</w:t>
      </w:r>
      <w:r>
        <w:rPr>
          <w:rFonts w:ascii="Arial" w:hAnsi="Arial" w:cs="Arial"/>
        </w:rPr>
        <w:t>篇。</w:t>
      </w:r>
    </w:p>
    <w:p>
      <w:pPr>
        <w:pStyle w:val="4"/>
        <w:spacing w:line="480" w:lineRule="atLeast"/>
        <w:rPr>
          <w:rFonts w:ascii="Arial" w:hAnsi="Arial" w:cs="Arial"/>
          <w:sz w:val="19"/>
          <w:szCs w:val="19"/>
        </w:rPr>
      </w:pPr>
      <w:r>
        <w:rPr>
          <w:rFonts w:ascii="Arial" w:hAnsi="Arial" w:cs="Arial"/>
          <w:sz w:val="19"/>
          <w:szCs w:val="19"/>
        </w:rPr>
        <w:t>　　</w:t>
      </w:r>
      <w:r>
        <w:rPr>
          <w:rStyle w:val="7"/>
          <w:rFonts w:ascii="Arial" w:hAnsi="Arial" w:cs="Arial"/>
        </w:rPr>
        <w:t>（二）依申请公开方面。</w:t>
      </w:r>
      <w:r>
        <w:rPr>
          <w:rFonts w:ascii="Arial" w:hAnsi="Arial" w:cs="Arial"/>
        </w:rPr>
        <w:t>我局严格按照《政府信息公开条例》《广东省政府信息公开申请办理答复规范》等文件规定，依法依规妥善办理政府信息公开申请。202</w:t>
      </w:r>
      <w:r>
        <w:rPr>
          <w:rFonts w:hint="eastAsia" w:ascii="Arial" w:hAnsi="Arial" w:cs="Arial"/>
        </w:rPr>
        <w:t>1</w:t>
      </w:r>
      <w:r>
        <w:rPr>
          <w:rFonts w:ascii="Arial" w:hAnsi="Arial" w:cs="Arial"/>
        </w:rPr>
        <w:t>年，我局未收到任何书面或其它形式要求公开政府信息的申请，没有不予公开的政府信息。</w:t>
      </w:r>
    </w:p>
    <w:p>
      <w:pPr>
        <w:pStyle w:val="4"/>
        <w:spacing w:line="480" w:lineRule="atLeast"/>
        <w:rPr>
          <w:rFonts w:ascii="Arial" w:hAnsi="Arial" w:cs="Arial"/>
          <w:sz w:val="19"/>
          <w:szCs w:val="19"/>
        </w:rPr>
      </w:pPr>
      <w:r>
        <w:rPr>
          <w:rFonts w:ascii="Arial" w:hAnsi="Arial" w:cs="Arial"/>
          <w:sz w:val="19"/>
          <w:szCs w:val="19"/>
        </w:rPr>
        <w:t>　　</w:t>
      </w:r>
      <w:r>
        <w:rPr>
          <w:rStyle w:val="7"/>
          <w:rFonts w:ascii="Arial" w:hAnsi="Arial" w:cs="Arial"/>
        </w:rPr>
        <w:t>（三）政府信息管理方面。</w:t>
      </w:r>
      <w:r>
        <w:rPr>
          <w:rFonts w:ascii="Arial" w:hAnsi="Arial" w:cs="Arial"/>
        </w:rPr>
        <w:t>严格按照主动公开类政府信息的种类、时限、保密审查程序，依申请公开办理的程序和办法等要求，切实规范开展政务公开工作。</w:t>
      </w:r>
    </w:p>
    <w:p>
      <w:pPr>
        <w:pStyle w:val="4"/>
        <w:spacing w:line="480" w:lineRule="atLeast"/>
        <w:rPr>
          <w:rFonts w:ascii="Arial" w:hAnsi="Arial" w:cs="Arial"/>
          <w:sz w:val="19"/>
          <w:szCs w:val="19"/>
        </w:rPr>
      </w:pPr>
      <w:r>
        <w:rPr>
          <w:rFonts w:ascii="Arial" w:hAnsi="Arial" w:cs="Arial"/>
          <w:sz w:val="19"/>
          <w:szCs w:val="19"/>
        </w:rPr>
        <w:t>　　</w:t>
      </w:r>
      <w:r>
        <w:rPr>
          <w:rStyle w:val="7"/>
          <w:rFonts w:ascii="Arial" w:hAnsi="Arial" w:cs="Arial"/>
        </w:rPr>
        <w:t>（四）平台建设方面。</w:t>
      </w:r>
      <w:r>
        <w:rPr>
          <w:rFonts w:ascii="Arial" w:hAnsi="Arial" w:cs="Arial"/>
        </w:rPr>
        <w:t>对照我局职能，不断完善局门户网站功能，便于社会公众查询。按照有关要求对网上办事指南进行更新，优化了服务事项实施清单并与政府网站栏目进行对接，使退役军人来我局办事流程更清晰、办事渠道更丰富，提升退役军人获得感。</w:t>
      </w:r>
    </w:p>
    <w:p>
      <w:pPr>
        <w:pStyle w:val="4"/>
        <w:spacing w:line="480" w:lineRule="atLeast"/>
        <w:rPr>
          <w:rFonts w:ascii="Arial" w:hAnsi="Arial" w:cs="Arial"/>
          <w:sz w:val="19"/>
          <w:szCs w:val="19"/>
        </w:rPr>
      </w:pPr>
      <w:r>
        <w:rPr>
          <w:rFonts w:ascii="Arial" w:hAnsi="Arial" w:cs="Arial"/>
        </w:rPr>
        <w:t>　　</w:t>
      </w:r>
      <w:r>
        <w:rPr>
          <w:rStyle w:val="7"/>
          <w:rFonts w:ascii="Arial" w:hAnsi="Arial" w:cs="Arial"/>
        </w:rPr>
        <w:t>（五）解读回应方面。</w:t>
      </w:r>
      <w:r>
        <w:rPr>
          <w:rFonts w:ascii="Arial" w:hAnsi="Arial" w:cs="Arial"/>
        </w:rPr>
        <w:t>一是加大政策宣传，通过网站、微信、宣传栏、座谈会等多种方式，通过发布包括文字稿、图解等多种形式开展政策文件的解读工作，并关联相关政策文件。对社会普遍关心的就业创业，安置等问题，依托政府网站进行宣传，确保政策宣传到位。二是做好网民留言的答复工作，解决了基层干部和群众的许多痛点、难点问题。​</w:t>
      </w:r>
    </w:p>
    <w:p>
      <w:pPr>
        <w:pStyle w:val="4"/>
        <w:spacing w:line="480" w:lineRule="atLeast"/>
        <w:rPr>
          <w:rFonts w:ascii="Arial" w:hAnsi="Arial" w:cs="Arial"/>
          <w:sz w:val="19"/>
          <w:szCs w:val="19"/>
        </w:rPr>
      </w:pPr>
      <w:r>
        <w:rPr>
          <w:rFonts w:ascii="Arial" w:hAnsi="Arial" w:cs="Arial"/>
        </w:rPr>
        <w:t>　　</w:t>
      </w:r>
      <w:r>
        <w:rPr>
          <w:rStyle w:val="7"/>
          <w:rFonts w:ascii="Arial" w:hAnsi="Arial" w:cs="Arial"/>
        </w:rPr>
        <w:t>（六）监督保障方面。</w:t>
      </w:r>
      <w:r>
        <w:rPr>
          <w:rFonts w:ascii="Arial" w:hAnsi="Arial" w:cs="Arial"/>
        </w:rPr>
        <w:t>一是切实加强组织领导。成立以局长为组长的政府信息公开工作领导小组，将政府信息公开工作列入日常重点工作中，为政府信息公开工作长期有效开展提供了组织保障。局党组定期召开会议，专题研究政务公开工作，主要领导亲自部署政务公开工作的重要事项，确保信息公开工作有序开展。 </w:t>
      </w:r>
      <w:r>
        <w:rPr>
          <w:rStyle w:val="7"/>
          <w:rFonts w:ascii="Arial" w:hAnsi="Arial" w:cs="Arial"/>
          <w:b w:val="0"/>
          <w:bCs w:val="0"/>
        </w:rPr>
        <w:t>二是</w:t>
      </w:r>
      <w:r>
        <w:rPr>
          <w:rFonts w:ascii="Arial" w:hAnsi="Arial" w:cs="Arial"/>
        </w:rPr>
        <w:t>强化监督保障。召开专题会议研究部署政府政务工作，制定全局年度政务公开工作实施方案；定期督促检查各股室政务公开工作落实情况。</w:t>
      </w:r>
    </w:p>
    <w:p>
      <w:pPr>
        <w:widowControl/>
        <w:spacing w:before="60" w:line="480" w:lineRule="atLeast"/>
        <w:jc w:val="left"/>
        <w:rPr>
          <w:rFonts w:ascii="Arial" w:hAnsi="Arial" w:eastAsia="宋体" w:cs="Arial"/>
          <w:kern w:val="0"/>
          <w:sz w:val="19"/>
          <w:szCs w:val="19"/>
        </w:rPr>
      </w:pPr>
      <w:r>
        <w:rPr>
          <w:rFonts w:ascii="Arial" w:hAnsi="Arial" w:eastAsia="宋体" w:cs="Arial"/>
          <w:kern w:val="0"/>
          <w:sz w:val="19"/>
          <w:szCs w:val="19"/>
        </w:rPr>
        <w:t>　　</w:t>
      </w:r>
      <w:r>
        <w:rPr>
          <w:rFonts w:ascii="Arial" w:hAnsi="Arial" w:eastAsia="宋体" w:cs="Arial"/>
          <w:b/>
          <w:bCs/>
          <w:kern w:val="0"/>
          <w:sz w:val="24"/>
          <w:szCs w:val="24"/>
        </w:rPr>
        <w:t>二、主动公开政府信息情况</w:t>
      </w:r>
    </w:p>
    <w:tbl>
      <w:tblPr>
        <w:tblStyle w:val="5"/>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2130"/>
        <w:gridCol w:w="2130"/>
        <w:gridCol w:w="2130"/>
        <w:gridCol w:w="213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5000" w:type="pct"/>
            <w:gridSpan w:val="4"/>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第二十条第（一）项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信息内容</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本年新制作数量</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本年新公开数量</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对外公开总数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规章</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规范性文件</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816" w:type="dxa"/>
            <w:gridSpan w:val="4"/>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第二十条第（五）项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信息内容</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上一年项目数量</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本年增/减</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处理决定数量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行政许可</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其他对外管理</w:t>
            </w:r>
          </w:p>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服务事项</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hint="eastAsia" w:ascii="Arial" w:hAnsi="Arial" w:eastAsia="宋体" w:cs="Arial"/>
                <w:kern w:val="0"/>
                <w:sz w:val="19"/>
                <w:szCs w:val="19"/>
              </w:rPr>
              <w:t>28</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hint="eastAsia"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816" w:type="dxa"/>
            <w:gridSpan w:val="4"/>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第二十条第（六）项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信息内容</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上一年项目数量</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本年增/减</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处理决定数量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行政处罚</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行政强制</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816" w:type="dxa"/>
            <w:gridSpan w:val="4"/>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第二十条第（八）项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信息内容</w:t>
            </w:r>
          </w:p>
        </w:tc>
        <w:tc>
          <w:tcPr>
            <w:tcW w:w="3408" w:type="dxa"/>
            <w:gridSpan w:val="2"/>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上一年项目数量</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本年增/减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行政事业性收费</w:t>
            </w:r>
          </w:p>
        </w:tc>
        <w:tc>
          <w:tcPr>
            <w:tcW w:w="3408" w:type="dxa"/>
            <w:gridSpan w:val="2"/>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816" w:type="dxa"/>
            <w:gridSpan w:val="4"/>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第二十条第（九）项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信息内容</w:t>
            </w:r>
          </w:p>
        </w:tc>
        <w:tc>
          <w:tcPr>
            <w:tcW w:w="3408" w:type="dxa"/>
            <w:gridSpan w:val="2"/>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采购项目数量</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采购总金额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04"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政府集中采购</w:t>
            </w:r>
          </w:p>
        </w:tc>
        <w:tc>
          <w:tcPr>
            <w:tcW w:w="3408" w:type="dxa"/>
            <w:gridSpan w:val="2"/>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hint="eastAsia" w:ascii="Arial" w:hAnsi="Arial" w:eastAsia="宋体" w:cs="Arial"/>
                <w:kern w:val="0"/>
                <w:sz w:val="19"/>
                <w:szCs w:val="19"/>
              </w:rPr>
              <w:t>24</w:t>
            </w:r>
          </w:p>
        </w:tc>
        <w:tc>
          <w:tcPr>
            <w:tcW w:w="17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hint="eastAsia" w:ascii="Arial" w:hAnsi="Arial" w:eastAsia="宋体" w:cs="Arial"/>
                <w:kern w:val="0"/>
                <w:sz w:val="19"/>
                <w:szCs w:val="19"/>
              </w:rPr>
              <w:t>972881</w:t>
            </w:r>
            <w:r>
              <w:rPr>
                <w:rFonts w:hint="eastAsia"/>
              </w:rPr>
              <w:t>.</w:t>
            </w:r>
            <w:r>
              <w:rPr>
                <w:rFonts w:hint="eastAsia" w:ascii="Arial" w:hAnsi="Arial" w:eastAsia="宋体" w:cs="Arial"/>
                <w:kern w:val="0"/>
                <w:sz w:val="19"/>
                <w:szCs w:val="19"/>
              </w:rPr>
              <w:t>62</w:t>
            </w:r>
            <w:r>
              <w:rPr>
                <w:rFonts w:ascii="Arial" w:hAnsi="Arial" w:eastAsia="宋体" w:cs="Arial"/>
                <w:kern w:val="0"/>
                <w:sz w:val="19"/>
                <w:szCs w:val="19"/>
              </w:rPr>
              <w:t>元</w:t>
            </w:r>
          </w:p>
        </w:tc>
      </w:tr>
    </w:tbl>
    <w:p>
      <w:pPr>
        <w:widowControl/>
        <w:spacing w:before="60" w:after="60" w:line="480" w:lineRule="atLeast"/>
        <w:jc w:val="left"/>
        <w:rPr>
          <w:rFonts w:ascii="Arial" w:hAnsi="Arial" w:eastAsia="宋体" w:cs="Arial"/>
          <w:kern w:val="0"/>
          <w:sz w:val="19"/>
          <w:szCs w:val="19"/>
        </w:rPr>
      </w:pPr>
      <w:r>
        <w:rPr>
          <w:rFonts w:ascii="Arial" w:hAnsi="Arial" w:eastAsia="宋体" w:cs="Arial"/>
          <w:kern w:val="0"/>
          <w:sz w:val="19"/>
          <w:szCs w:val="19"/>
        </w:rPr>
        <w:t> </w:t>
      </w:r>
    </w:p>
    <w:p>
      <w:pPr>
        <w:widowControl/>
        <w:spacing w:before="60" w:line="480" w:lineRule="atLeast"/>
        <w:jc w:val="left"/>
        <w:rPr>
          <w:rFonts w:ascii="Arial" w:hAnsi="Arial" w:eastAsia="宋体" w:cs="Arial"/>
          <w:kern w:val="0"/>
          <w:sz w:val="19"/>
          <w:szCs w:val="19"/>
        </w:rPr>
      </w:pPr>
      <w:r>
        <w:rPr>
          <w:rFonts w:ascii="Arial" w:hAnsi="Arial" w:eastAsia="宋体" w:cs="Arial"/>
          <w:kern w:val="0"/>
          <w:sz w:val="19"/>
          <w:szCs w:val="19"/>
        </w:rPr>
        <w:t>　　</w:t>
      </w:r>
      <w:r>
        <w:rPr>
          <w:rFonts w:ascii="Arial" w:hAnsi="Arial" w:eastAsia="宋体" w:cs="Arial"/>
          <w:b/>
          <w:bCs/>
          <w:kern w:val="0"/>
          <w:sz w:val="24"/>
          <w:szCs w:val="24"/>
        </w:rPr>
        <w:t>三、收到和处理政府信息公开申请情况</w:t>
      </w:r>
    </w:p>
    <w:tbl>
      <w:tblPr>
        <w:tblStyle w:val="5"/>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710"/>
        <w:gridCol w:w="927"/>
        <w:gridCol w:w="2845"/>
        <w:gridCol w:w="600"/>
        <w:gridCol w:w="544"/>
        <w:gridCol w:w="511"/>
        <w:gridCol w:w="687"/>
        <w:gridCol w:w="672"/>
        <w:gridCol w:w="513"/>
        <w:gridCol w:w="51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630" w:type="pct"/>
            <w:gridSpan w:val="3"/>
            <w:vMerge w:val="restar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（本列数据的勾稽关系为：第一项加第二项之和，等于第三项加第四项之和）</w:t>
            </w:r>
          </w:p>
        </w:tc>
        <w:tc>
          <w:tcPr>
            <w:tcW w:w="2369" w:type="pct"/>
            <w:gridSpan w:val="7"/>
            <w:tcBorders>
              <w:top w:val="single" w:color="000000" w:sz="2" w:space="0"/>
              <w:left w:val="dashed" w:color="DDDDDD" w:sz="4" w:space="0"/>
              <w:bottom w:val="single" w:color="000000" w:sz="2"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申请人情况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gridSpan w:val="3"/>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Arial" w:hAnsi="Arial" w:eastAsia="宋体" w:cs="Arial"/>
                <w:kern w:val="0"/>
                <w:sz w:val="19"/>
                <w:szCs w:val="19"/>
              </w:rPr>
            </w:pPr>
          </w:p>
        </w:tc>
        <w:tc>
          <w:tcPr>
            <w:tcW w:w="504"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自然人</w:t>
            </w:r>
          </w:p>
        </w:tc>
        <w:tc>
          <w:tcPr>
            <w:tcW w:w="2364" w:type="dxa"/>
            <w:gridSpan w:val="5"/>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法人或其他组织</w:t>
            </w:r>
          </w:p>
        </w:tc>
        <w:tc>
          <w:tcPr>
            <w:tcW w:w="360"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总计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gridSpan w:val="3"/>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商业企业</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科研机构</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社会公益组织</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法律服务机构</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其他</w:t>
            </w: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588" w:type="dxa"/>
            <w:gridSpan w:val="3"/>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一、本年新收政府信息公开申请数量</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588" w:type="dxa"/>
            <w:gridSpan w:val="3"/>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二、上年结转政府信息公开申请数量</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32" w:type="dxa"/>
            <w:vMerge w:val="restart"/>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三、本年度办理结果</w:t>
            </w:r>
          </w:p>
        </w:tc>
        <w:tc>
          <w:tcPr>
            <w:tcW w:w="3156" w:type="dxa"/>
            <w:gridSpan w:val="2"/>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（一）予以公开</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3156" w:type="dxa"/>
            <w:gridSpan w:val="2"/>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（二）部分公开（区分处理的，只计这一情形，不计其他情形）</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672"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（三）</w:t>
            </w:r>
          </w:p>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不予公开</w:t>
            </w: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1.属于国家秘密</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2.其他法律行政法规禁止公开</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3.危及“三安全一稳定”</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4.保护第三方合法权益</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5.属于三类内部事务信息</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6.属于四类过程性信息</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7.属于行政执法案卷</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8.属于行政查询事项</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672"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（四）无法提供</w:t>
            </w: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1.本机关不掌握相关政府信息</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2.没有现成信息需要另行制作</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3.补正后申请内容仍不明确</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672"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（五）不予处理</w:t>
            </w: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1.信访举报投诉类申请</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2.重复申请</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3.要求提供公开出版物</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4.无正当理由大量反复申请</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24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5.要求行政机关确认或重新出具已获取信息</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3156" w:type="dxa"/>
            <w:gridSpan w:val="2"/>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（六）其他处理</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3156" w:type="dxa"/>
            <w:gridSpan w:val="2"/>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（七）总计</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588" w:type="dxa"/>
            <w:gridSpan w:val="3"/>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四、结转下年度继续办理</w:t>
            </w:r>
          </w:p>
        </w:tc>
        <w:tc>
          <w:tcPr>
            <w:tcW w:w="50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7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56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84"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360"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bl>
    <w:p>
      <w:pPr>
        <w:widowControl/>
        <w:spacing w:before="60" w:line="480" w:lineRule="atLeast"/>
        <w:jc w:val="left"/>
        <w:rPr>
          <w:rFonts w:ascii="Arial" w:hAnsi="Arial" w:eastAsia="宋体" w:cs="Arial"/>
          <w:kern w:val="0"/>
          <w:sz w:val="19"/>
          <w:szCs w:val="19"/>
        </w:rPr>
      </w:pPr>
      <w:r>
        <w:rPr>
          <w:rFonts w:ascii="Arial" w:hAnsi="Arial" w:eastAsia="宋体" w:cs="Arial"/>
          <w:kern w:val="0"/>
          <w:sz w:val="19"/>
          <w:szCs w:val="19"/>
        </w:rPr>
        <w:t>　　</w:t>
      </w:r>
      <w:r>
        <w:rPr>
          <w:rFonts w:ascii="Arial" w:hAnsi="Arial" w:eastAsia="宋体" w:cs="Arial"/>
          <w:b/>
          <w:bCs/>
          <w:kern w:val="0"/>
          <w:sz w:val="24"/>
          <w:szCs w:val="24"/>
        </w:rPr>
        <w:t>四、政府信息公开行政复议、行政诉讼情况</w:t>
      </w:r>
    </w:p>
    <w:tbl>
      <w:tblPr>
        <w:tblStyle w:val="5"/>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567"/>
        <w:gridCol w:w="567"/>
        <w:gridCol w:w="568"/>
        <w:gridCol w:w="567"/>
        <w:gridCol w:w="568"/>
        <w:gridCol w:w="568"/>
        <w:gridCol w:w="569"/>
        <w:gridCol w:w="568"/>
        <w:gridCol w:w="568"/>
        <w:gridCol w:w="569"/>
        <w:gridCol w:w="568"/>
        <w:gridCol w:w="568"/>
        <w:gridCol w:w="568"/>
        <w:gridCol w:w="569"/>
        <w:gridCol w:w="5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666" w:type="pct"/>
            <w:gridSpan w:val="5"/>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行政复议</w:t>
            </w:r>
          </w:p>
        </w:tc>
        <w:tc>
          <w:tcPr>
            <w:tcW w:w="3333" w:type="pct"/>
            <w:gridSpan w:val="10"/>
            <w:tcBorders>
              <w:top w:val="single" w:color="000000" w:sz="2" w:space="0"/>
              <w:left w:val="dashed" w:color="DDDDDD" w:sz="4" w:space="0"/>
              <w:bottom w:val="single" w:color="000000" w:sz="2"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行政诉讼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56" w:type="dxa"/>
            <w:vMerge w:val="restart"/>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结果维持</w:t>
            </w:r>
          </w:p>
        </w:tc>
        <w:tc>
          <w:tcPr>
            <w:tcW w:w="456"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结果纠正</w:t>
            </w:r>
          </w:p>
        </w:tc>
        <w:tc>
          <w:tcPr>
            <w:tcW w:w="456"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其他结果</w:t>
            </w:r>
          </w:p>
        </w:tc>
        <w:tc>
          <w:tcPr>
            <w:tcW w:w="456"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尚未审结</w:t>
            </w:r>
          </w:p>
        </w:tc>
        <w:tc>
          <w:tcPr>
            <w:tcW w:w="456" w:type="dxa"/>
            <w:vMerge w:val="restart"/>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总计</w:t>
            </w:r>
          </w:p>
        </w:tc>
        <w:tc>
          <w:tcPr>
            <w:tcW w:w="2268" w:type="dxa"/>
            <w:gridSpan w:val="5"/>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未经复议直接起诉</w:t>
            </w:r>
          </w:p>
        </w:tc>
        <w:tc>
          <w:tcPr>
            <w:tcW w:w="2268" w:type="dxa"/>
            <w:gridSpan w:val="5"/>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复议后起诉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dashed" w:color="DDDDDD" w:sz="4" w:space="0"/>
              <w:left w:val="single" w:color="000000" w:sz="2" w:space="0"/>
              <w:bottom w:val="single" w:color="000000" w:sz="6" w:space="0"/>
              <w:right w:val="single" w:color="000000" w:sz="2"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0" w:type="auto"/>
            <w:vMerge w:val="continue"/>
            <w:tcBorders>
              <w:top w:val="nil"/>
              <w:left w:val="dashed" w:color="DDDDDD" w:sz="4" w:space="0"/>
              <w:bottom w:val="single" w:color="000000" w:sz="6" w:space="0"/>
              <w:right w:val="single" w:color="000000" w:sz="6" w:space="0"/>
            </w:tcBorders>
            <w:vAlign w:val="center"/>
          </w:tcPr>
          <w:p>
            <w:pPr>
              <w:widowControl/>
              <w:jc w:val="left"/>
              <w:rPr>
                <w:rFonts w:ascii="Arial" w:hAnsi="Arial" w:eastAsia="宋体" w:cs="Arial"/>
                <w:kern w:val="0"/>
                <w:sz w:val="19"/>
                <w:szCs w:val="19"/>
              </w:rPr>
            </w:pP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结果维持</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结果纠正</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其他结果</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尚未审结</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总计</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结果维持</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结果纠正</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其他结果</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尚未审结</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总计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56" w:type="dxa"/>
            <w:tcBorders>
              <w:top w:val="dashed" w:color="DDDDDD" w:sz="4" w:space="0"/>
              <w:left w:val="single" w:color="000000" w:sz="2" w:space="0"/>
              <w:bottom w:val="single" w:color="000000" w:sz="6" w:space="0"/>
              <w:right w:val="single" w:color="000000" w:sz="2"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c>
          <w:tcPr>
            <w:tcW w:w="456" w:type="dxa"/>
            <w:tcBorders>
              <w:top w:val="nil"/>
              <w:left w:val="dashed" w:color="DDDDDD" w:sz="4"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spacing w:line="480" w:lineRule="atLeast"/>
              <w:jc w:val="left"/>
              <w:rPr>
                <w:rFonts w:ascii="Arial" w:hAnsi="Arial" w:eastAsia="宋体" w:cs="Arial"/>
                <w:kern w:val="0"/>
                <w:sz w:val="19"/>
                <w:szCs w:val="19"/>
              </w:rPr>
            </w:pPr>
            <w:r>
              <w:rPr>
                <w:rFonts w:ascii="Arial" w:hAnsi="Arial" w:eastAsia="宋体" w:cs="Arial"/>
                <w:kern w:val="0"/>
                <w:sz w:val="19"/>
                <w:szCs w:val="19"/>
              </w:rPr>
              <w:t>0</w:t>
            </w:r>
          </w:p>
        </w:tc>
      </w:tr>
    </w:tbl>
    <w:p>
      <w:pPr>
        <w:widowControl/>
        <w:spacing w:before="60" w:after="60" w:line="480" w:lineRule="atLeast"/>
        <w:jc w:val="left"/>
        <w:rPr>
          <w:rFonts w:ascii="Arial" w:hAnsi="Arial" w:eastAsia="宋体" w:cs="Arial"/>
          <w:kern w:val="0"/>
          <w:sz w:val="19"/>
          <w:szCs w:val="19"/>
        </w:rPr>
      </w:pPr>
      <w:r>
        <w:rPr>
          <w:rFonts w:ascii="Arial" w:hAnsi="Arial" w:eastAsia="宋体" w:cs="Arial"/>
          <w:kern w:val="0"/>
          <w:sz w:val="19"/>
          <w:szCs w:val="19"/>
        </w:rPr>
        <w:t>　　</w:t>
      </w:r>
      <w:r>
        <w:rPr>
          <w:rFonts w:ascii="Arial" w:hAnsi="Arial" w:eastAsia="宋体" w:cs="Arial"/>
          <w:b/>
          <w:bCs/>
          <w:kern w:val="0"/>
          <w:sz w:val="24"/>
          <w:szCs w:val="24"/>
        </w:rPr>
        <w:t>五、存在的主要问题及改进情况</w:t>
      </w:r>
    </w:p>
    <w:p>
      <w:pPr>
        <w:widowControl/>
        <w:spacing w:before="60" w:after="60" w:line="480" w:lineRule="atLeast"/>
        <w:jc w:val="left"/>
        <w:rPr>
          <w:rFonts w:ascii="Arial" w:hAnsi="Arial" w:eastAsia="宋体" w:cs="Arial"/>
          <w:kern w:val="0"/>
          <w:sz w:val="19"/>
          <w:szCs w:val="19"/>
        </w:rPr>
      </w:pPr>
      <w:r>
        <w:rPr>
          <w:rFonts w:ascii="Arial" w:hAnsi="Arial" w:eastAsia="宋体" w:cs="Arial"/>
          <w:kern w:val="0"/>
          <w:sz w:val="24"/>
          <w:szCs w:val="24"/>
        </w:rPr>
        <w:t>　　202</w:t>
      </w:r>
      <w:r>
        <w:rPr>
          <w:rFonts w:hint="eastAsia" w:ascii="Arial" w:hAnsi="Arial" w:eastAsia="宋体" w:cs="Arial"/>
          <w:kern w:val="0"/>
          <w:sz w:val="24"/>
          <w:szCs w:val="24"/>
        </w:rPr>
        <w:t>1</w:t>
      </w:r>
      <w:r>
        <w:rPr>
          <w:rFonts w:ascii="Arial" w:hAnsi="Arial" w:eastAsia="宋体" w:cs="Arial"/>
          <w:kern w:val="0"/>
          <w:sz w:val="24"/>
          <w:szCs w:val="24"/>
        </w:rPr>
        <w:t>年，五华县退役军人事务局扎实推进政府信息公开各项工作，取得一定工作成效，但仍存在公开范围不够广、公开内容不够丰富、公开形式单一的问题。</w:t>
      </w:r>
    </w:p>
    <w:p>
      <w:pPr>
        <w:widowControl/>
        <w:spacing w:before="60" w:after="60" w:line="480" w:lineRule="atLeast"/>
        <w:jc w:val="left"/>
        <w:rPr>
          <w:rFonts w:ascii="Arial" w:hAnsi="Arial" w:eastAsia="宋体" w:cs="Arial"/>
          <w:kern w:val="0"/>
          <w:sz w:val="19"/>
          <w:szCs w:val="19"/>
        </w:rPr>
      </w:pPr>
      <w:r>
        <w:rPr>
          <w:rFonts w:ascii="Arial" w:hAnsi="Arial" w:eastAsia="宋体" w:cs="Arial"/>
          <w:kern w:val="0"/>
          <w:sz w:val="19"/>
          <w:szCs w:val="19"/>
        </w:rPr>
        <w:t>　　</w:t>
      </w:r>
      <w:r>
        <w:rPr>
          <w:rFonts w:ascii="Arial" w:hAnsi="Arial" w:eastAsia="宋体" w:cs="Arial"/>
          <w:kern w:val="0"/>
          <w:sz w:val="24"/>
          <w:szCs w:val="24"/>
        </w:rPr>
        <w:t>下一步，我局将继续严格按照《中华人民共和国政府信息公开条例》要求抓好政府信息公开工作，不断丰富和完善公开方式，加强监督检查，努力将政府信息公开工作提高到一个新的水平。</w:t>
      </w:r>
      <w:r>
        <w:rPr>
          <w:rFonts w:ascii="Arial" w:hAnsi="Arial" w:eastAsia="宋体" w:cs="Arial"/>
          <w:b/>
          <w:bCs/>
          <w:kern w:val="0"/>
          <w:sz w:val="24"/>
          <w:szCs w:val="24"/>
        </w:rPr>
        <w:t>一是</w:t>
      </w:r>
      <w:r>
        <w:rPr>
          <w:rFonts w:ascii="Arial" w:hAnsi="Arial" w:eastAsia="宋体" w:cs="Arial"/>
          <w:kern w:val="0"/>
          <w:sz w:val="24"/>
          <w:szCs w:val="24"/>
        </w:rPr>
        <w:t>进一步加强宣传教育，增强全体干部职工的政府信息公开意识，提高公开工作能力和水平，为广大群众提供更便捷的信息服务。</w:t>
      </w:r>
      <w:r>
        <w:rPr>
          <w:rFonts w:ascii="Arial" w:hAnsi="Arial" w:eastAsia="宋体" w:cs="Arial"/>
          <w:b/>
          <w:bCs/>
          <w:kern w:val="0"/>
          <w:sz w:val="24"/>
          <w:szCs w:val="24"/>
        </w:rPr>
        <w:t>二是</w:t>
      </w:r>
      <w:r>
        <w:rPr>
          <w:rFonts w:ascii="Arial" w:hAnsi="Arial" w:eastAsia="宋体" w:cs="Arial"/>
          <w:kern w:val="0"/>
          <w:sz w:val="24"/>
          <w:szCs w:val="24"/>
        </w:rPr>
        <w:t>进一步加强制度建设，不断建立完善政府信息公开保密审查和公开工作流程等相关规章制度，保证政府信息发布的权威性、规范性和一致性。</w:t>
      </w:r>
      <w:r>
        <w:rPr>
          <w:rFonts w:ascii="Arial" w:hAnsi="Arial" w:eastAsia="宋体" w:cs="Arial"/>
          <w:b/>
          <w:bCs/>
          <w:kern w:val="0"/>
          <w:sz w:val="24"/>
          <w:szCs w:val="24"/>
        </w:rPr>
        <w:t>三是</w:t>
      </w:r>
      <w:r>
        <w:rPr>
          <w:rFonts w:ascii="Arial" w:hAnsi="Arial" w:eastAsia="宋体" w:cs="Arial"/>
          <w:kern w:val="0"/>
          <w:sz w:val="24"/>
          <w:szCs w:val="24"/>
        </w:rPr>
        <w:t>聚焦群众特别关心、社会高度关注的问题，增强公开力度，扩大公开范围。 </w:t>
      </w:r>
    </w:p>
    <w:p>
      <w:pPr>
        <w:widowControl/>
        <w:spacing w:before="60" w:after="60" w:line="480" w:lineRule="atLeast"/>
        <w:jc w:val="left"/>
        <w:rPr>
          <w:rFonts w:ascii="Arial" w:hAnsi="Arial" w:eastAsia="宋体" w:cs="Arial"/>
          <w:kern w:val="0"/>
          <w:sz w:val="19"/>
          <w:szCs w:val="19"/>
        </w:rPr>
      </w:pPr>
      <w:r>
        <w:rPr>
          <w:rFonts w:ascii="Arial" w:hAnsi="Arial" w:eastAsia="宋体" w:cs="Arial"/>
          <w:kern w:val="0"/>
          <w:sz w:val="24"/>
          <w:szCs w:val="24"/>
        </w:rPr>
        <w:t>　</w:t>
      </w:r>
      <w:r>
        <w:rPr>
          <w:rFonts w:ascii="Arial" w:hAnsi="Arial" w:eastAsia="宋体" w:cs="Arial"/>
          <w:b/>
          <w:bCs/>
          <w:kern w:val="0"/>
          <w:sz w:val="24"/>
          <w:szCs w:val="24"/>
        </w:rPr>
        <w:t>　六、其他需要报告的事项</w:t>
      </w:r>
    </w:p>
    <w:p>
      <w:pPr>
        <w:widowControl/>
        <w:spacing w:before="60" w:after="60" w:line="480" w:lineRule="atLeast"/>
        <w:jc w:val="left"/>
        <w:rPr>
          <w:rFonts w:ascii="Arial" w:hAnsi="Arial" w:eastAsia="宋体" w:cs="Arial"/>
          <w:kern w:val="0"/>
          <w:sz w:val="19"/>
          <w:szCs w:val="19"/>
        </w:rPr>
      </w:pPr>
      <w:r>
        <w:rPr>
          <w:rFonts w:ascii="Arial" w:hAnsi="Arial" w:eastAsia="宋体" w:cs="Arial"/>
          <w:kern w:val="0"/>
          <w:sz w:val="24"/>
          <w:szCs w:val="24"/>
        </w:rPr>
        <w:t>　　</w:t>
      </w:r>
      <w:r>
        <w:rPr>
          <w:rFonts w:ascii="宋体" w:hAnsi="宋体" w:eastAsia="宋体" w:cs="宋体"/>
          <w:sz w:val="24"/>
          <w:szCs w:val="24"/>
        </w:rPr>
        <w:t>本年度本单位无发出收费通知，无收取信息处理费。</w:t>
      </w:r>
    </w:p>
    <w:p>
      <w:pPr>
        <w:widowControl/>
        <w:spacing w:before="60" w:line="480" w:lineRule="atLeast"/>
        <w:jc w:val="left"/>
        <w:rPr>
          <w:rFonts w:ascii="Arial" w:hAnsi="Arial" w:eastAsia="宋体" w:cs="Arial"/>
          <w:kern w:val="0"/>
          <w:sz w:val="19"/>
          <w:szCs w:val="19"/>
        </w:rPr>
      </w:pPr>
      <w:r>
        <w:rPr>
          <w:rFonts w:ascii="Arial" w:hAnsi="Arial" w:eastAsia="宋体" w:cs="Arial"/>
          <w:kern w:val="0"/>
          <w:sz w:val="19"/>
          <w:szCs w:val="19"/>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Y5Nzc5MTQ4MTg3YTU4NjhkZTgwYTc2YzYwZjQ1ZGUifQ=="/>
  </w:docVars>
  <w:rsids>
    <w:rsidRoot w:val="00301F80"/>
    <w:rsid w:val="0007244B"/>
    <w:rsid w:val="000F31F5"/>
    <w:rsid w:val="00301F80"/>
    <w:rsid w:val="003614B5"/>
    <w:rsid w:val="00460B0D"/>
    <w:rsid w:val="00810E69"/>
    <w:rsid w:val="00A66556"/>
    <w:rsid w:val="00AD245B"/>
    <w:rsid w:val="00C02C3C"/>
    <w:rsid w:val="00C54874"/>
    <w:rsid w:val="0E8A76B0"/>
    <w:rsid w:val="7531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60" w:after="60"/>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2182</Words>
  <Characters>2224</Characters>
  <Lines>18</Lines>
  <Paragraphs>5</Paragraphs>
  <TotalTime>876</TotalTime>
  <ScaleCrop>false</ScaleCrop>
  <LinksUpToDate>false</LinksUpToDate>
  <CharactersWithSpaces>2260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2022-01-12T07:01:00Z</dcterms:created>
  <dc:creator>Administrator</dc:creator>
  <cp:lastModifiedBy>万志增</cp:lastModifiedBy>
  <cp:lastPrinted>2022-01-13T08:52:00Z</cp:lastPrinted>
  <dcterms:modified xsi:type="dcterms:W3CDTF">2022-06-29T09:16:48Z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108EFA1FA10F4653923BEEF72E1BD5E8</vt:lpwstr>
  </property>
</Properties>
</file>