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华城镇撂荒耕地复耕复种攻坚行动领导小组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为全面贯彻落实党中央、国务院、省委、省政府和市委、市政府、县委、县政府重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大决策部署，实行粮食安全和耕地保护党政同责，切实做好撂荒耕地核查整治工作。镇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党委、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政府决定成立华城镇撂荒耕地复耕复种攻坚行动领导小组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下称“领导小组”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。成员名单如下：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 xml:space="preserve">组 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长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：曾映贤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执行组长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：吴恺平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副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组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长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：张治华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成员由镇属相关部门、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各村委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相关单位主要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负责同志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组成，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领导小组不纳入议事协调机构管理，不刻制印章，不正式行文，任务完成后自行撤销。领导小组下设办公室，办公室设在镇农业农村服务中心，负责领导小组办公室日常工作，会同成员单位拟定镇级工作方案、协调解决有关问题，指导、督促和检查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村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工作落实情况。办公室主任由镇农业农村服务中心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主任黄伟均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同志兼任。</w:t>
      </w:r>
    </w:p>
    <w:p/>
    <w:sectPr>
      <w:pgSz w:w="11906" w:h="16838"/>
      <w:pgMar w:top="2041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Zjg1YjAxZmI2ZTRlNjEyMGE1NjhhNDA0OTY4N2UifQ=="/>
  </w:docVars>
  <w:rsids>
    <w:rsidRoot w:val="00000000"/>
    <w:rsid w:val="0C3C52C9"/>
    <w:rsid w:val="394C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2022-07-05T02:28:00Z</dcterms:created>
  <dc:creator>Administrator</dc:creator>
  <cp:lastModifiedBy>华城扛把子嘉陵摩托</cp:lastModifiedBy>
  <dcterms:modified xsi:type="dcterms:W3CDTF">2022-07-25T09:45:52Z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2A6A415152684F3786B7278BF9B2681A</vt:lpwstr>
  </property>
</Properties>
</file>