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07" w:rsidRDefault="000E5907">
      <w:pPr>
        <w:spacing w:line="500" w:lineRule="exact"/>
        <w:jc w:val="center"/>
        <w:rPr>
          <w:rStyle w:val="NormalCharacter"/>
          <w:rFonts w:ascii="方正小标宋简体" w:eastAsia="方正小标宋简体" w:cs="Times New Roman"/>
          <w:bCs/>
          <w:spacing w:val="-10"/>
          <w:sz w:val="36"/>
          <w:szCs w:val="36"/>
        </w:rPr>
      </w:pPr>
      <w:bookmarkStart w:id="0" w:name="_GoBack"/>
      <w:bookmarkEnd w:id="0"/>
    </w:p>
    <w:p w:rsidR="00D159C5" w:rsidRDefault="00D159C5" w:rsidP="00D159C5">
      <w:pPr>
        <w:spacing w:line="500" w:lineRule="exact"/>
        <w:jc w:val="center"/>
        <w:rPr>
          <w:rStyle w:val="NormalCharacter"/>
          <w:rFonts w:ascii="方正小标宋简体" w:eastAsia="方正小标宋简体" w:hAnsi="Times New Roman" w:cs="Times New Roman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Times New Roman" w:cs="Times New Roman" w:hint="eastAsia"/>
          <w:bCs/>
          <w:sz w:val="44"/>
          <w:szCs w:val="44"/>
        </w:rPr>
        <w:t>五华县2022年1-11月经济运行简况</w:t>
      </w:r>
    </w:p>
    <w:p w:rsidR="000E5907" w:rsidRPr="00D159C5" w:rsidRDefault="000E5907">
      <w:pPr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</w:p>
    <w:p w:rsidR="000E5907" w:rsidRDefault="007605C8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，我县经济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延续恢复发展态势</w:t>
      </w:r>
      <w:r>
        <w:rPr>
          <w:rFonts w:ascii="Times New Roman" w:eastAsia="方正仿宋简体" w:hAnsi="Times New Roman" w:cs="Times New Roman"/>
          <w:sz w:val="32"/>
          <w:szCs w:val="32"/>
        </w:rPr>
        <w:t>，各项主要经济指标在合理区间运行，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工业保持较快增长，社会消费、财政收入稳定增长，投资降幅收窄，金融业平稳运行，进出口负增长，</w:t>
      </w:r>
      <w:r>
        <w:rPr>
          <w:rFonts w:ascii="Times New Roman" w:eastAsia="方正仿宋简体" w:hAnsi="Times New Roman" w:cs="Times New Roman"/>
          <w:sz w:val="32"/>
          <w:szCs w:val="32"/>
        </w:rPr>
        <w:t>主要特点如下：</w:t>
      </w:r>
    </w:p>
    <w:p w:rsidR="000E5907" w:rsidRDefault="007605C8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/>
          <w:sz w:val="32"/>
          <w:szCs w:val="32"/>
        </w:rPr>
        <w:t>规上工业较快增长，电力热力燃气及水的生产和供应业保持</w:t>
      </w:r>
      <w:r>
        <w:rPr>
          <w:rFonts w:ascii="黑体" w:eastAsia="黑体" w:hAnsi="黑体" w:cs="黑体" w:hint="eastAsia"/>
          <w:sz w:val="32"/>
          <w:szCs w:val="32"/>
        </w:rPr>
        <w:t>快速增长</w:t>
      </w:r>
      <w:r>
        <w:rPr>
          <w:rFonts w:ascii="黑体" w:eastAsia="黑体" w:hAnsi="黑体" w:cs="黑体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1-11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，全县完成规上工业增加值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7.36</w:t>
      </w:r>
      <w:r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12.4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增速比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1-10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12.9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回落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0.5</w:t>
      </w:r>
      <w:r>
        <w:rPr>
          <w:rFonts w:ascii="Times New Roman" w:eastAsia="方正仿宋简体" w:hAnsi="Times New Roman" w:cs="Times New Roman"/>
          <w:sz w:val="32"/>
          <w:szCs w:val="32"/>
        </w:rPr>
        <w:t>个百分点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，但比全市平均水平（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-2.7%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15.6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个百分点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0E5907" w:rsidRDefault="007605C8">
      <w:pPr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分门类看，</w:t>
      </w:r>
      <w:r>
        <w:rPr>
          <w:rFonts w:ascii="Times New Roman" w:eastAsia="方正仿宋简体" w:hAnsi="Times New Roman" w:cs="Times New Roman"/>
          <w:sz w:val="32"/>
          <w:szCs w:val="32"/>
        </w:rPr>
        <w:t>电力热力燃气及水的生产和供应业增加值同比增长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55.2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增速比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1-10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 w:cs="Times New Roman"/>
          <w:sz w:val="32"/>
          <w:szCs w:val="32"/>
        </w:rPr>
        <w:t>提高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15.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个百分点；规上制造业增加值同比下降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15.5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降幅比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1-10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-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14.3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扩大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1.2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个百分点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从园区工业看，</w:t>
      </w:r>
      <w:r>
        <w:rPr>
          <w:rFonts w:ascii="Times New Roman" w:eastAsia="方正仿宋简体" w:hAnsi="Times New Roman" w:cs="Times New Roman"/>
          <w:sz w:val="32"/>
          <w:szCs w:val="32"/>
        </w:rPr>
        <w:t>广州番禺（五华）产业园完成增加值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92</w:t>
      </w:r>
      <w:r>
        <w:rPr>
          <w:rFonts w:ascii="Times New Roman" w:eastAsia="方正仿宋简体" w:hAnsi="Times New Roman" w:cs="Times New Roman"/>
          <w:sz w:val="32"/>
          <w:szCs w:val="32"/>
        </w:rPr>
        <w:t>亿元，同比下降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11.6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，降幅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1-10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-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11.0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 w:cs="Times New Roman"/>
          <w:sz w:val="32"/>
          <w:szCs w:val="32"/>
        </w:rPr>
        <w:t>扩大</w:t>
      </w:r>
      <w:r>
        <w:rPr>
          <w:rFonts w:ascii="Times New Roman" w:eastAsia="方正仿宋简体" w:hAnsi="Times New Roman" w:cs="Times New Roman"/>
          <w:sz w:val="32"/>
          <w:szCs w:val="32"/>
        </w:rPr>
        <w:t>0.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简体" w:hAnsi="Times New Roman" w:cs="Times New Roman"/>
          <w:sz w:val="32"/>
          <w:szCs w:val="32"/>
        </w:rPr>
        <w:t>个百分点。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从生产看，</w:t>
      </w:r>
      <w:r>
        <w:rPr>
          <w:rFonts w:ascii="Times New Roman" w:eastAsia="方正仿宋简体" w:hAnsi="Times New Roman" w:cs="Times New Roman"/>
          <w:sz w:val="32"/>
          <w:szCs w:val="32"/>
        </w:rPr>
        <w:t>我县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家规上工业企业，正增长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家，占比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26.9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。其中：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年内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新上规的有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家；</w:t>
      </w:r>
      <w:r>
        <w:rPr>
          <w:rFonts w:ascii="Times New Roman" w:eastAsia="方正仿宋简体" w:hAnsi="Times New Roman" w:cs="Times New Roman"/>
          <w:sz w:val="32"/>
          <w:szCs w:val="32"/>
        </w:rPr>
        <w:t>增速大于</w:t>
      </w:r>
      <w:r>
        <w:rPr>
          <w:rFonts w:ascii="Times New Roman" w:eastAsia="方正仿宋简体" w:hAnsi="Times New Roman" w:cs="Times New Roman"/>
          <w:sz w:val="32"/>
          <w:szCs w:val="32"/>
        </w:rPr>
        <w:t>30%</w:t>
      </w:r>
      <w:r>
        <w:rPr>
          <w:rFonts w:ascii="Times New Roman" w:eastAsia="方正仿宋简体" w:hAnsi="Times New Roman" w:cs="Times New Roman"/>
          <w:sz w:val="32"/>
          <w:szCs w:val="32"/>
        </w:rPr>
        <w:t>的有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家，增速在</w:t>
      </w:r>
      <w:r>
        <w:rPr>
          <w:rFonts w:ascii="Times New Roman" w:eastAsia="方正仿宋简体" w:hAnsi="Times New Roman" w:cs="Times New Roman"/>
          <w:sz w:val="32"/>
          <w:szCs w:val="32"/>
        </w:rPr>
        <w:t>10%~30%</w:t>
      </w:r>
      <w:r>
        <w:rPr>
          <w:rFonts w:ascii="Times New Roman" w:eastAsia="方正仿宋简体" w:hAnsi="Times New Roman" w:cs="Times New Roman"/>
          <w:sz w:val="32"/>
          <w:szCs w:val="32"/>
        </w:rPr>
        <w:t>之间的有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简体" w:hAnsi="Times New Roman" w:cs="Times New Roman"/>
          <w:sz w:val="32"/>
          <w:szCs w:val="32"/>
        </w:rPr>
        <w:t>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，增速在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以内的有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家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0E5907" w:rsidRDefault="007605C8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、消费</w:t>
      </w:r>
      <w:r>
        <w:rPr>
          <w:rFonts w:ascii="黑体" w:eastAsia="黑体" w:hAnsi="黑体" w:cs="黑体" w:hint="eastAsia"/>
          <w:sz w:val="32"/>
          <w:szCs w:val="32"/>
        </w:rPr>
        <w:t>市场</w:t>
      </w:r>
      <w:r>
        <w:rPr>
          <w:rFonts w:ascii="黑体" w:eastAsia="黑体" w:hAnsi="黑体" w:cs="黑体" w:hint="eastAsia"/>
          <w:sz w:val="32"/>
          <w:szCs w:val="32"/>
        </w:rPr>
        <w:t>稳定</w:t>
      </w:r>
      <w:r>
        <w:rPr>
          <w:rFonts w:ascii="黑体" w:eastAsia="黑体" w:hAnsi="黑体" w:cs="黑体"/>
          <w:sz w:val="32"/>
          <w:szCs w:val="32"/>
        </w:rPr>
        <w:t>回暖，</w:t>
      </w:r>
      <w:r>
        <w:rPr>
          <w:rFonts w:ascii="黑体" w:eastAsia="黑体" w:hAnsi="黑体" w:cs="黑体" w:hint="eastAsia"/>
          <w:sz w:val="32"/>
          <w:szCs w:val="32"/>
        </w:rPr>
        <w:t>限额以上零售业快速</w:t>
      </w:r>
      <w:r>
        <w:rPr>
          <w:rFonts w:ascii="黑体" w:eastAsia="黑体" w:hAnsi="黑体" w:cs="黑体" w:hint="eastAsia"/>
          <w:sz w:val="32"/>
          <w:szCs w:val="32"/>
        </w:rPr>
        <w:t>增长</w:t>
      </w:r>
      <w:r>
        <w:rPr>
          <w:rFonts w:ascii="Times New Roman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1-11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月，社会消费品零售总额</w:t>
      </w:r>
      <w:r>
        <w:rPr>
          <w:rFonts w:ascii="Times New Roman" w:eastAsia="方正仿宋简体" w:hAnsi="Times New Roman" w:cs="Times New Roman"/>
          <w:sz w:val="32"/>
          <w:szCs w:val="32"/>
        </w:rPr>
        <w:t>78.79</w:t>
      </w:r>
      <w:r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/>
          <w:sz w:val="32"/>
          <w:szCs w:val="32"/>
        </w:rPr>
        <w:t>3.0</w:t>
      </w:r>
      <w:r>
        <w:rPr>
          <w:rFonts w:ascii="Times New Roman" w:eastAsia="方正仿宋简体" w:hAnsi="Times New Roman" w:cs="Times New Roman"/>
          <w:sz w:val="32"/>
          <w:szCs w:val="32"/>
        </w:rPr>
        <w:t>％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，增速比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1-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3.5%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）回落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0.5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个百分点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，但比全市平均水平（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0.8%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2.2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个百分点。</w:t>
      </w:r>
    </w:p>
    <w:p w:rsidR="000E5907" w:rsidRDefault="007605C8">
      <w:pPr>
        <w:ind w:firstLineChars="200" w:firstLine="643"/>
        <w:rPr>
          <w:rFonts w:ascii="Times New Roman" w:eastAsia="方正仿宋简体" w:hAnsi="Times New Roman" w:cs="Times New Roman"/>
          <w:color w:val="0000FF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从限额分类看，</w:t>
      </w:r>
      <w:r>
        <w:rPr>
          <w:rFonts w:ascii="Times New Roman" w:eastAsia="方正仿宋简体" w:hAnsi="Times New Roman" w:cs="Times New Roman"/>
          <w:sz w:val="32"/>
          <w:szCs w:val="32"/>
        </w:rPr>
        <w:t>限额以上零售总额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3.87</w:t>
      </w:r>
      <w:r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22.7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；限额以下零售总额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74.92</w:t>
      </w:r>
      <w:r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2.1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，限额以上零售总额增速比限额以下高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20.6</w:t>
      </w:r>
      <w:r>
        <w:rPr>
          <w:rFonts w:ascii="Times New Roman" w:eastAsia="方正仿宋简体" w:hAnsi="Times New Roman" w:cs="Times New Roman"/>
          <w:sz w:val="32"/>
          <w:szCs w:val="32"/>
        </w:rPr>
        <w:t>个百分点。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按消费类型分，</w:t>
      </w:r>
      <w:r>
        <w:rPr>
          <w:rFonts w:ascii="Times New Roman" w:eastAsia="方正仿宋简体" w:hAnsi="Times New Roman" w:cs="Times New Roman"/>
          <w:sz w:val="32"/>
          <w:szCs w:val="32"/>
        </w:rPr>
        <w:t>商品零售总额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70.48</w:t>
      </w:r>
      <w:r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/>
          <w:sz w:val="32"/>
          <w:szCs w:val="32"/>
        </w:rPr>
        <w:t>3.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；餐饮收入总额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8.30</w:t>
      </w:r>
      <w:r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，商品零售增速比餐饮收入高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1.7</w:t>
      </w:r>
      <w:r>
        <w:rPr>
          <w:rFonts w:ascii="Times New Roman" w:eastAsia="方正仿宋简体" w:hAnsi="Times New Roman" w:cs="Times New Roman"/>
          <w:sz w:val="32"/>
          <w:szCs w:val="32"/>
        </w:rPr>
        <w:t>个百分点。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按经营地分，</w:t>
      </w:r>
      <w:r>
        <w:rPr>
          <w:rFonts w:ascii="Times New Roman" w:eastAsia="方正仿宋简体" w:hAnsi="Times New Roman" w:cs="Times New Roman"/>
          <w:sz w:val="32"/>
          <w:szCs w:val="32"/>
        </w:rPr>
        <w:t>全县城镇市场完成消费品零售总额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60.95</w:t>
      </w:r>
      <w:r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3.2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；乡村市场完成消费品零售额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18.73</w:t>
      </w:r>
      <w:r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/>
          <w:sz w:val="32"/>
          <w:szCs w:val="32"/>
        </w:rPr>
        <w:t>2.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，城镇消费增速比农村高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个百分点。</w:t>
      </w:r>
    </w:p>
    <w:p w:rsidR="000E5907" w:rsidRDefault="007605C8">
      <w:pPr>
        <w:ind w:firstLineChars="200" w:firstLine="640"/>
        <w:rPr>
          <w:rFonts w:ascii="Times New Roman" w:eastAsia="方正仿宋简体" w:hAnsi="Times New Roman" w:cs="Times New Roman"/>
          <w:color w:val="0000FF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三、固定资产投资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降幅较大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，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但幅度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有所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收窄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1-11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，固定资产投资总额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同比负增长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38.9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，降幅比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1-10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-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39.9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收窄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个百分点，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比全市平均水平（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-15.7%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）低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23.2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个百分点。</w:t>
      </w:r>
    </w:p>
    <w:p w:rsidR="000E5907" w:rsidRDefault="007605C8">
      <w:pPr>
        <w:ind w:firstLineChars="200" w:firstLine="643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分类型看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市政教育卫生等其他投资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同比增长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38.2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交通业投资同比下降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29.6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（其中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高速公路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+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高铁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投资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同比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下降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31.6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工业投资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同比下降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48.9%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（其中技改投资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同比下降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85.2%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房地产开发投资同比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下降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59.9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。</w:t>
      </w:r>
    </w:p>
    <w:p w:rsidR="000E5907" w:rsidRDefault="007605C8">
      <w:pPr>
        <w:ind w:firstLineChars="200" w:firstLine="640"/>
        <w:rPr>
          <w:rFonts w:ascii="Times New Roman" w:eastAsia="方正仿宋简体" w:hAnsi="Times New Roman" w:cs="Times New Roman"/>
          <w:color w:val="0000FF"/>
          <w:sz w:val="32"/>
          <w:szCs w:val="32"/>
        </w:rPr>
      </w:pPr>
      <w:r>
        <w:rPr>
          <w:rFonts w:ascii="黑体" w:eastAsia="黑体" w:hAnsi="黑体" w:cs="黑体"/>
          <w:color w:val="000000" w:themeColor="text1"/>
          <w:sz w:val="32"/>
          <w:szCs w:val="32"/>
        </w:rPr>
        <w:t>四、一般公共预算收入保持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稳步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增长。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1-11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，全县完成地方一般公共预算收入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1.27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8.85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；增速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比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1-10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11.89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）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回落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3.04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个百分点，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但比全市平均水平（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-12.01%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）高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20.86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个百分点</w:t>
      </w:r>
      <w:r>
        <w:rPr>
          <w:rFonts w:ascii="Times New Roman" w:eastAsia="方正仿宋简体" w:hAnsi="Times New Roman" w:cs="Times New Roman"/>
          <w:sz w:val="32"/>
          <w:szCs w:val="32"/>
        </w:rPr>
        <w:t>。其中：税收收入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5.38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亿元，同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lastRenderedPageBreak/>
        <w:t>比下降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18.16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；非税收入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5.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89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55.87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。</w:t>
      </w:r>
    </w:p>
    <w:p w:rsidR="000E5907" w:rsidRDefault="007605C8">
      <w:pPr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/>
          <w:sz w:val="32"/>
          <w:szCs w:val="32"/>
        </w:rPr>
        <w:t>、金融业平稳运行，存贷比稳步提高。</w:t>
      </w:r>
      <w:r>
        <w:rPr>
          <w:rFonts w:ascii="Times New Roman" w:eastAsia="方正仿宋简体" w:hAnsi="Times New Roman" w:cs="Times New Roman"/>
          <w:sz w:val="32"/>
          <w:szCs w:val="32"/>
        </w:rPr>
        <w:t>截至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末，全县金融机构本外币各项存款余额</w:t>
      </w:r>
      <w:r>
        <w:rPr>
          <w:rFonts w:ascii="Times New Roman" w:eastAsia="方正仿宋简体" w:hAnsi="Times New Roman" w:cs="Times New Roman"/>
          <w:sz w:val="32"/>
          <w:szCs w:val="32"/>
        </w:rPr>
        <w:t>35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5.91</w:t>
      </w:r>
      <w:r>
        <w:rPr>
          <w:rFonts w:ascii="Times New Roman" w:eastAsia="方正仿宋简体" w:hAnsi="Times New Roman" w:cs="Times New Roman"/>
          <w:sz w:val="32"/>
          <w:szCs w:val="32"/>
        </w:rPr>
        <w:t>亿元、贷款余额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5.00</w:t>
      </w:r>
      <w:r>
        <w:rPr>
          <w:rFonts w:ascii="Times New Roman" w:eastAsia="方正仿宋简体" w:hAnsi="Times New Roman" w:cs="Times New Roman"/>
          <w:sz w:val="32"/>
          <w:szCs w:val="32"/>
        </w:rPr>
        <w:t>亿元，分别比年初增长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4.19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2.04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；存贷比为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66.03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1-10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月（</w:t>
      </w:r>
      <w:r>
        <w:rPr>
          <w:rFonts w:ascii="Times New Roman" w:eastAsia="方正仿宋简体" w:hAnsi="Times New Roman" w:cs="Times New Roman"/>
          <w:sz w:val="32"/>
          <w:szCs w:val="32"/>
        </w:rPr>
        <w:t>64.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91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简体" w:hAnsi="Times New Roman" w:cs="Times New Roman"/>
          <w:sz w:val="32"/>
          <w:szCs w:val="32"/>
        </w:rPr>
        <w:t>提高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1.12</w:t>
      </w:r>
      <w:r>
        <w:rPr>
          <w:rFonts w:ascii="Times New Roman" w:eastAsia="方正仿宋简体" w:hAnsi="Times New Roman" w:cs="Times New Roman"/>
          <w:sz w:val="32"/>
          <w:szCs w:val="32"/>
        </w:rPr>
        <w:t>个百分点。</w:t>
      </w:r>
    </w:p>
    <w:p w:rsidR="000E5907" w:rsidRDefault="007605C8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/>
          <w:sz w:val="32"/>
          <w:szCs w:val="32"/>
        </w:rPr>
        <w:t>、外贸进出口</w:t>
      </w:r>
      <w:r>
        <w:rPr>
          <w:rFonts w:ascii="黑体" w:eastAsia="黑体" w:hAnsi="黑体" w:cs="黑体" w:hint="eastAsia"/>
          <w:sz w:val="32"/>
          <w:szCs w:val="32"/>
        </w:rPr>
        <w:t>负增长</w:t>
      </w:r>
      <w:r>
        <w:rPr>
          <w:rFonts w:ascii="黑体" w:eastAsia="黑体" w:hAnsi="黑体" w:cs="黑体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1-11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/>
          <w:sz w:val="32"/>
          <w:szCs w:val="32"/>
        </w:rPr>
        <w:t>，全县外贸进出口总额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15109.44</w:t>
      </w:r>
      <w:r>
        <w:rPr>
          <w:rFonts w:ascii="Times New Roman" w:eastAsia="方正仿宋简体" w:hAnsi="Times New Roman" w:cs="Times New Roman"/>
          <w:sz w:val="32"/>
          <w:szCs w:val="32"/>
        </w:rPr>
        <w:t>万美元，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同比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下降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2.63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。其中：出口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14225.12</w:t>
      </w:r>
      <w:r>
        <w:rPr>
          <w:rFonts w:ascii="Times New Roman" w:eastAsia="方正仿宋简体" w:hAnsi="Times New Roman" w:cs="Times New Roman"/>
          <w:sz w:val="32"/>
          <w:szCs w:val="32"/>
        </w:rPr>
        <w:t>万美元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，进口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884.32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万美元。实际利用外资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188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万美元，同比下降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70.81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。</w:t>
      </w:r>
    </w:p>
    <w:sectPr w:rsidR="000E5907" w:rsidSect="000E5907">
      <w:footerReference w:type="default" r:id="rId7"/>
      <w:pgSz w:w="11906" w:h="16838"/>
      <w:pgMar w:top="1701" w:right="1587" w:bottom="1587" w:left="1587" w:header="851" w:footer="964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5C8" w:rsidRDefault="007605C8" w:rsidP="000E5907">
      <w:r>
        <w:separator/>
      </w:r>
    </w:p>
  </w:endnote>
  <w:endnote w:type="continuationSeparator" w:id="1">
    <w:p w:rsidR="007605C8" w:rsidRDefault="007605C8" w:rsidP="000E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553E5A55-89B5-4F21-8781-8A98EFC0261B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67E46CA-4F9F-4CBF-8E03-CB3B71BDEFAE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EDFD66E8-6994-4AFB-AE1D-7D09C80FB9DE}"/>
    <w:embedBold r:id="rId4" w:subsetted="1" w:fontKey="{0510AD87-6154-4C7E-B060-F450FAA4889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FD2F9D3-ABBF-4291-9C9B-13200A83A818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907" w:rsidRDefault="000E590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0E5907" w:rsidRDefault="000E5907">
                <w:pPr>
                  <w:pStyle w:val="a3"/>
                </w:pPr>
                <w:r>
                  <w:fldChar w:fldCharType="begin"/>
                </w:r>
                <w:r w:rsidR="007605C8">
                  <w:instrText xml:space="preserve"> PAGE  \* MERGEFORMAT </w:instrText>
                </w:r>
                <w:r>
                  <w:fldChar w:fldCharType="separate"/>
                </w:r>
                <w:r w:rsidR="00D159C5">
                  <w:rPr>
                    <w:noProof/>
                  </w:rPr>
                  <w:t>- 3 -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5C8" w:rsidRDefault="007605C8" w:rsidP="000E5907">
      <w:r>
        <w:separator/>
      </w:r>
    </w:p>
  </w:footnote>
  <w:footnote w:type="continuationSeparator" w:id="1">
    <w:p w:rsidR="007605C8" w:rsidRDefault="007605C8" w:rsidP="000E5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1OGEyMDFhM2RiOWY5MzZmMmZiYjlkZjg2Yzk1NjMifQ=="/>
  </w:docVars>
  <w:rsids>
    <w:rsidRoot w:val="006E4791"/>
    <w:rsid w:val="00011543"/>
    <w:rsid w:val="00041EAB"/>
    <w:rsid w:val="00043187"/>
    <w:rsid w:val="000838AC"/>
    <w:rsid w:val="0009390A"/>
    <w:rsid w:val="000A1430"/>
    <w:rsid w:val="000E5907"/>
    <w:rsid w:val="00194EDF"/>
    <w:rsid w:val="00227014"/>
    <w:rsid w:val="002D2C77"/>
    <w:rsid w:val="00642650"/>
    <w:rsid w:val="006E4791"/>
    <w:rsid w:val="00740A15"/>
    <w:rsid w:val="007605C8"/>
    <w:rsid w:val="007F61EF"/>
    <w:rsid w:val="00813CB7"/>
    <w:rsid w:val="00901F95"/>
    <w:rsid w:val="009B3DF9"/>
    <w:rsid w:val="00A86B53"/>
    <w:rsid w:val="00B15C82"/>
    <w:rsid w:val="00B467CD"/>
    <w:rsid w:val="00BA4E7D"/>
    <w:rsid w:val="00D159C5"/>
    <w:rsid w:val="00E77886"/>
    <w:rsid w:val="00ED3284"/>
    <w:rsid w:val="00EF5227"/>
    <w:rsid w:val="012349B7"/>
    <w:rsid w:val="01BB12A3"/>
    <w:rsid w:val="01C0241A"/>
    <w:rsid w:val="01E41872"/>
    <w:rsid w:val="02431997"/>
    <w:rsid w:val="027C5D94"/>
    <w:rsid w:val="02AE184B"/>
    <w:rsid w:val="03EE2141"/>
    <w:rsid w:val="04431B4F"/>
    <w:rsid w:val="04CC4932"/>
    <w:rsid w:val="06116039"/>
    <w:rsid w:val="0620235A"/>
    <w:rsid w:val="06581112"/>
    <w:rsid w:val="06B060FE"/>
    <w:rsid w:val="06F74DB1"/>
    <w:rsid w:val="077753CB"/>
    <w:rsid w:val="07D854DC"/>
    <w:rsid w:val="084F5828"/>
    <w:rsid w:val="088B53B7"/>
    <w:rsid w:val="090E0B90"/>
    <w:rsid w:val="09650FD4"/>
    <w:rsid w:val="0A105458"/>
    <w:rsid w:val="0A1A3A35"/>
    <w:rsid w:val="0A7F5EC6"/>
    <w:rsid w:val="0ADD1F1A"/>
    <w:rsid w:val="0D8F2394"/>
    <w:rsid w:val="0E6179B4"/>
    <w:rsid w:val="0E8222DB"/>
    <w:rsid w:val="0E8F78D5"/>
    <w:rsid w:val="0FB53D50"/>
    <w:rsid w:val="10A3463E"/>
    <w:rsid w:val="10B81304"/>
    <w:rsid w:val="10F17E29"/>
    <w:rsid w:val="11635695"/>
    <w:rsid w:val="11F0132C"/>
    <w:rsid w:val="120A7998"/>
    <w:rsid w:val="124243FD"/>
    <w:rsid w:val="12667650"/>
    <w:rsid w:val="12704669"/>
    <w:rsid w:val="13342A81"/>
    <w:rsid w:val="139A519B"/>
    <w:rsid w:val="13B14E1B"/>
    <w:rsid w:val="14107FB5"/>
    <w:rsid w:val="14782A75"/>
    <w:rsid w:val="150423DB"/>
    <w:rsid w:val="15105DC3"/>
    <w:rsid w:val="166231D1"/>
    <w:rsid w:val="17771E46"/>
    <w:rsid w:val="17DC17EE"/>
    <w:rsid w:val="17DF1576"/>
    <w:rsid w:val="189B7D38"/>
    <w:rsid w:val="18A323BC"/>
    <w:rsid w:val="18D15785"/>
    <w:rsid w:val="19577525"/>
    <w:rsid w:val="19A71B74"/>
    <w:rsid w:val="1A1409B3"/>
    <w:rsid w:val="1A9451F0"/>
    <w:rsid w:val="1AEC18B3"/>
    <w:rsid w:val="1B90197E"/>
    <w:rsid w:val="1BB27C94"/>
    <w:rsid w:val="1D027A77"/>
    <w:rsid w:val="1D081B31"/>
    <w:rsid w:val="1D3A5FA0"/>
    <w:rsid w:val="1E9D2342"/>
    <w:rsid w:val="205B4263"/>
    <w:rsid w:val="209B1067"/>
    <w:rsid w:val="20A56CA5"/>
    <w:rsid w:val="20A85EAB"/>
    <w:rsid w:val="20AE6B74"/>
    <w:rsid w:val="216F5141"/>
    <w:rsid w:val="21DB26E7"/>
    <w:rsid w:val="22B26EF4"/>
    <w:rsid w:val="23706D30"/>
    <w:rsid w:val="239534C1"/>
    <w:rsid w:val="242610A2"/>
    <w:rsid w:val="24901A1A"/>
    <w:rsid w:val="24A91651"/>
    <w:rsid w:val="24DA3047"/>
    <w:rsid w:val="24DF6717"/>
    <w:rsid w:val="2500608E"/>
    <w:rsid w:val="25193072"/>
    <w:rsid w:val="251C60D5"/>
    <w:rsid w:val="257C72E1"/>
    <w:rsid w:val="265B43D9"/>
    <w:rsid w:val="267C27A2"/>
    <w:rsid w:val="26B23E11"/>
    <w:rsid w:val="27135B47"/>
    <w:rsid w:val="285F4F66"/>
    <w:rsid w:val="28AA3191"/>
    <w:rsid w:val="28B37FAE"/>
    <w:rsid w:val="28C07A24"/>
    <w:rsid w:val="298D53DE"/>
    <w:rsid w:val="2A712D0A"/>
    <w:rsid w:val="2B295867"/>
    <w:rsid w:val="2B630693"/>
    <w:rsid w:val="2B845E1F"/>
    <w:rsid w:val="2BDB2AE3"/>
    <w:rsid w:val="2BFD4E1C"/>
    <w:rsid w:val="2C3D2E88"/>
    <w:rsid w:val="2C793F96"/>
    <w:rsid w:val="2D124F89"/>
    <w:rsid w:val="2D261583"/>
    <w:rsid w:val="2DCF7784"/>
    <w:rsid w:val="2E0E04B7"/>
    <w:rsid w:val="2E4E5F7A"/>
    <w:rsid w:val="2E7D5CEC"/>
    <w:rsid w:val="2E991563"/>
    <w:rsid w:val="2F077D98"/>
    <w:rsid w:val="2FA74803"/>
    <w:rsid w:val="300C07F9"/>
    <w:rsid w:val="304B0EF9"/>
    <w:rsid w:val="3085075A"/>
    <w:rsid w:val="314E701A"/>
    <w:rsid w:val="31D51107"/>
    <w:rsid w:val="31E36B85"/>
    <w:rsid w:val="324648CB"/>
    <w:rsid w:val="32D35FBF"/>
    <w:rsid w:val="32EA4287"/>
    <w:rsid w:val="32EC69C2"/>
    <w:rsid w:val="332C3320"/>
    <w:rsid w:val="33D217B6"/>
    <w:rsid w:val="33D85162"/>
    <w:rsid w:val="34096584"/>
    <w:rsid w:val="34975F33"/>
    <w:rsid w:val="35052C08"/>
    <w:rsid w:val="350A3813"/>
    <w:rsid w:val="35247D48"/>
    <w:rsid w:val="358B19C0"/>
    <w:rsid w:val="35BE7813"/>
    <w:rsid w:val="3691015D"/>
    <w:rsid w:val="36C57B5D"/>
    <w:rsid w:val="36CB62E7"/>
    <w:rsid w:val="372B36C4"/>
    <w:rsid w:val="37CE5661"/>
    <w:rsid w:val="381A54A9"/>
    <w:rsid w:val="383814F5"/>
    <w:rsid w:val="387E532F"/>
    <w:rsid w:val="38950BBD"/>
    <w:rsid w:val="38F85F72"/>
    <w:rsid w:val="3970606F"/>
    <w:rsid w:val="39C766B6"/>
    <w:rsid w:val="3A57612B"/>
    <w:rsid w:val="3A5E6050"/>
    <w:rsid w:val="3A983C52"/>
    <w:rsid w:val="3BB7352C"/>
    <w:rsid w:val="3BD8175F"/>
    <w:rsid w:val="3BDB6448"/>
    <w:rsid w:val="3BF97574"/>
    <w:rsid w:val="3C5B3212"/>
    <w:rsid w:val="3CBA4554"/>
    <w:rsid w:val="3CFE42B1"/>
    <w:rsid w:val="3DC70233"/>
    <w:rsid w:val="3DCE2F2E"/>
    <w:rsid w:val="3DCE6861"/>
    <w:rsid w:val="3E282903"/>
    <w:rsid w:val="3EB70DA6"/>
    <w:rsid w:val="3EF220E8"/>
    <w:rsid w:val="3F5C78B4"/>
    <w:rsid w:val="3F8E2CBE"/>
    <w:rsid w:val="3FFC48B3"/>
    <w:rsid w:val="404D613F"/>
    <w:rsid w:val="41177905"/>
    <w:rsid w:val="411A5F27"/>
    <w:rsid w:val="418F68C1"/>
    <w:rsid w:val="41BD34B8"/>
    <w:rsid w:val="41C47AA8"/>
    <w:rsid w:val="42054FF6"/>
    <w:rsid w:val="42230F4E"/>
    <w:rsid w:val="429441C8"/>
    <w:rsid w:val="42B9743C"/>
    <w:rsid w:val="43714869"/>
    <w:rsid w:val="43AF0171"/>
    <w:rsid w:val="44562392"/>
    <w:rsid w:val="449C2DAD"/>
    <w:rsid w:val="458D4D84"/>
    <w:rsid w:val="45BD690E"/>
    <w:rsid w:val="461A28EF"/>
    <w:rsid w:val="467C4CA8"/>
    <w:rsid w:val="4759697B"/>
    <w:rsid w:val="492434DC"/>
    <w:rsid w:val="4A120B94"/>
    <w:rsid w:val="4A232989"/>
    <w:rsid w:val="4A6E6F3D"/>
    <w:rsid w:val="4AA51EA6"/>
    <w:rsid w:val="4B0E747A"/>
    <w:rsid w:val="4C4421B4"/>
    <w:rsid w:val="4C567E51"/>
    <w:rsid w:val="4C74222C"/>
    <w:rsid w:val="4CBB2899"/>
    <w:rsid w:val="4CFC347D"/>
    <w:rsid w:val="4D1F385B"/>
    <w:rsid w:val="4D303CA9"/>
    <w:rsid w:val="4D41465D"/>
    <w:rsid w:val="4D62461F"/>
    <w:rsid w:val="4D9D560B"/>
    <w:rsid w:val="4E6B531D"/>
    <w:rsid w:val="4F981439"/>
    <w:rsid w:val="4FC51BF5"/>
    <w:rsid w:val="50057278"/>
    <w:rsid w:val="50735F4E"/>
    <w:rsid w:val="508B0331"/>
    <w:rsid w:val="50DD4004"/>
    <w:rsid w:val="510C61B8"/>
    <w:rsid w:val="513E1221"/>
    <w:rsid w:val="5151508A"/>
    <w:rsid w:val="5251037B"/>
    <w:rsid w:val="525164A4"/>
    <w:rsid w:val="52BF5A10"/>
    <w:rsid w:val="52F67AA9"/>
    <w:rsid w:val="537768B3"/>
    <w:rsid w:val="538C5998"/>
    <w:rsid w:val="54577786"/>
    <w:rsid w:val="54835F46"/>
    <w:rsid w:val="54AD3401"/>
    <w:rsid w:val="54EB1881"/>
    <w:rsid w:val="54F7037E"/>
    <w:rsid w:val="551A7494"/>
    <w:rsid w:val="5572264A"/>
    <w:rsid w:val="55997BEB"/>
    <w:rsid w:val="569F5CD1"/>
    <w:rsid w:val="56AF177F"/>
    <w:rsid w:val="57341025"/>
    <w:rsid w:val="57916F0E"/>
    <w:rsid w:val="57DC4CDB"/>
    <w:rsid w:val="582E3E80"/>
    <w:rsid w:val="58734B97"/>
    <w:rsid w:val="58C428A6"/>
    <w:rsid w:val="592B4413"/>
    <w:rsid w:val="59486F6A"/>
    <w:rsid w:val="594F7A18"/>
    <w:rsid w:val="59A01FAF"/>
    <w:rsid w:val="59D9071B"/>
    <w:rsid w:val="5A31541D"/>
    <w:rsid w:val="5A77291D"/>
    <w:rsid w:val="5B0B2F30"/>
    <w:rsid w:val="5B3C756C"/>
    <w:rsid w:val="5B4D6D6E"/>
    <w:rsid w:val="5B6E6CFA"/>
    <w:rsid w:val="5B973FF4"/>
    <w:rsid w:val="5C895452"/>
    <w:rsid w:val="5C895478"/>
    <w:rsid w:val="5CA65E93"/>
    <w:rsid w:val="5CAF1637"/>
    <w:rsid w:val="5CC130C4"/>
    <w:rsid w:val="5D3A6718"/>
    <w:rsid w:val="5D952754"/>
    <w:rsid w:val="5E3B05AD"/>
    <w:rsid w:val="5E6E07D0"/>
    <w:rsid w:val="5ED627AA"/>
    <w:rsid w:val="5EDA482F"/>
    <w:rsid w:val="5FBF49C5"/>
    <w:rsid w:val="5FDA58D8"/>
    <w:rsid w:val="60487659"/>
    <w:rsid w:val="604C4D4B"/>
    <w:rsid w:val="60891F46"/>
    <w:rsid w:val="609A4E1A"/>
    <w:rsid w:val="60E728B6"/>
    <w:rsid w:val="60F14633"/>
    <w:rsid w:val="61CB0445"/>
    <w:rsid w:val="61E4787B"/>
    <w:rsid w:val="61ED48D1"/>
    <w:rsid w:val="6206748F"/>
    <w:rsid w:val="62A212A2"/>
    <w:rsid w:val="62A83061"/>
    <w:rsid w:val="63136EFC"/>
    <w:rsid w:val="636E5D16"/>
    <w:rsid w:val="63794C6A"/>
    <w:rsid w:val="6391146C"/>
    <w:rsid w:val="63C226AF"/>
    <w:rsid w:val="64195073"/>
    <w:rsid w:val="65346DA8"/>
    <w:rsid w:val="662F536F"/>
    <w:rsid w:val="6645441B"/>
    <w:rsid w:val="66646464"/>
    <w:rsid w:val="66704BC0"/>
    <w:rsid w:val="66B54861"/>
    <w:rsid w:val="67186444"/>
    <w:rsid w:val="679E5412"/>
    <w:rsid w:val="681E02C9"/>
    <w:rsid w:val="69D86DAF"/>
    <w:rsid w:val="6A1B790E"/>
    <w:rsid w:val="6A734CA6"/>
    <w:rsid w:val="6AA02534"/>
    <w:rsid w:val="6B17268F"/>
    <w:rsid w:val="6B7B5BAC"/>
    <w:rsid w:val="6C8839E5"/>
    <w:rsid w:val="6C9B67E8"/>
    <w:rsid w:val="6CA1645A"/>
    <w:rsid w:val="6CD72490"/>
    <w:rsid w:val="6DAF40A7"/>
    <w:rsid w:val="6E1B38DD"/>
    <w:rsid w:val="6EEE0798"/>
    <w:rsid w:val="6EFC0B5E"/>
    <w:rsid w:val="6F3332FA"/>
    <w:rsid w:val="6F946416"/>
    <w:rsid w:val="6FB71CAF"/>
    <w:rsid w:val="6FD568BA"/>
    <w:rsid w:val="7051697B"/>
    <w:rsid w:val="70835FD4"/>
    <w:rsid w:val="70B364F1"/>
    <w:rsid w:val="70CD468A"/>
    <w:rsid w:val="718025B7"/>
    <w:rsid w:val="71847EB1"/>
    <w:rsid w:val="71A277A9"/>
    <w:rsid w:val="71F64320"/>
    <w:rsid w:val="72225C24"/>
    <w:rsid w:val="72860B42"/>
    <w:rsid w:val="72990F2B"/>
    <w:rsid w:val="72AE0585"/>
    <w:rsid w:val="73594034"/>
    <w:rsid w:val="73C70FD6"/>
    <w:rsid w:val="74494239"/>
    <w:rsid w:val="749F2677"/>
    <w:rsid w:val="74DC2333"/>
    <w:rsid w:val="75636264"/>
    <w:rsid w:val="76993E1F"/>
    <w:rsid w:val="76A83C36"/>
    <w:rsid w:val="772A0C70"/>
    <w:rsid w:val="772E6241"/>
    <w:rsid w:val="77DC095A"/>
    <w:rsid w:val="77E149E3"/>
    <w:rsid w:val="780806F5"/>
    <w:rsid w:val="78400896"/>
    <w:rsid w:val="7893651F"/>
    <w:rsid w:val="78C16966"/>
    <w:rsid w:val="78CC7BA3"/>
    <w:rsid w:val="79B24069"/>
    <w:rsid w:val="79C72899"/>
    <w:rsid w:val="7A307323"/>
    <w:rsid w:val="7A407EA1"/>
    <w:rsid w:val="7A4E0243"/>
    <w:rsid w:val="7AC878BC"/>
    <w:rsid w:val="7ACC3340"/>
    <w:rsid w:val="7AF92552"/>
    <w:rsid w:val="7B1060B3"/>
    <w:rsid w:val="7B814771"/>
    <w:rsid w:val="7C226173"/>
    <w:rsid w:val="7C8715F5"/>
    <w:rsid w:val="7CD114F2"/>
    <w:rsid w:val="7CD24E1B"/>
    <w:rsid w:val="7CE76B79"/>
    <w:rsid w:val="7D081EBD"/>
    <w:rsid w:val="7D177C50"/>
    <w:rsid w:val="7D795883"/>
    <w:rsid w:val="7E10099C"/>
    <w:rsid w:val="7E1B3E61"/>
    <w:rsid w:val="7E215C5A"/>
    <w:rsid w:val="7E6C1FCC"/>
    <w:rsid w:val="7E947270"/>
    <w:rsid w:val="7F023F74"/>
    <w:rsid w:val="7F2A5CD3"/>
    <w:rsid w:val="7F313AA2"/>
    <w:rsid w:val="7F686733"/>
    <w:rsid w:val="7F895CC5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Body Text 3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0E59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0">
    <w:name w:val="heading 3"/>
    <w:basedOn w:val="a"/>
    <w:next w:val="a"/>
    <w:unhideWhenUsed/>
    <w:qFormat/>
    <w:rsid w:val="000E5907"/>
    <w:pPr>
      <w:keepNext/>
      <w:keepLines/>
      <w:spacing w:line="560" w:lineRule="exact"/>
      <w:ind w:firstLineChars="200" w:firstLine="200"/>
      <w:outlineLvl w:val="2"/>
    </w:pPr>
    <w:rPr>
      <w:rFonts w:ascii="楷体_GB2312" w:eastAsia="楷体_GB2312" w:hAnsi="宋体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rsid w:val="000E5907"/>
    <w:pPr>
      <w:spacing w:after="120"/>
    </w:pPr>
    <w:rPr>
      <w:rFonts w:ascii="Calibri" w:eastAsia="宋体" w:hAnsi="Calibri" w:cs="Times New Roman"/>
      <w:sz w:val="16"/>
      <w:szCs w:val="16"/>
    </w:rPr>
  </w:style>
  <w:style w:type="paragraph" w:styleId="a3">
    <w:name w:val="footer"/>
    <w:basedOn w:val="a"/>
    <w:uiPriority w:val="99"/>
    <w:qFormat/>
    <w:rsid w:val="000E59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E590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E5907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0E5907"/>
    <w:rPr>
      <w:b/>
    </w:rPr>
  </w:style>
  <w:style w:type="character" w:customStyle="1" w:styleId="NormalCharacter">
    <w:name w:val="NormalCharacter"/>
    <w:qFormat/>
    <w:rsid w:val="000E5907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210</Words>
  <Characters>1203</Characters>
  <Application>Microsoft Office Word</Application>
  <DocSecurity>0</DocSecurity>
  <Lines>10</Lines>
  <Paragraphs>2</Paragraphs>
  <ScaleCrop>false</ScaleCrop>
  <Company>微软中国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2023-01-03T01:51:00Z</cp:lastPrinted>
  <dcterms:created xsi:type="dcterms:W3CDTF">2022-11-21T12:55:00Z</dcterms:created>
  <dcterms:modified xsi:type="dcterms:W3CDTF">2023-01-09T07:28:00Z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9945786FB15B4E43B9AE6510841150D1</vt:lpwstr>
  </property>
  <property fmtid="{D5CDD505-2E9C-101B-9397-08002B2CF9AE}" pid="4" name="KSOSaveFontToCloudKey">
    <vt:lpwstr>437334946_embed</vt:lpwstr>
  </property>
</Properties>
</file>