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微软雅黑" w:cs="Times New Roman"/>
          <w:b/>
          <w:sz w:val="32"/>
          <w:szCs w:val="32"/>
          <w:lang w:eastAsia="zh-CN"/>
        </w:rPr>
      </w:pPr>
    </w:p>
    <w:p>
      <w:pPr>
        <w:jc w:val="center"/>
        <w:rPr>
          <w:rFonts w:ascii="Times New Roman" w:hAnsi="Times New Roman" w:eastAsia="微软雅黑" w:cs="Times New Roman"/>
          <w:b/>
          <w:sz w:val="32"/>
          <w:szCs w:val="32"/>
        </w:rPr>
      </w:pPr>
    </w:p>
    <w:p>
      <w:pPr>
        <w:jc w:val="center"/>
        <w:rPr>
          <w:rFonts w:ascii="Times New Roman" w:hAnsi="Times New Roman" w:eastAsia="微软雅黑" w:cs="Times New Roman"/>
          <w:b/>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hint="eastAsia" w:ascii="方正小标宋简体" w:hAnsi="方正小标宋简体" w:eastAsia="方正小标宋简体" w:cs="方正小标宋简体"/>
          <w:b/>
          <w:bCs w:val="0"/>
          <w:sz w:val="44"/>
          <w:szCs w:val="44"/>
        </w:rPr>
      </w:pPr>
      <w:r>
        <w:rPr>
          <w:rFonts w:hint="eastAsia" w:ascii="方正小标宋简体" w:hAnsi="方正小标宋简体" w:eastAsia="方正小标宋简体" w:cs="方正小标宋简体"/>
          <w:b/>
          <w:bCs w:val="0"/>
          <w:sz w:val="44"/>
          <w:szCs w:val="44"/>
        </w:rPr>
        <w:t>五华县2022年部分乡镇饮用水源保护区划定（调整）方案</w:t>
      </w: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hint="eastAsia" w:ascii="方正仿宋简体" w:hAnsi="方正仿宋简体" w:eastAsia="方正仿宋简体" w:cs="方正仿宋简体"/>
          <w:b/>
          <w:bCs w:val="0"/>
          <w:sz w:val="32"/>
          <w:szCs w:val="32"/>
        </w:rPr>
      </w:pPr>
      <w:r>
        <w:rPr>
          <w:rFonts w:hint="eastAsia" w:ascii="方正仿宋简体" w:hAnsi="方正仿宋简体" w:eastAsia="方正仿宋简体" w:cs="方正仿宋简体"/>
          <w:b/>
          <w:bCs w:val="0"/>
          <w:sz w:val="32"/>
          <w:szCs w:val="32"/>
        </w:rPr>
        <w:t>（征求意见稿）</w:t>
      </w: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eastAsia="微软雅黑" w:cs="Times New Roman"/>
          <w:b/>
          <w:bCs w:val="0"/>
          <w:sz w:val="32"/>
          <w:szCs w:val="32"/>
        </w:rPr>
      </w:pP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hint="default" w:ascii="Times New Roman" w:hAnsi="Times New Roman" w:eastAsia="方正仿宋简体" w:cs="Times New Roman"/>
          <w:b/>
          <w:bCs w:val="0"/>
          <w:sz w:val="32"/>
          <w:szCs w:val="32"/>
        </w:rPr>
      </w:pPr>
      <w:r>
        <w:rPr>
          <w:rFonts w:hint="default" w:ascii="Times New Roman" w:hAnsi="Times New Roman" w:eastAsia="方正仿宋简体" w:cs="Times New Roman"/>
          <w:b/>
          <w:bCs w:val="0"/>
          <w:sz w:val="32"/>
          <w:szCs w:val="32"/>
          <w:lang w:val="en-US" w:eastAsia="zh-CN"/>
        </w:rPr>
        <w:t>五华县</w:t>
      </w:r>
      <w:r>
        <w:rPr>
          <w:rFonts w:hint="default" w:ascii="Times New Roman" w:hAnsi="Times New Roman" w:eastAsia="方正仿宋简体" w:cs="Times New Roman"/>
          <w:b/>
          <w:bCs w:val="0"/>
          <w:sz w:val="32"/>
          <w:szCs w:val="32"/>
        </w:rPr>
        <w:t>人民政府</w:t>
      </w:r>
    </w:p>
    <w:p>
      <w:pPr>
        <w:keepNext w:val="0"/>
        <w:keepLines w:val="0"/>
        <w:pageBreakBefore w:val="0"/>
        <w:widowControl w:val="0"/>
        <w:kinsoku/>
        <w:wordWrap/>
        <w:overflowPunct/>
        <w:topLinePunct w:val="0"/>
        <w:autoSpaceDE/>
        <w:autoSpaceDN/>
        <w:bidi w:val="0"/>
        <w:adjustRightInd/>
        <w:snapToGrid/>
        <w:spacing w:line="584" w:lineRule="exact"/>
        <w:jc w:val="center"/>
        <w:textAlignment w:val="auto"/>
        <w:rPr>
          <w:rFonts w:hint="default" w:ascii="Times New Roman" w:hAnsi="Times New Roman" w:eastAsia="方正仿宋简体" w:cs="Times New Roman"/>
          <w:b/>
          <w:bCs w:val="0"/>
          <w:sz w:val="32"/>
          <w:szCs w:val="32"/>
          <w:lang w:val="en-US" w:eastAsia="zh-CN"/>
        </w:rPr>
      </w:pPr>
      <w:r>
        <w:rPr>
          <w:rFonts w:hint="default" w:ascii="Times New Roman" w:hAnsi="Times New Roman" w:eastAsia="方正仿宋简体" w:cs="Times New Roman"/>
          <w:b/>
          <w:bCs w:val="0"/>
          <w:sz w:val="32"/>
          <w:szCs w:val="32"/>
        </w:rPr>
        <w:t>202</w:t>
      </w:r>
      <w:r>
        <w:rPr>
          <w:rFonts w:hint="default" w:ascii="Times New Roman" w:hAnsi="Times New Roman" w:eastAsia="方正仿宋简体" w:cs="Times New Roman"/>
          <w:b/>
          <w:bCs w:val="0"/>
          <w:sz w:val="32"/>
          <w:szCs w:val="32"/>
          <w:lang w:val="en-US" w:eastAsia="zh-CN"/>
        </w:rPr>
        <w:t>3.3</w:t>
      </w:r>
    </w:p>
    <w:p>
      <w:pPr>
        <w:rPr>
          <w:rFonts w:ascii="Times New Roman" w:hAnsi="Times New Roman" w:eastAsia="微软雅黑" w:cs="Times New Roman"/>
          <w:sz w:val="32"/>
          <w:szCs w:val="32"/>
        </w:rPr>
      </w:pPr>
    </w:p>
    <w:p>
      <w:pPr>
        <w:tabs>
          <w:tab w:val="center" w:pos="4153"/>
        </w:tabs>
        <w:rPr>
          <w:rFonts w:ascii="Times New Roman" w:hAnsi="Times New Roman" w:eastAsia="微软雅黑" w:cs="Times New Roman"/>
          <w:sz w:val="28"/>
          <w:szCs w:val="28"/>
        </w:rPr>
      </w:pPr>
      <w:r>
        <w:rPr>
          <w:rFonts w:ascii="Times New Roman" w:hAnsi="Times New Roman" w:eastAsia="微软雅黑" w:cs="Times New Roman"/>
          <w:sz w:val="28"/>
          <w:szCs w:val="28"/>
        </w:rPr>
        <w:tab/>
      </w:r>
    </w:p>
    <w:p>
      <w:pPr>
        <w:pageBreakBefore w:val="0"/>
        <w:widowControl w:val="0"/>
        <w:tabs>
          <w:tab w:val="center" w:pos="4153"/>
        </w:tabs>
        <w:kinsoku/>
        <w:wordWrap/>
        <w:overflowPunct/>
        <w:topLinePunct w:val="0"/>
        <w:autoSpaceDE/>
        <w:autoSpaceDN/>
        <w:bidi w:val="0"/>
        <w:adjustRightInd/>
        <w:snapToGrid/>
        <w:spacing w:line="584" w:lineRule="exact"/>
        <w:jc w:val="center"/>
        <w:textAlignment w:val="auto"/>
        <w:rPr>
          <w:rFonts w:hint="eastAsia" w:ascii="方正小标宋简体" w:hAnsi="方正小标宋简体" w:eastAsia="方正小标宋简体" w:cs="方正小标宋简体"/>
          <w:b/>
          <w:sz w:val="44"/>
          <w:szCs w:val="44"/>
          <w:lang w:eastAsia="zh-CN"/>
        </w:rPr>
      </w:pPr>
    </w:p>
    <w:p>
      <w:pPr>
        <w:pageBreakBefore w:val="0"/>
        <w:widowControl w:val="0"/>
        <w:tabs>
          <w:tab w:val="center" w:pos="4153"/>
        </w:tabs>
        <w:kinsoku/>
        <w:wordWrap/>
        <w:overflowPunct/>
        <w:topLinePunct w:val="0"/>
        <w:autoSpaceDE/>
        <w:autoSpaceDN/>
        <w:bidi w:val="0"/>
        <w:adjustRightInd/>
        <w:snapToGrid/>
        <w:spacing w:line="584" w:lineRule="exact"/>
        <w:jc w:val="center"/>
        <w:textAlignment w:val="auto"/>
        <w:rPr>
          <w:rFonts w:hint="eastAsia" w:ascii="方正小标宋简体" w:hAnsi="方正小标宋简体" w:eastAsia="方正小标宋简体" w:cs="方正小标宋简体"/>
          <w:b/>
          <w:sz w:val="44"/>
          <w:szCs w:val="44"/>
        </w:rPr>
      </w:pPr>
      <w:bookmarkStart w:id="1" w:name="_GoBack"/>
      <w:bookmarkEnd w:id="1"/>
      <w:r>
        <w:rPr>
          <w:rFonts w:hint="eastAsia" w:ascii="方正小标宋简体" w:hAnsi="方正小标宋简体" w:eastAsia="方正小标宋简体" w:cs="方正小标宋简体"/>
          <w:b/>
          <w:sz w:val="44"/>
          <w:szCs w:val="44"/>
          <w:lang w:eastAsia="zh-CN"/>
        </w:rPr>
        <w:t>五华县2022年</w:t>
      </w:r>
      <w:r>
        <w:rPr>
          <w:rFonts w:hint="eastAsia" w:ascii="方正小标宋简体" w:hAnsi="方正小标宋简体" w:eastAsia="方正小标宋简体" w:cs="方正小标宋简体"/>
          <w:b/>
          <w:sz w:val="44"/>
          <w:szCs w:val="44"/>
        </w:rPr>
        <w:t>部分乡镇饮用水</w:t>
      </w:r>
      <w:r>
        <w:rPr>
          <w:rFonts w:hint="eastAsia" w:ascii="方正小标宋简体" w:hAnsi="方正小标宋简体" w:eastAsia="方正小标宋简体" w:cs="方正小标宋简体"/>
          <w:b/>
          <w:sz w:val="44"/>
          <w:szCs w:val="44"/>
          <w:lang w:val="en-US" w:eastAsia="zh-CN"/>
        </w:rPr>
        <w:t>水</w:t>
      </w:r>
      <w:r>
        <w:rPr>
          <w:rFonts w:hint="eastAsia" w:ascii="方正小标宋简体" w:hAnsi="方正小标宋简体" w:eastAsia="方正小标宋简体" w:cs="方正小标宋简体"/>
          <w:b/>
          <w:sz w:val="44"/>
          <w:szCs w:val="44"/>
        </w:rPr>
        <w:t>源保护区划定（调整）方案</w:t>
      </w:r>
    </w:p>
    <w:p>
      <w:pPr>
        <w:pageBreakBefore w:val="0"/>
        <w:widowControl w:val="0"/>
        <w:kinsoku/>
        <w:wordWrap/>
        <w:overflowPunct/>
        <w:topLinePunct w:val="0"/>
        <w:autoSpaceDE/>
        <w:autoSpaceDN/>
        <w:bidi w:val="0"/>
        <w:adjustRightInd/>
        <w:snapToGrid/>
        <w:spacing w:line="584" w:lineRule="exact"/>
        <w:jc w:val="center"/>
        <w:textAlignment w:val="auto"/>
        <w:rPr>
          <w:rFonts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584" w:lineRule="exact"/>
        <w:jc w:val="center"/>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w:t>
      </w:r>
      <w:r>
        <w:rPr>
          <w:rFonts w:hint="default" w:ascii="Times New Roman" w:hAnsi="Times New Roman" w:eastAsia="方正仿宋简体" w:cs="Times New Roman"/>
          <w:sz w:val="32"/>
          <w:szCs w:val="32"/>
          <w:lang w:val="en-US" w:eastAsia="zh-CN"/>
        </w:rPr>
        <w:t>征求意见</w:t>
      </w:r>
      <w:r>
        <w:rPr>
          <w:rFonts w:hint="default" w:ascii="Times New Roman" w:hAnsi="Times New Roman" w:eastAsia="方正仿宋简体" w:cs="Times New Roman"/>
          <w:sz w:val="32"/>
          <w:szCs w:val="32"/>
        </w:rPr>
        <w:t>稿）</w:t>
      </w:r>
    </w:p>
    <w:p>
      <w:pPr>
        <w:pageBreakBefore w:val="0"/>
        <w:widowControl w:val="0"/>
        <w:kinsoku/>
        <w:wordWrap/>
        <w:overflowPunct/>
        <w:topLinePunct w:val="0"/>
        <w:autoSpaceDE/>
        <w:autoSpaceDN/>
        <w:bidi w:val="0"/>
        <w:adjustRightInd/>
        <w:snapToGrid/>
        <w:spacing w:line="584" w:lineRule="exact"/>
        <w:jc w:val="center"/>
        <w:textAlignment w:val="auto"/>
        <w:rPr>
          <w:rFonts w:hint="default" w:ascii="Times New Roman" w:hAnsi="Times New Roman" w:eastAsia="方正仿宋简体" w:cs="Times New Roman"/>
          <w:sz w:val="32"/>
          <w:szCs w:val="32"/>
        </w:rPr>
      </w:pP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bookmarkStart w:id="0" w:name="_Hlk76833979"/>
      <w:r>
        <w:rPr>
          <w:rFonts w:hint="default" w:ascii="Times New Roman" w:hAnsi="Times New Roman" w:eastAsia="方正仿宋简体" w:cs="Times New Roman"/>
          <w:sz w:val="32"/>
          <w:szCs w:val="32"/>
        </w:rPr>
        <w:t>为落实党中央、国务院关于打好水源地保护攻坚战的决策部署，加强农村饮用水水源保护区的划定和保护</w:t>
      </w:r>
      <w:bookmarkEnd w:id="0"/>
      <w:r>
        <w:rPr>
          <w:rFonts w:hint="default" w:ascii="Times New Roman" w:hAnsi="Times New Roman" w:eastAsia="方正仿宋简体" w:cs="Times New Roman"/>
          <w:sz w:val="32"/>
          <w:szCs w:val="32"/>
        </w:rPr>
        <w:t>，根据生态环境部《关于推进乡镇及以下集中式饮用水源地生态环境保护工作的指导意见》（环水体函〔2019〕92号）要求，梅州市生态环境局</w:t>
      </w:r>
      <w:r>
        <w:rPr>
          <w:rFonts w:hint="default" w:ascii="Times New Roman" w:hAnsi="Times New Roman" w:eastAsia="方正仿宋简体" w:cs="Times New Roman"/>
          <w:sz w:val="32"/>
          <w:szCs w:val="32"/>
          <w:lang w:val="en-US" w:eastAsia="zh-CN"/>
        </w:rPr>
        <w:t>五华</w:t>
      </w:r>
      <w:r>
        <w:rPr>
          <w:rFonts w:hint="default" w:ascii="Times New Roman" w:hAnsi="Times New Roman" w:eastAsia="方正仿宋简体" w:cs="Times New Roman"/>
          <w:sz w:val="32"/>
          <w:szCs w:val="32"/>
        </w:rPr>
        <w:t>分局决定对辖区内部分乡镇集中式饮用水源保护区进行划定和调整，编制本划定方案。</w:t>
      </w:r>
    </w:p>
    <w:p>
      <w:pPr>
        <w:pStyle w:val="4"/>
        <w:pageBreakBefore w:val="0"/>
        <w:widowControl w:val="0"/>
        <w:kinsoku/>
        <w:wordWrap/>
        <w:overflowPunct/>
        <w:topLinePunct w:val="0"/>
        <w:autoSpaceDE/>
        <w:autoSpaceDN/>
        <w:bidi w:val="0"/>
        <w:adjustRightInd/>
        <w:snapToGrid/>
        <w:spacing w:line="584" w:lineRule="exact"/>
        <w:ind w:firstLine="602"/>
        <w:textAlignment w:val="auto"/>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1 指导思想</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以习近平生态文明思想为核心，坚持以人为本、科学划定的原则，贯彻人与自然和谐的理念，以保障农村饮用水源水质安全为目标，统筹考虑水源地所在区域社会经济发展与供水安全。因地制宜，防治并重，确保群众饮水安全。</w:t>
      </w:r>
    </w:p>
    <w:p>
      <w:pPr>
        <w:pStyle w:val="4"/>
        <w:pageBreakBefore w:val="0"/>
        <w:widowControl w:val="0"/>
        <w:kinsoku/>
        <w:wordWrap/>
        <w:overflowPunct/>
        <w:topLinePunct w:val="0"/>
        <w:autoSpaceDE/>
        <w:autoSpaceDN/>
        <w:bidi w:val="0"/>
        <w:adjustRightInd/>
        <w:snapToGrid/>
        <w:spacing w:line="584" w:lineRule="exact"/>
        <w:ind w:firstLine="602"/>
        <w:textAlignment w:val="auto"/>
        <w:rPr>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2 划分原则</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（1）统筹区划，因地制宜 </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在全面调查饮用水水源基本情况和基础环境状况的基础上，根据自然地理条件、水资源条件、经济水平和相关发展规划，分析现有饮用水源地布局的合理性和饮用水水源水质安全存在的主要问题，把解决饮用水源安全问题，确保群众饮水安全作为重点。 </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（2）科学划定，实用可行</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以饮用水源保护区划定技术规范和指引为向导，针对湖库型、河流型饮用水水源的特点，结合各水源地实际情况，与流域水资源保护规划、供水规划、城镇总体规划及经济社会发展需要相协调，划定合理的饮用水水源保护区。划定方案力求明确简单，便于日常监管工作的开展。</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（3）防治并重，强化管理</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围绕饮用水水源保护区风险防范和综合治理并重的原则，明确水源保护区规范化建设、监督、管理的具体目标和任务，综合利用法律、行政、技术等手段，加强农村饮用水水源保护区的监督管理。</w:t>
      </w:r>
    </w:p>
    <w:p>
      <w:pPr>
        <w:pStyle w:val="4"/>
        <w:pageBreakBefore w:val="0"/>
        <w:widowControl w:val="0"/>
        <w:kinsoku/>
        <w:wordWrap/>
        <w:overflowPunct/>
        <w:topLinePunct w:val="0"/>
        <w:autoSpaceDE/>
        <w:autoSpaceDN/>
        <w:bidi w:val="0"/>
        <w:adjustRightInd/>
        <w:snapToGrid/>
        <w:spacing w:line="584" w:lineRule="exact"/>
        <w:ind w:firstLine="602"/>
        <w:textAlignment w:val="auto"/>
        <w:rPr>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3 划定范围</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ascii="仿宋" w:hAnsi="仿宋" w:eastAsia="仿宋" w:cs="Times New Roman"/>
          <w:sz w:val="28"/>
          <w:szCs w:val="28"/>
        </w:rPr>
      </w:pPr>
      <w:r>
        <w:rPr>
          <w:rFonts w:hint="default" w:ascii="Times New Roman" w:hAnsi="Times New Roman" w:eastAsia="方正仿宋简体" w:cs="Times New Roman"/>
          <w:sz w:val="32"/>
          <w:szCs w:val="32"/>
        </w:rPr>
        <w:t>本方案</w:t>
      </w:r>
      <w:r>
        <w:rPr>
          <w:rFonts w:hint="eastAsia" w:ascii="Times New Roman" w:hAnsi="Times New Roman" w:eastAsia="方正仿宋简体" w:cs="Times New Roman"/>
          <w:sz w:val="32"/>
          <w:szCs w:val="32"/>
        </w:rPr>
        <w:t>共</w:t>
      </w:r>
      <w:r>
        <w:rPr>
          <w:rFonts w:hint="default" w:ascii="Times New Roman" w:hAnsi="Times New Roman" w:eastAsia="方正仿宋简体" w:cs="Times New Roman"/>
          <w:sz w:val="32"/>
          <w:szCs w:val="32"/>
        </w:rPr>
        <w:t>划定</w:t>
      </w:r>
      <w:r>
        <w:rPr>
          <w:rFonts w:hint="eastAsia" w:ascii="Times New Roman" w:hAnsi="Times New Roman" w:eastAsia="方正仿宋简体" w:cs="Times New Roman"/>
          <w:sz w:val="32"/>
          <w:szCs w:val="32"/>
        </w:rPr>
        <w:t>（调整）</w:t>
      </w:r>
      <w:r>
        <w:rPr>
          <w:rFonts w:hint="eastAsia"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rPr>
        <w:t>个</w:t>
      </w:r>
      <w:r>
        <w:rPr>
          <w:rFonts w:hint="eastAsia" w:ascii="Times New Roman" w:hAnsi="Times New Roman" w:eastAsia="方正仿宋简体" w:cs="Times New Roman"/>
          <w:sz w:val="32"/>
          <w:szCs w:val="32"/>
          <w:lang w:val="en-US" w:eastAsia="zh-CN"/>
        </w:rPr>
        <w:t>五华县</w:t>
      </w:r>
      <w:r>
        <w:rPr>
          <w:rFonts w:hint="eastAsia" w:ascii="Times New Roman" w:hAnsi="Times New Roman" w:eastAsia="方正仿宋简体" w:cs="Times New Roman"/>
          <w:sz w:val="32"/>
          <w:szCs w:val="32"/>
        </w:rPr>
        <w:t>乡镇集中式饮用水水源保护区，</w:t>
      </w:r>
      <w:r>
        <w:rPr>
          <w:rFonts w:hint="default" w:ascii="Times New Roman" w:hAnsi="Times New Roman" w:eastAsia="方正仿宋简体" w:cs="Times New Roman"/>
          <w:sz w:val="32"/>
          <w:szCs w:val="32"/>
        </w:rPr>
        <w:t>包括</w:t>
      </w:r>
      <w:r>
        <w:rPr>
          <w:rFonts w:hint="eastAsia" w:ascii="Times New Roman" w:hAnsi="Times New Roman" w:eastAsia="方正仿宋简体" w:cs="Times New Roman"/>
          <w:sz w:val="32"/>
          <w:szCs w:val="32"/>
        </w:rPr>
        <w:t>新划定郭田镇龙潭村饮用水水源保护区</w:t>
      </w:r>
      <w:r>
        <w:rPr>
          <w:rFonts w:hint="default" w:ascii="Times New Roman" w:hAnsi="Times New Roman" w:eastAsia="方正仿宋简体" w:cs="Times New Roman"/>
          <w:sz w:val="32"/>
          <w:szCs w:val="32"/>
        </w:rPr>
        <w:t>、取消</w:t>
      </w:r>
      <w:r>
        <w:rPr>
          <w:rFonts w:hint="eastAsia" w:ascii="Times New Roman" w:hAnsi="Times New Roman" w:eastAsia="方正仿宋简体" w:cs="Times New Roman"/>
          <w:sz w:val="32"/>
          <w:szCs w:val="32"/>
        </w:rPr>
        <w:t>郭田镇三渡水库饮用水水源保护区。</w:t>
      </w:r>
    </w:p>
    <w:p>
      <w:pPr>
        <w:pStyle w:val="4"/>
        <w:pageBreakBefore w:val="0"/>
        <w:widowControl w:val="0"/>
        <w:kinsoku/>
        <w:wordWrap/>
        <w:overflowPunct/>
        <w:topLinePunct w:val="0"/>
        <w:autoSpaceDE/>
        <w:autoSpaceDN/>
        <w:bidi w:val="0"/>
        <w:adjustRightInd/>
        <w:snapToGrid/>
        <w:spacing w:line="584" w:lineRule="exact"/>
        <w:ind w:firstLine="602"/>
        <w:textAlignment w:val="auto"/>
        <w:rPr>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sz w:val="32"/>
          <w:szCs w:val="32"/>
        </w:rPr>
        <w:t>4 划定方案</w:t>
      </w:r>
    </w:p>
    <w:p>
      <w:pPr>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方正仿宋简体" w:cs="Times New Roman"/>
          <w:sz w:val="32"/>
          <w:szCs w:val="32"/>
        </w:rPr>
        <w:sectPr>
          <w:footerReference r:id="rId3" w:type="default"/>
          <w:pgSz w:w="11906" w:h="16838"/>
          <w:pgMar w:top="2041" w:right="1587" w:bottom="1701" w:left="1587" w:header="851" w:footer="992" w:gutter="0"/>
          <w:cols w:space="425" w:num="1"/>
          <w:titlePg/>
          <w:docGrid w:type="lines" w:linePitch="312" w:charSpace="0"/>
        </w:sectPr>
      </w:pPr>
      <w:r>
        <w:rPr>
          <w:rFonts w:hint="default" w:ascii="Times New Roman" w:hAnsi="Times New Roman" w:eastAsia="方正仿宋简体" w:cs="Times New Roman"/>
          <w:sz w:val="32"/>
          <w:szCs w:val="32"/>
        </w:rPr>
        <w:t>针对拟划定水源地实际情况，结合相关划定原则和技术方法，拟划定</w:t>
      </w:r>
      <w:r>
        <w:rPr>
          <w:rFonts w:hint="eastAsia" w:ascii="Times New Roman" w:hAnsi="Times New Roman" w:eastAsia="方正仿宋简体" w:cs="Times New Roman"/>
          <w:sz w:val="32"/>
          <w:szCs w:val="32"/>
        </w:rPr>
        <w:t>（调整）饮用水</w:t>
      </w:r>
      <w:r>
        <w:rPr>
          <w:rFonts w:hint="default" w:ascii="Times New Roman" w:hAnsi="Times New Roman" w:eastAsia="方正仿宋简体" w:cs="Times New Roman"/>
          <w:sz w:val="32"/>
          <w:szCs w:val="32"/>
        </w:rPr>
        <w:t>水源保护区方案详见表1</w:t>
      </w:r>
      <w:r>
        <w:rPr>
          <w:rFonts w:hint="eastAsia" w:ascii="Times New Roman" w:hAnsi="Times New Roman" w:eastAsia="方正仿宋简体" w:cs="Times New Roman"/>
          <w:sz w:val="32"/>
          <w:szCs w:val="32"/>
          <w:lang w:eastAsia="zh-CN"/>
        </w:rPr>
        <w:t>，</w:t>
      </w:r>
      <w:r>
        <w:rPr>
          <w:rFonts w:hint="eastAsia" w:ascii="Times New Roman" w:hAnsi="Times New Roman" w:eastAsia="方正仿宋简体" w:cs="Times New Roman"/>
          <w:sz w:val="32"/>
          <w:szCs w:val="32"/>
          <w:lang w:val="en-US" w:eastAsia="zh-CN"/>
        </w:rPr>
        <w:t>图件见附件1和附件2</w:t>
      </w:r>
      <w:r>
        <w:rPr>
          <w:rFonts w:hint="default" w:ascii="Times New Roman" w:hAnsi="Times New Roman" w:eastAsia="方正仿宋简体" w:cs="Times New Roman"/>
          <w:sz w:val="32"/>
          <w:szCs w:val="32"/>
        </w:rPr>
        <w:t>。</w:t>
      </w:r>
    </w:p>
    <w:p>
      <w:pPr>
        <w:wordWrap w:val="0"/>
        <w:spacing w:before="156" w:beforeLines="50" w:line="360" w:lineRule="auto"/>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 xml:space="preserve">表1  </w:t>
      </w:r>
      <w:r>
        <w:rPr>
          <w:rFonts w:hint="eastAsia" w:ascii="方正小标宋简体" w:hAnsi="方正小标宋简体" w:eastAsia="方正小标宋简体" w:cs="方正小标宋简体"/>
          <w:b/>
          <w:sz w:val="36"/>
          <w:szCs w:val="36"/>
          <w:lang w:eastAsia="zh-CN"/>
        </w:rPr>
        <w:t>五华县2022年</w:t>
      </w:r>
      <w:r>
        <w:rPr>
          <w:rFonts w:hint="eastAsia" w:ascii="方正小标宋简体" w:hAnsi="方正小标宋简体" w:eastAsia="方正小标宋简体" w:cs="方正小标宋简体"/>
          <w:b/>
          <w:sz w:val="36"/>
          <w:szCs w:val="36"/>
        </w:rPr>
        <w:t>部分乡镇饮用水水源保护区划定（调整）方案</w:t>
      </w:r>
    </w:p>
    <w:tbl>
      <w:tblPr>
        <w:tblStyle w:val="20"/>
        <w:tblW w:w="21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618"/>
        <w:gridCol w:w="1228"/>
        <w:gridCol w:w="969"/>
        <w:gridCol w:w="2436"/>
        <w:gridCol w:w="2221"/>
        <w:gridCol w:w="990"/>
        <w:gridCol w:w="1260"/>
        <w:gridCol w:w="829"/>
        <w:gridCol w:w="829"/>
        <w:gridCol w:w="863"/>
        <w:gridCol w:w="4297"/>
        <w:gridCol w:w="3007"/>
        <w:gridCol w:w="100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序号</w:t>
            </w:r>
          </w:p>
        </w:tc>
        <w:tc>
          <w:tcPr>
            <w:tcW w:w="6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乡镇</w:t>
            </w:r>
          </w:p>
        </w:tc>
        <w:tc>
          <w:tcPr>
            <w:tcW w:w="122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原保护区名称</w:t>
            </w:r>
          </w:p>
        </w:tc>
        <w:tc>
          <w:tcPr>
            <w:tcW w:w="6616"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调整前保护区范围</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调整后保护区名称</w:t>
            </w:r>
          </w:p>
        </w:tc>
        <w:tc>
          <w:tcPr>
            <w:tcW w:w="829" w:type="dxa"/>
            <w:vMerge w:val="restart"/>
            <w:tcBorders>
              <w:top w:val="single" w:color="auto" w:sz="4" w:space="0"/>
              <w:left w:val="single" w:color="auto" w:sz="4" w:space="0"/>
              <w:right w:val="single" w:color="auto" w:sz="4" w:space="0"/>
            </w:tcBorders>
            <w:vAlign w:val="center"/>
          </w:tcPr>
          <w:p>
            <w:pPr>
              <w:snapToGrid w:val="0"/>
              <w:jc w:val="center"/>
              <w:rPr>
                <w:rFonts w:ascii="仿宋" w:hAnsi="仿宋" w:eastAsia="仿宋" w:cs="Times New Roman"/>
                <w:szCs w:val="21"/>
              </w:rPr>
            </w:pPr>
            <w:r>
              <w:rPr>
                <w:rFonts w:hint="eastAsia" w:ascii="仿宋" w:hAnsi="仿宋" w:eastAsia="仿宋" w:cs="Times New Roman"/>
                <w:szCs w:val="21"/>
              </w:rPr>
              <w:t>保护区类型</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水质保护目标</w:t>
            </w:r>
          </w:p>
        </w:tc>
        <w:tc>
          <w:tcPr>
            <w:tcW w:w="9174"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调整后保护区范围</w:t>
            </w:r>
          </w:p>
        </w:tc>
        <w:tc>
          <w:tcPr>
            <w:tcW w:w="80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变化说明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6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12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9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保护区级别</w:t>
            </w:r>
          </w:p>
        </w:tc>
        <w:tc>
          <w:tcPr>
            <w:tcW w:w="24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水域</w:t>
            </w:r>
          </w:p>
        </w:tc>
        <w:tc>
          <w:tcPr>
            <w:tcW w:w="222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陆域</w:t>
            </w:r>
          </w:p>
        </w:tc>
        <w:tc>
          <w:tcPr>
            <w:tcW w:w="9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面积</w:t>
            </w:r>
          </w:p>
          <w:p>
            <w:pPr>
              <w:snapToGrid w:val="0"/>
              <w:jc w:val="center"/>
              <w:rPr>
                <w:rFonts w:ascii="Times New Roman" w:hAnsi="Times New Roman" w:eastAsia="仿宋" w:cs="Times New Roman"/>
                <w:szCs w:val="21"/>
              </w:rPr>
            </w:pPr>
            <w:r>
              <w:rPr>
                <w:rFonts w:hint="eastAsia" w:ascii="仿宋" w:hAnsi="仿宋" w:eastAsia="仿宋" w:cs="Times New Roman"/>
                <w:szCs w:val="21"/>
              </w:rPr>
              <w:t>（</w:t>
            </w:r>
            <w:r>
              <w:rPr>
                <w:rFonts w:ascii="Times New Roman" w:hAnsi="Times New Roman" w:eastAsia="仿宋" w:cs="Times New Roman"/>
                <w:szCs w:val="21"/>
              </w:rPr>
              <w:t>km</w:t>
            </w:r>
            <w:r>
              <w:rPr>
                <w:rFonts w:ascii="Times New Roman" w:hAnsi="Times New Roman" w:eastAsia="仿宋" w:cs="Times New Roman"/>
                <w:szCs w:val="21"/>
                <w:vertAlign w:val="superscript"/>
              </w:rPr>
              <w:t>2</w:t>
            </w:r>
            <w:r>
              <w:rPr>
                <w:rFonts w:hint="eastAsia" w:ascii="仿宋" w:hAnsi="仿宋" w:eastAsia="仿宋" w:cs="Times New Roman"/>
                <w:szCs w:val="21"/>
              </w:rPr>
              <w:t>）</w:t>
            </w: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829"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szCs w:val="21"/>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8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保护区级别</w:t>
            </w:r>
          </w:p>
        </w:tc>
        <w:tc>
          <w:tcPr>
            <w:tcW w:w="42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水域</w:t>
            </w:r>
          </w:p>
        </w:tc>
        <w:tc>
          <w:tcPr>
            <w:tcW w:w="3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陆域</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面积</w:t>
            </w:r>
          </w:p>
          <w:p>
            <w:pPr>
              <w:snapToGrid w:val="0"/>
              <w:jc w:val="center"/>
              <w:rPr>
                <w:rFonts w:ascii="Times New Roman" w:hAnsi="Times New Roman" w:eastAsia="仿宋" w:cs="Times New Roman"/>
                <w:szCs w:val="21"/>
              </w:rPr>
            </w:pPr>
            <w:r>
              <w:rPr>
                <w:rFonts w:hint="eastAsia" w:ascii="仿宋" w:hAnsi="仿宋" w:eastAsia="仿宋" w:cs="Times New Roman"/>
                <w:szCs w:val="21"/>
              </w:rPr>
              <w:t>（</w:t>
            </w:r>
            <w:r>
              <w:rPr>
                <w:rFonts w:ascii="Times New Roman" w:hAnsi="Times New Roman" w:eastAsia="仿宋" w:cs="Times New Roman"/>
                <w:szCs w:val="21"/>
              </w:rPr>
              <w:t>km</w:t>
            </w:r>
            <w:r>
              <w:rPr>
                <w:rFonts w:ascii="Times New Roman" w:hAnsi="Times New Roman" w:eastAsia="仿宋" w:cs="Times New Roman"/>
                <w:szCs w:val="21"/>
                <w:vertAlign w:val="superscript"/>
              </w:rPr>
              <w:t>2</w:t>
            </w:r>
            <w:r>
              <w:rPr>
                <w:rFonts w:hint="eastAsia" w:ascii="仿宋" w:hAnsi="仿宋" w:eastAsia="仿宋" w:cs="Times New Roman"/>
                <w:szCs w:val="21"/>
              </w:rPr>
              <w:t>）</w:t>
            </w:r>
          </w:p>
        </w:tc>
        <w:tc>
          <w:tcPr>
            <w:tcW w:w="8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2" w:hRule="atLeast"/>
          <w:jc w:val="center"/>
        </w:trPr>
        <w:tc>
          <w:tcPr>
            <w:tcW w:w="618" w:type="dxa"/>
            <w:vMerge w:val="restart"/>
            <w:tcBorders>
              <w:top w:val="nil"/>
              <w:left w:val="single" w:color="auto" w:sz="4" w:space="0"/>
              <w:bottom w:val="single" w:color="auto" w:sz="4" w:space="0"/>
              <w:right w:val="single" w:color="auto" w:sz="4" w:space="0"/>
            </w:tcBorders>
            <w:vAlign w:val="center"/>
          </w:tcPr>
          <w:p>
            <w:pPr>
              <w:numPr>
                <w:ilvl w:val="0"/>
                <w:numId w:val="1"/>
              </w:numPr>
              <w:snapToGrid w:val="0"/>
              <w:jc w:val="center"/>
              <w:rPr>
                <w:rFonts w:ascii="Times New Roman" w:hAnsi="Times New Roman" w:eastAsia="仿宋" w:cs="Times New Roman"/>
                <w:szCs w:val="21"/>
              </w:rPr>
            </w:pPr>
          </w:p>
        </w:tc>
        <w:tc>
          <w:tcPr>
            <w:tcW w:w="618" w:type="dxa"/>
            <w:vMerge w:val="restart"/>
            <w:tcBorders>
              <w:top w:val="nil"/>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szCs w:val="21"/>
                <w:lang w:val="en-US" w:eastAsia="zh-CN"/>
              </w:rPr>
            </w:pPr>
            <w:r>
              <w:rPr>
                <w:rFonts w:hint="eastAsia" w:ascii="仿宋" w:hAnsi="仿宋" w:eastAsia="仿宋" w:cs="Times New Roman"/>
                <w:szCs w:val="21"/>
                <w:lang w:val="en-US" w:eastAsia="zh-CN"/>
              </w:rPr>
              <w:t>郭田镇</w:t>
            </w:r>
          </w:p>
        </w:tc>
        <w:tc>
          <w:tcPr>
            <w:tcW w:w="1228"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三渡水库饮用水水源保护区</w:t>
            </w:r>
          </w:p>
        </w:tc>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r>
              <w:rPr>
                <w:rFonts w:hint="default" w:ascii="仿宋" w:hAnsi="仿宋" w:eastAsia="仿宋" w:cs="Times New Roman"/>
                <w:szCs w:val="21"/>
              </w:rPr>
              <w:t>一级</w:t>
            </w:r>
          </w:p>
        </w:tc>
        <w:tc>
          <w:tcPr>
            <w:tcW w:w="24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r>
              <w:rPr>
                <w:rFonts w:hint="eastAsia" w:ascii="仿宋" w:hAnsi="仿宋" w:eastAsia="仿宋" w:cs="Times New Roman"/>
                <w:szCs w:val="21"/>
              </w:rPr>
              <w:t>三渡水库多年平均水位对应的高程线以下但不超过大丰华高速北侧道路红线外</w:t>
            </w:r>
            <w:r>
              <w:rPr>
                <w:rFonts w:hint="default" w:ascii="仿宋" w:hAnsi="仿宋" w:eastAsia="仿宋" w:cs="Times New Roman"/>
                <w:szCs w:val="21"/>
              </w:rPr>
              <w:t>50</w:t>
            </w:r>
            <w:r>
              <w:rPr>
                <w:rFonts w:hint="eastAsia" w:ascii="仿宋" w:hAnsi="仿宋" w:eastAsia="仿宋" w:cs="Times New Roman"/>
                <w:szCs w:val="21"/>
              </w:rPr>
              <w:t>米的水域。</w:t>
            </w:r>
            <w:r>
              <w:rPr>
                <w:rFonts w:hint="default" w:ascii="仿宋" w:hAnsi="仿宋" w:eastAsia="仿宋" w:cs="Times New Roman"/>
                <w:szCs w:val="21"/>
              </w:rPr>
              <w:t xml:space="preserve"> </w:t>
            </w:r>
          </w:p>
        </w:tc>
        <w:tc>
          <w:tcPr>
            <w:tcW w:w="222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szCs w:val="21"/>
              </w:rPr>
            </w:pPr>
            <w:r>
              <w:rPr>
                <w:rFonts w:hint="eastAsia" w:ascii="仿宋" w:hAnsi="仿宋" w:eastAsia="仿宋" w:cs="Times New Roman"/>
                <w:szCs w:val="21"/>
              </w:rPr>
              <w:t>相应一级保护区水域外</w:t>
            </w:r>
            <w:r>
              <w:rPr>
                <w:rFonts w:hint="default" w:ascii="仿宋" w:hAnsi="仿宋" w:eastAsia="仿宋" w:cs="Times New Roman"/>
                <w:szCs w:val="21"/>
              </w:rPr>
              <w:t>200</w:t>
            </w:r>
            <w:r>
              <w:rPr>
                <w:rFonts w:hint="eastAsia" w:ascii="仿宋" w:hAnsi="仿宋" w:eastAsia="仿宋" w:cs="Times New Roman"/>
                <w:szCs w:val="21"/>
              </w:rPr>
              <w:t>米范围内的陆域，但不超过堤坝、大丰华高速道路红线外</w:t>
            </w:r>
            <w:r>
              <w:rPr>
                <w:rFonts w:hint="default" w:ascii="仿宋" w:hAnsi="仿宋" w:eastAsia="仿宋" w:cs="Times New Roman"/>
                <w:szCs w:val="21"/>
              </w:rPr>
              <w:t>50</w:t>
            </w:r>
            <w:r>
              <w:rPr>
                <w:rFonts w:hint="eastAsia" w:ascii="仿宋" w:hAnsi="仿宋" w:eastAsia="仿宋" w:cs="Times New Roman"/>
                <w:szCs w:val="21"/>
              </w:rPr>
              <w:t>米、省道</w:t>
            </w:r>
            <w:r>
              <w:rPr>
                <w:rFonts w:hint="default" w:ascii="仿宋" w:hAnsi="仿宋" w:eastAsia="仿宋" w:cs="Times New Roman"/>
                <w:szCs w:val="21"/>
              </w:rPr>
              <w:t>228</w:t>
            </w:r>
            <w:r>
              <w:rPr>
                <w:rFonts w:hint="eastAsia" w:ascii="仿宋" w:hAnsi="仿宋" w:eastAsia="仿宋" w:cs="Times New Roman"/>
                <w:szCs w:val="21"/>
              </w:rPr>
              <w:t>临水一侧路肩及流域分水岭范围。</w:t>
            </w:r>
            <w:r>
              <w:rPr>
                <w:rFonts w:hint="default" w:ascii="仿宋" w:hAnsi="仿宋" w:eastAsia="仿宋" w:cs="Times New Roman"/>
                <w:szCs w:val="21"/>
              </w:rPr>
              <w:t xml:space="preserve"> </w:t>
            </w:r>
          </w:p>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rPr>
              <w:t>1.11</w:t>
            </w:r>
            <w:r>
              <w:rPr>
                <w:rFonts w:hint="eastAsia" w:ascii="Times New Roman" w:hAnsi="Times New Roman" w:eastAsia="仿宋" w:cs="Times New Roman"/>
                <w:szCs w:val="21"/>
                <w:lang w:val="en-US" w:eastAsia="zh-CN"/>
              </w:rPr>
              <w:t>9</w:t>
            </w:r>
          </w:p>
        </w:tc>
        <w:tc>
          <w:tcPr>
            <w:tcW w:w="1260"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829" w:type="dxa"/>
            <w:vMerge w:val="restart"/>
            <w:tcBorders>
              <w:top w:val="single" w:color="auto" w:sz="4" w:space="0"/>
              <w:left w:val="single" w:color="auto" w:sz="4" w:space="0"/>
              <w:right w:val="single" w:color="auto" w:sz="4" w:space="0"/>
            </w:tcBorders>
            <w:vAlign w:val="center"/>
          </w:tcPr>
          <w:p>
            <w:pPr>
              <w:snapToGrid w:val="0"/>
              <w:jc w:val="center"/>
              <w:rPr>
                <w:rFonts w:ascii="仿宋" w:hAnsi="仿宋" w:eastAsia="仿宋" w:cs="Times New Roman"/>
                <w:szCs w:val="21"/>
              </w:rPr>
            </w:pPr>
            <w:r>
              <w:rPr>
                <w:rFonts w:hint="eastAsia" w:ascii="仿宋" w:hAnsi="仿宋" w:eastAsia="仿宋" w:cs="Times New Roman"/>
                <w:szCs w:val="21"/>
              </w:rPr>
              <w:t>—</w:t>
            </w:r>
          </w:p>
        </w:tc>
        <w:tc>
          <w:tcPr>
            <w:tcW w:w="8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8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42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3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804" w:type="dxa"/>
            <w:vMerge w:val="restart"/>
            <w:tcBorders>
              <w:top w:val="nil"/>
              <w:left w:val="single" w:color="auto" w:sz="4" w:space="0"/>
              <w:bottom w:val="single" w:color="auto" w:sz="4" w:space="0"/>
              <w:right w:val="single" w:color="auto" w:sz="4" w:space="0"/>
            </w:tcBorders>
            <w:vAlign w:val="center"/>
          </w:tcPr>
          <w:p>
            <w:pPr>
              <w:snapToGrid w:val="0"/>
              <w:jc w:val="center"/>
              <w:rPr>
                <w:rFonts w:hint="eastAsia" w:ascii="Times New Roman" w:hAnsi="Times New Roman" w:eastAsia="仿宋" w:cs="Times New Roman"/>
                <w:szCs w:val="21"/>
                <w:lang w:eastAsia="zh-CN"/>
              </w:rPr>
            </w:pPr>
            <w:r>
              <w:rPr>
                <w:rFonts w:hint="eastAsia" w:ascii="仿宋" w:hAnsi="仿宋" w:eastAsia="仿宋" w:cs="Times New Roman"/>
                <w:szCs w:val="21"/>
                <w:lang w:val="en-US" w:eastAsia="zh-CN"/>
              </w:rPr>
              <w:t>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0" w:hRule="atLeast"/>
          <w:jc w:val="center"/>
        </w:trPr>
        <w:tc>
          <w:tcPr>
            <w:tcW w:w="6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122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96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r>
              <w:rPr>
                <w:rFonts w:hint="eastAsia" w:ascii="仿宋" w:hAnsi="仿宋" w:eastAsia="仿宋" w:cs="Times New Roman"/>
                <w:szCs w:val="21"/>
              </w:rPr>
              <w:t>二级</w:t>
            </w:r>
          </w:p>
        </w:tc>
        <w:tc>
          <w:tcPr>
            <w:tcW w:w="24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r>
              <w:rPr>
                <w:rFonts w:hint="eastAsia" w:ascii="仿宋" w:hAnsi="仿宋" w:eastAsia="仿宋" w:cs="Times New Roman"/>
                <w:szCs w:val="21"/>
              </w:rPr>
              <w:t>三渡水库多年平均水位对应的高程线以下的全部水域（一级保护区水域范围除外）</w:t>
            </w:r>
          </w:p>
        </w:tc>
        <w:tc>
          <w:tcPr>
            <w:tcW w:w="222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leftChars="0" w:right="0" w:rightChars="0"/>
              <w:jc w:val="center"/>
              <w:rPr>
                <w:rFonts w:ascii="Times New Roman" w:hAnsi="Times New Roman" w:eastAsia="仿宋" w:cs="Times New Roman"/>
                <w:szCs w:val="21"/>
              </w:rPr>
            </w:pPr>
            <w:r>
              <w:rPr>
                <w:rFonts w:hint="eastAsia" w:ascii="仿宋" w:hAnsi="仿宋" w:eastAsia="仿宋" w:cs="Times New Roman"/>
                <w:szCs w:val="21"/>
              </w:rPr>
              <w:t>取水口上游流域分水岭范围内的全部陆域（一级保护区陆域范围除外）。</w:t>
            </w:r>
          </w:p>
        </w:tc>
        <w:tc>
          <w:tcPr>
            <w:tcW w:w="9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20.227</w:t>
            </w:r>
          </w:p>
        </w:tc>
        <w:tc>
          <w:tcPr>
            <w:tcW w:w="126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829" w:type="dxa"/>
            <w:vMerge w:val="continue"/>
            <w:tcBorders>
              <w:left w:val="single" w:color="auto" w:sz="4" w:space="0"/>
              <w:bottom w:val="single" w:color="auto" w:sz="4" w:space="0"/>
              <w:right w:val="single" w:color="auto" w:sz="4" w:space="0"/>
            </w:tcBorders>
            <w:vAlign w:val="center"/>
          </w:tcPr>
          <w:p>
            <w:pPr>
              <w:snapToGrid w:val="0"/>
              <w:jc w:val="center"/>
              <w:rPr>
                <w:rFonts w:ascii="仿宋" w:hAnsi="仿宋" w:eastAsia="仿宋" w:cs="Times New Roman"/>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8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42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3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80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1" w:hRule="atLeast"/>
          <w:jc w:val="center"/>
        </w:trPr>
        <w:tc>
          <w:tcPr>
            <w:tcW w:w="618" w:type="dxa"/>
            <w:vMerge w:val="restart"/>
            <w:tcBorders>
              <w:top w:val="nil"/>
              <w:left w:val="single" w:color="auto" w:sz="4" w:space="0"/>
              <w:bottom w:val="single" w:color="auto" w:sz="4" w:space="0"/>
              <w:right w:val="single" w:color="auto" w:sz="4" w:space="0"/>
            </w:tcBorders>
            <w:vAlign w:val="center"/>
          </w:tcPr>
          <w:p>
            <w:pPr>
              <w:numPr>
                <w:ilvl w:val="0"/>
                <w:numId w:val="1"/>
              </w:numPr>
              <w:snapToGrid w:val="0"/>
              <w:jc w:val="center"/>
              <w:rPr>
                <w:rFonts w:ascii="Times New Roman" w:hAnsi="Times New Roman" w:eastAsia="仿宋" w:cs="Times New Roman"/>
                <w:szCs w:val="21"/>
              </w:rPr>
            </w:pPr>
          </w:p>
        </w:tc>
        <w:tc>
          <w:tcPr>
            <w:tcW w:w="618"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lang w:val="en-US" w:eastAsia="zh-CN"/>
              </w:rPr>
              <w:t>郭田镇</w:t>
            </w:r>
          </w:p>
        </w:tc>
        <w:tc>
          <w:tcPr>
            <w:tcW w:w="1228"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9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24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222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9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1260"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lang w:val="en-US" w:eastAsia="zh-CN"/>
              </w:rPr>
              <w:t>郭田镇</w:t>
            </w:r>
            <w:r>
              <w:rPr>
                <w:rFonts w:hint="eastAsia" w:ascii="仿宋" w:hAnsi="仿宋" w:eastAsia="仿宋" w:cs="Times New Roman"/>
                <w:szCs w:val="21"/>
                <w:lang w:eastAsia="zh-CN"/>
              </w:rPr>
              <w:t>龙潭村</w:t>
            </w:r>
            <w:r>
              <w:rPr>
                <w:rFonts w:hint="eastAsia" w:ascii="仿宋" w:hAnsi="仿宋" w:eastAsia="仿宋" w:cs="Times New Roman"/>
                <w:szCs w:val="21"/>
              </w:rPr>
              <w:t>饮用水水源保护区</w:t>
            </w:r>
          </w:p>
        </w:tc>
        <w:tc>
          <w:tcPr>
            <w:tcW w:w="829" w:type="dxa"/>
            <w:vMerge w:val="restart"/>
            <w:tcBorders>
              <w:top w:val="single" w:color="auto" w:sz="4" w:space="0"/>
              <w:left w:val="single" w:color="auto" w:sz="4" w:space="0"/>
              <w:right w:val="single" w:color="auto" w:sz="4" w:space="0"/>
            </w:tcBorders>
            <w:vAlign w:val="center"/>
          </w:tcPr>
          <w:p>
            <w:pPr>
              <w:snapToGrid w:val="0"/>
              <w:jc w:val="center"/>
              <w:rPr>
                <w:rFonts w:ascii="仿宋" w:hAnsi="仿宋" w:eastAsia="仿宋" w:cs="Times New Roman"/>
                <w:szCs w:val="21"/>
              </w:rPr>
            </w:pPr>
            <w:r>
              <w:rPr>
                <w:rFonts w:hint="eastAsia" w:ascii="仿宋" w:hAnsi="仿宋" w:eastAsia="仿宋" w:cs="Times New Roman"/>
                <w:szCs w:val="21"/>
              </w:rPr>
              <w:t>河流型</w:t>
            </w:r>
          </w:p>
        </w:tc>
        <w:tc>
          <w:tcPr>
            <w:tcW w:w="8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Ⅱ类</w:t>
            </w:r>
          </w:p>
        </w:tc>
        <w:tc>
          <w:tcPr>
            <w:tcW w:w="8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一级</w:t>
            </w:r>
          </w:p>
        </w:tc>
        <w:tc>
          <w:tcPr>
            <w:tcW w:w="42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szCs w:val="21"/>
                <w:lang w:val="en-US" w:eastAsia="zh-CN"/>
              </w:rPr>
            </w:pPr>
            <w:r>
              <w:rPr>
                <w:rFonts w:hint="eastAsia" w:ascii="仿宋" w:hAnsi="仿宋" w:eastAsia="仿宋" w:cs="Times New Roman"/>
                <w:szCs w:val="21"/>
              </w:rPr>
              <w:t>取水口下游至</w:t>
            </w:r>
            <w:r>
              <w:rPr>
                <w:rFonts w:hint="eastAsia" w:ascii="仿宋" w:hAnsi="仿宋" w:eastAsia="仿宋" w:cs="Times New Roman"/>
                <w:szCs w:val="21"/>
                <w:lang w:val="en-US" w:eastAsia="zh-CN"/>
              </w:rPr>
              <w:t>水厂进水口，</w:t>
            </w:r>
            <w:r>
              <w:rPr>
                <w:rFonts w:hint="eastAsia" w:ascii="仿宋" w:hAnsi="仿宋" w:eastAsia="仿宋" w:cs="Times New Roman"/>
                <w:szCs w:val="21"/>
              </w:rPr>
              <w:t>上</w:t>
            </w:r>
            <w:r>
              <w:rPr>
                <w:rFonts w:ascii="仿宋" w:hAnsi="仿宋" w:eastAsia="仿宋" w:cs="Times New Roman"/>
                <w:szCs w:val="21"/>
              </w:rPr>
              <w:t>游</w:t>
            </w:r>
            <w:r>
              <w:rPr>
                <w:rFonts w:hint="eastAsia" w:ascii="仿宋" w:hAnsi="仿宋" w:eastAsia="仿宋" w:cs="Times New Roman"/>
                <w:szCs w:val="21"/>
                <w:lang w:val="en-US" w:eastAsia="zh-CN"/>
              </w:rPr>
              <w:t>分别沿2条引水渠上朔1000</w:t>
            </w:r>
            <w:r>
              <w:rPr>
                <w:rFonts w:ascii="仿宋" w:hAnsi="仿宋" w:eastAsia="仿宋" w:cs="Times New Roman"/>
                <w:szCs w:val="21"/>
              </w:rPr>
              <w:t>米</w:t>
            </w:r>
            <w:r>
              <w:rPr>
                <w:rFonts w:hint="eastAsia" w:ascii="仿宋" w:hAnsi="仿宋" w:eastAsia="仿宋" w:cs="Times New Roman"/>
                <w:szCs w:val="21"/>
              </w:rPr>
              <w:t>的</w:t>
            </w:r>
            <w:r>
              <w:rPr>
                <w:rFonts w:hint="eastAsia" w:ascii="仿宋" w:hAnsi="仿宋" w:eastAsia="仿宋" w:cs="Times New Roman"/>
                <w:szCs w:val="21"/>
                <w:lang w:val="en-US" w:eastAsia="zh-CN"/>
              </w:rPr>
              <w:t>引水渠或河流</w:t>
            </w:r>
            <w:r>
              <w:rPr>
                <w:rFonts w:ascii="仿宋" w:hAnsi="仿宋" w:eastAsia="仿宋" w:cs="Times New Roman"/>
                <w:szCs w:val="21"/>
              </w:rPr>
              <w:t>水域。</w:t>
            </w:r>
          </w:p>
        </w:tc>
        <w:tc>
          <w:tcPr>
            <w:tcW w:w="3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相应一级保护区水域两岸向陆纵深至流域分水岭范围的陆域。</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Times New Roman" w:hAnsi="Times New Roman" w:eastAsia="仿宋" w:cs="Times New Roman"/>
                <w:szCs w:val="21"/>
              </w:rPr>
              <w:t>0.131</w:t>
            </w:r>
          </w:p>
        </w:tc>
        <w:tc>
          <w:tcPr>
            <w:tcW w:w="804" w:type="dxa"/>
            <w:vMerge w:val="restart"/>
            <w:tcBorders>
              <w:top w:val="nil"/>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szCs w:val="21"/>
                <w:lang w:val="en-US" w:eastAsia="zh-CN"/>
              </w:rPr>
            </w:pPr>
            <w:r>
              <w:rPr>
                <w:rFonts w:hint="eastAsia" w:ascii="仿宋" w:hAnsi="仿宋" w:eastAsia="仿宋" w:cs="Times New Roman"/>
                <w:szCs w:val="21"/>
                <w:lang w:val="en-US" w:eastAsia="zh-CN"/>
              </w:rPr>
              <w:t>新划定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1" w:hRule="atLeast"/>
          <w:jc w:val="center"/>
        </w:trPr>
        <w:tc>
          <w:tcPr>
            <w:tcW w:w="6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61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1228"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96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24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222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9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w:t>
            </w:r>
          </w:p>
        </w:tc>
        <w:tc>
          <w:tcPr>
            <w:tcW w:w="126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c>
          <w:tcPr>
            <w:tcW w:w="829" w:type="dxa"/>
            <w:vMerge w:val="continue"/>
            <w:tcBorders>
              <w:left w:val="single" w:color="auto" w:sz="4" w:space="0"/>
              <w:bottom w:val="single" w:color="auto" w:sz="4" w:space="0"/>
              <w:right w:val="single" w:color="auto" w:sz="4" w:space="0"/>
            </w:tcBorders>
            <w:vAlign w:val="center"/>
          </w:tcPr>
          <w:p>
            <w:pPr>
              <w:snapToGrid w:val="0"/>
              <w:jc w:val="center"/>
              <w:rPr>
                <w:rFonts w:ascii="仿宋" w:hAnsi="仿宋" w:eastAsia="仿宋" w:cs="Times New Roman"/>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Ⅲ类</w:t>
            </w:r>
          </w:p>
        </w:tc>
        <w:tc>
          <w:tcPr>
            <w:tcW w:w="86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rPr>
              <w:t>二级</w:t>
            </w:r>
          </w:p>
        </w:tc>
        <w:tc>
          <w:tcPr>
            <w:tcW w:w="4297"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仿宋" w:cs="Times New Roman"/>
                <w:szCs w:val="21"/>
                <w:lang w:val="en-US" w:eastAsia="zh-CN"/>
              </w:rPr>
            </w:pPr>
            <w:r>
              <w:rPr>
                <w:rFonts w:hint="eastAsia" w:ascii="仿宋" w:hAnsi="仿宋" w:eastAsia="仿宋" w:cs="Times New Roman"/>
                <w:szCs w:val="21"/>
              </w:rPr>
              <w:t>一级保护区水域上游边界上溯</w:t>
            </w:r>
            <w:r>
              <w:rPr>
                <w:rFonts w:hint="eastAsia" w:ascii="仿宋" w:hAnsi="仿宋" w:eastAsia="仿宋" w:cs="Times New Roman"/>
                <w:szCs w:val="21"/>
                <w:highlight w:val="none"/>
                <w:lang w:val="en-US" w:eastAsia="zh-CN"/>
              </w:rPr>
              <w:t>1000米</w:t>
            </w:r>
            <w:r>
              <w:rPr>
                <w:rFonts w:hint="eastAsia" w:ascii="仿宋" w:hAnsi="仿宋" w:eastAsia="仿宋" w:cs="Times New Roman"/>
                <w:szCs w:val="21"/>
                <w:highlight w:val="none"/>
              </w:rPr>
              <w:t>的</w:t>
            </w:r>
            <w:r>
              <w:rPr>
                <w:rFonts w:hint="eastAsia" w:ascii="仿宋" w:hAnsi="仿宋" w:eastAsia="仿宋" w:cs="Times New Roman"/>
                <w:szCs w:val="21"/>
                <w:lang w:val="en-US" w:eastAsia="zh-CN"/>
              </w:rPr>
              <w:t>引水渠或河流</w:t>
            </w:r>
            <w:r>
              <w:rPr>
                <w:rFonts w:ascii="仿宋" w:hAnsi="仿宋" w:eastAsia="仿宋" w:cs="Times New Roman"/>
                <w:szCs w:val="21"/>
              </w:rPr>
              <w:t>水域</w:t>
            </w:r>
            <w:r>
              <w:rPr>
                <w:rFonts w:hint="eastAsia" w:ascii="仿宋" w:hAnsi="仿宋" w:eastAsia="仿宋" w:cs="Times New Roman"/>
                <w:szCs w:val="21"/>
              </w:rPr>
              <w:t>。</w:t>
            </w:r>
          </w:p>
        </w:tc>
        <w:tc>
          <w:tcPr>
            <w:tcW w:w="3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仿宋" w:cs="Times New Roman"/>
                <w:szCs w:val="21"/>
              </w:rPr>
            </w:pPr>
            <w:r>
              <w:rPr>
                <w:rFonts w:hint="eastAsia" w:ascii="仿宋" w:hAnsi="仿宋" w:eastAsia="仿宋" w:cs="Times New Roman"/>
                <w:szCs w:val="21"/>
                <w:lang w:val="en-US" w:eastAsia="zh-CN"/>
              </w:rPr>
              <w:t>引水渠或河流</w:t>
            </w:r>
            <w:r>
              <w:rPr>
                <w:rFonts w:ascii="仿宋" w:hAnsi="仿宋" w:eastAsia="仿宋" w:cs="Times New Roman"/>
                <w:szCs w:val="21"/>
              </w:rPr>
              <w:t>水域</w:t>
            </w:r>
            <w:r>
              <w:rPr>
                <w:rFonts w:hint="eastAsia" w:ascii="仿宋" w:hAnsi="仿宋" w:eastAsia="仿宋" w:cs="Times New Roman"/>
                <w:szCs w:val="21"/>
              </w:rPr>
              <w:t>两岸向陆纵深至流域分水岭范围的陆域</w:t>
            </w:r>
            <w:r>
              <w:rPr>
                <w:rFonts w:hint="eastAsia" w:ascii="仿宋" w:hAnsi="仿宋" w:eastAsia="仿宋" w:cs="Times New Roman"/>
                <w:szCs w:val="21"/>
                <w:lang w:eastAsia="zh-CN"/>
              </w:rPr>
              <w:t>（</w:t>
            </w:r>
            <w:r>
              <w:rPr>
                <w:rFonts w:hint="eastAsia" w:ascii="仿宋" w:hAnsi="仿宋" w:eastAsia="仿宋" w:cs="Times New Roman"/>
                <w:szCs w:val="21"/>
                <w:lang w:val="en-US" w:eastAsia="zh-CN"/>
              </w:rPr>
              <w:t>一级保护区除外</w:t>
            </w:r>
            <w:r>
              <w:rPr>
                <w:rFonts w:hint="eastAsia" w:ascii="仿宋" w:hAnsi="仿宋" w:eastAsia="仿宋" w:cs="Times New Roman"/>
                <w:szCs w:val="21"/>
                <w:lang w:eastAsia="zh-CN"/>
              </w:rPr>
              <w:t>）</w:t>
            </w:r>
            <w:r>
              <w:rPr>
                <w:rFonts w:hint="eastAsia" w:ascii="仿宋" w:hAnsi="仿宋" w:eastAsia="仿宋" w:cs="Times New Roman"/>
                <w:szCs w:val="21"/>
              </w:rPr>
              <w:t>。</w:t>
            </w:r>
          </w:p>
        </w:tc>
        <w:tc>
          <w:tcPr>
            <w:tcW w:w="10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rPr>
              <w:t>20.34</w:t>
            </w:r>
            <w:r>
              <w:rPr>
                <w:rFonts w:hint="eastAsia" w:ascii="Times New Roman" w:hAnsi="Times New Roman" w:eastAsia="仿宋" w:cs="Times New Roman"/>
                <w:szCs w:val="21"/>
                <w:lang w:val="en-US" w:eastAsia="zh-CN"/>
              </w:rPr>
              <w:t>8</w:t>
            </w:r>
          </w:p>
        </w:tc>
        <w:tc>
          <w:tcPr>
            <w:tcW w:w="804"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szCs w:val="21"/>
              </w:rPr>
            </w:pPr>
          </w:p>
        </w:tc>
      </w:tr>
    </w:tbl>
    <w:p>
      <w:pPr>
        <w:wordWrap w:val="0"/>
        <w:spacing w:before="156" w:beforeLines="50" w:line="360" w:lineRule="auto"/>
        <w:jc w:val="center"/>
        <w:rPr>
          <w:rFonts w:ascii="Times New Roman" w:hAnsi="Times New Roman" w:eastAsia="宋体" w:cs="Times New Roman"/>
          <w:b/>
          <w:sz w:val="24"/>
          <w:szCs w:val="24"/>
        </w:rPr>
      </w:pPr>
    </w:p>
    <w:p>
      <w:pPr>
        <w:wordWrap w:val="0"/>
        <w:spacing w:before="156" w:beforeLines="50" w:line="360" w:lineRule="auto"/>
        <w:jc w:val="center"/>
        <w:rPr>
          <w:rFonts w:ascii="Times New Roman" w:hAnsi="Times New Roman" w:eastAsia="宋体" w:cs="Times New Roman"/>
          <w:b/>
          <w:sz w:val="24"/>
          <w:szCs w:val="24"/>
        </w:rPr>
      </w:pPr>
    </w:p>
    <w:p>
      <w:pPr>
        <w:wordWrap w:val="0"/>
        <w:spacing w:before="156" w:beforeLines="50" w:line="360" w:lineRule="auto"/>
        <w:jc w:val="center"/>
        <w:rPr>
          <w:rFonts w:ascii="Times New Roman" w:hAnsi="Times New Roman" w:eastAsia="宋体" w:cs="Times New Roman"/>
          <w:b/>
          <w:sz w:val="24"/>
          <w:szCs w:val="24"/>
        </w:rPr>
      </w:pPr>
    </w:p>
    <w:p>
      <w:pPr>
        <w:pStyle w:val="57"/>
      </w:pPr>
    </w:p>
    <w:p>
      <w:pPr>
        <w:pStyle w:val="57"/>
      </w:pPr>
    </w:p>
    <w:p>
      <w:pPr>
        <w:rPr>
          <w:rFonts w:ascii="Times New Roman" w:hAnsi="Times New Roman" w:cs="Times New Roman"/>
          <w:vertAlign w:val="subscript"/>
        </w:rPr>
        <w:sectPr>
          <w:pgSz w:w="23811" w:h="16838" w:orient="landscape"/>
          <w:pgMar w:top="1800" w:right="1440" w:bottom="1800" w:left="1440" w:header="851" w:footer="992" w:gutter="0"/>
          <w:cols w:space="425" w:num="1"/>
          <w:docGrid w:type="lines" w:linePitch="312" w:charSpace="0"/>
        </w:sectPr>
      </w:pPr>
    </w:p>
    <w:p>
      <w:pPr>
        <w:rPr>
          <w:rFonts w:hint="eastAsia" w:ascii="方正小标宋简体" w:hAnsi="方正小标宋简体" w:eastAsia="方正小标宋简体" w:cs="方正小标宋简体"/>
          <w:b/>
          <w:sz w:val="36"/>
          <w:szCs w:val="36"/>
          <w:lang w:val="en-US" w:eastAsia="zh-CN"/>
        </w:rPr>
      </w:pPr>
      <w:r>
        <w:rPr>
          <w:rFonts w:hint="eastAsia" w:ascii="方正小标宋简体" w:hAnsi="方正小标宋简体" w:eastAsia="方正小标宋简体" w:cs="方正小标宋简体"/>
          <w:b/>
          <w:sz w:val="36"/>
          <w:szCs w:val="36"/>
        </w:rPr>
        <w:t>附图1</w:t>
      </w:r>
      <w:r>
        <w:rPr>
          <w:rFonts w:hint="eastAsia" w:ascii="方正小标宋简体" w:hAnsi="方正小标宋简体" w:eastAsia="方正小标宋简体" w:cs="方正小标宋简体"/>
          <w:b/>
          <w:sz w:val="36"/>
          <w:szCs w:val="36"/>
          <w:lang w:val="en-US" w:eastAsia="zh-CN"/>
        </w:rPr>
        <w:t xml:space="preserve"> 郭田镇龙潭村饮用水水源保护区图（未显示拐点）</w:t>
      </w:r>
    </w:p>
    <w:p>
      <w:pPr>
        <w:jc w:val="center"/>
        <w:rPr>
          <w:rFonts w:hint="eastAsia" w:ascii="Times New Roman" w:hAnsi="Times New Roman" w:cs="Times New Roman" w:eastAsiaTheme="minorEastAsia"/>
          <w:color w:val="FF0000"/>
          <w:vertAlign w:val="subscript"/>
          <w:lang w:eastAsia="zh-CN"/>
        </w:rPr>
      </w:pPr>
      <w:r>
        <w:rPr>
          <w:rFonts w:hint="eastAsia" w:ascii="Times New Roman" w:hAnsi="Times New Roman" w:cs="Times New Roman" w:eastAsiaTheme="minorEastAsia"/>
          <w:color w:val="FF0000"/>
          <w:vertAlign w:val="subscript"/>
          <w:lang w:eastAsia="zh-CN"/>
        </w:rPr>
        <w:drawing>
          <wp:inline distT="0" distB="0" distL="114300" distR="114300">
            <wp:extent cx="12776835" cy="9034145"/>
            <wp:effectExtent l="0" t="0" r="9525" b="3175"/>
            <wp:docPr id="3" name="图片 3" descr="五华县饮用水源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五华县饮用水源2020"/>
                    <pic:cNvPicPr>
                      <a:picLocks noChangeAspect="1"/>
                    </pic:cNvPicPr>
                  </pic:nvPicPr>
                  <pic:blipFill>
                    <a:blip r:embed="rId5"/>
                    <a:stretch>
                      <a:fillRect/>
                    </a:stretch>
                  </pic:blipFill>
                  <pic:spPr>
                    <a:xfrm>
                      <a:off x="0" y="0"/>
                      <a:ext cx="12776835" cy="9034145"/>
                    </a:xfrm>
                    <a:prstGeom prst="rect">
                      <a:avLst/>
                    </a:prstGeom>
                  </pic:spPr>
                </pic:pic>
              </a:graphicData>
            </a:graphic>
          </wp:inline>
        </w:drawing>
      </w:r>
    </w:p>
    <w:p>
      <w:pPr>
        <w:rPr>
          <w:rFonts w:hint="eastAsia" w:ascii="方正小标宋简体" w:hAnsi="方正小标宋简体" w:eastAsia="方正小标宋简体" w:cs="方正小标宋简体"/>
          <w:b/>
          <w:sz w:val="36"/>
          <w:szCs w:val="36"/>
          <w:lang w:val="en-US" w:eastAsia="zh-CN"/>
        </w:rPr>
      </w:pPr>
      <w:r>
        <w:rPr>
          <w:rFonts w:hint="eastAsia" w:ascii="方正小标宋简体" w:hAnsi="方正小标宋简体" w:eastAsia="方正小标宋简体" w:cs="方正小标宋简体"/>
          <w:b/>
          <w:sz w:val="36"/>
          <w:szCs w:val="36"/>
        </w:rPr>
        <w:t>附图2</w:t>
      </w:r>
      <w:r>
        <w:rPr>
          <w:rFonts w:hint="eastAsia" w:ascii="方正小标宋简体" w:hAnsi="方正小标宋简体" w:eastAsia="方正小标宋简体" w:cs="方正小标宋简体"/>
          <w:b/>
          <w:sz w:val="36"/>
          <w:szCs w:val="36"/>
          <w:lang w:val="en-US" w:eastAsia="zh-CN"/>
        </w:rPr>
        <w:t xml:space="preserve"> 郭田镇龙潭村饮用水水源保护区图（显示拐点）</w:t>
      </w:r>
    </w:p>
    <w:p>
      <w:pPr>
        <w:jc w:val="center"/>
        <w:rPr>
          <w:rFonts w:hint="eastAsia" w:ascii="Times New Roman" w:hAnsi="Times New Roman" w:cs="Times New Roman" w:eastAsiaTheme="minorEastAsia"/>
          <w:color w:val="FF0000"/>
          <w:vertAlign w:val="subscript"/>
          <w:lang w:eastAsia="zh-CN"/>
        </w:rPr>
      </w:pPr>
      <w:r>
        <w:rPr>
          <w:rFonts w:hint="eastAsia" w:ascii="Times New Roman" w:hAnsi="Times New Roman" w:cs="Times New Roman" w:eastAsiaTheme="minorEastAsia"/>
          <w:color w:val="FF0000"/>
          <w:vertAlign w:val="subscript"/>
          <w:lang w:eastAsia="zh-CN"/>
        </w:rPr>
        <w:drawing>
          <wp:inline distT="0" distB="0" distL="114300" distR="114300">
            <wp:extent cx="12733655" cy="9002395"/>
            <wp:effectExtent l="0" t="0" r="6985" b="4445"/>
            <wp:docPr id="2" name="图片 2" descr="五华县饮用水源2020（带拐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五华县饮用水源2020（带拐点）"/>
                    <pic:cNvPicPr>
                      <a:picLocks noChangeAspect="1"/>
                    </pic:cNvPicPr>
                  </pic:nvPicPr>
                  <pic:blipFill>
                    <a:blip r:embed="rId6"/>
                    <a:stretch>
                      <a:fillRect/>
                    </a:stretch>
                  </pic:blipFill>
                  <pic:spPr>
                    <a:xfrm>
                      <a:off x="0" y="0"/>
                      <a:ext cx="12733655" cy="9002395"/>
                    </a:xfrm>
                    <a:prstGeom prst="rect">
                      <a:avLst/>
                    </a:prstGeom>
                  </pic:spPr>
                </pic:pic>
              </a:graphicData>
            </a:graphic>
          </wp:inline>
        </w:drawing>
      </w:r>
    </w:p>
    <w:sectPr>
      <w:pgSz w:w="23757" w:h="16783" w:orient="landscape"/>
      <w:pgMar w:top="993" w:right="1440" w:bottom="851" w:left="1440" w:header="851" w:footer="333"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848158"/>
      <w:docPartObj>
        <w:docPartGallery w:val="autotext"/>
      </w:docPartObj>
    </w:sdtPr>
    <w:sdtEndPr>
      <w:rPr>
        <w:sz w:val="24"/>
        <w:szCs w:val="24"/>
      </w:rPr>
    </w:sdtEndPr>
    <w:sdtContent>
      <w:p>
        <w:pPr>
          <w:pStyle w:val="14"/>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4</w:t>
        </w:r>
        <w:r>
          <w:rPr>
            <w:sz w:val="24"/>
            <w:szCs w:val="24"/>
          </w:rPr>
          <w:fldChar w:fldCharType="end"/>
        </w:r>
      </w:p>
    </w:sdtContent>
  </w:sdt>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53651B"/>
    <w:multiLevelType w:val="multilevel"/>
    <w:tmpl w:val="1853651B"/>
    <w:lvl w:ilvl="0" w:tentative="0">
      <w:start w:val="1"/>
      <w:numFmt w:val="decimal"/>
      <w:suff w:val="nothing"/>
      <w:lvlText w:val="%1"/>
      <w:lvlJc w:val="center"/>
      <w:pPr>
        <w:ind w:left="0" w:firstLine="0"/>
      </w:pPr>
      <w:rPr>
        <w:rFonts w:hint="default" w:ascii="Times New Roman" w:hAnsi="Times New Roman" w:eastAsia="宋体" w:cs="Times New Roman"/>
        <w:sz w:val="24"/>
        <w:szCs w:val="24"/>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ZDU0MDAwOTc3ZWFkOGVhNDQ5ZTdmYTE3M2IyM2MifQ=="/>
    <w:docVar w:name="KSO_WPS_MARK_KEY" w:val="d1ae1665-c7ac-4b6a-8fcf-46389a63cb0d"/>
  </w:docVars>
  <w:rsids>
    <w:rsidRoot w:val="00CE5148"/>
    <w:rsid w:val="000006FA"/>
    <w:rsid w:val="0001078F"/>
    <w:rsid w:val="00013278"/>
    <w:rsid w:val="00013A3C"/>
    <w:rsid w:val="00014713"/>
    <w:rsid w:val="000241AC"/>
    <w:rsid w:val="0003056F"/>
    <w:rsid w:val="00034469"/>
    <w:rsid w:val="0003518B"/>
    <w:rsid w:val="00035F11"/>
    <w:rsid w:val="0003602D"/>
    <w:rsid w:val="00046FBE"/>
    <w:rsid w:val="00061C30"/>
    <w:rsid w:val="00073954"/>
    <w:rsid w:val="0008110C"/>
    <w:rsid w:val="00087C00"/>
    <w:rsid w:val="000956A9"/>
    <w:rsid w:val="000A3A08"/>
    <w:rsid w:val="000B0316"/>
    <w:rsid w:val="000B0A18"/>
    <w:rsid w:val="000C635A"/>
    <w:rsid w:val="000D0A0E"/>
    <w:rsid w:val="000D2D71"/>
    <w:rsid w:val="000D368F"/>
    <w:rsid w:val="000E061B"/>
    <w:rsid w:val="000E385F"/>
    <w:rsid w:val="000E51A9"/>
    <w:rsid w:val="000E5C7C"/>
    <w:rsid w:val="000F5502"/>
    <w:rsid w:val="00102111"/>
    <w:rsid w:val="00125050"/>
    <w:rsid w:val="00132E35"/>
    <w:rsid w:val="001503C7"/>
    <w:rsid w:val="00160BCE"/>
    <w:rsid w:val="00160DB6"/>
    <w:rsid w:val="00163DD7"/>
    <w:rsid w:val="00164892"/>
    <w:rsid w:val="00174503"/>
    <w:rsid w:val="00176A66"/>
    <w:rsid w:val="00177775"/>
    <w:rsid w:val="001828E5"/>
    <w:rsid w:val="001838A6"/>
    <w:rsid w:val="0019406A"/>
    <w:rsid w:val="001A296A"/>
    <w:rsid w:val="001C1C36"/>
    <w:rsid w:val="001D4F37"/>
    <w:rsid w:val="001D554A"/>
    <w:rsid w:val="001E2184"/>
    <w:rsid w:val="00215878"/>
    <w:rsid w:val="00215CE1"/>
    <w:rsid w:val="002629F0"/>
    <w:rsid w:val="00263B24"/>
    <w:rsid w:val="00281D05"/>
    <w:rsid w:val="00292BB5"/>
    <w:rsid w:val="00294A42"/>
    <w:rsid w:val="00295944"/>
    <w:rsid w:val="002A00C5"/>
    <w:rsid w:val="002A463A"/>
    <w:rsid w:val="002A4682"/>
    <w:rsid w:val="002A7DB2"/>
    <w:rsid w:val="002B095A"/>
    <w:rsid w:val="002B28F1"/>
    <w:rsid w:val="002C18ED"/>
    <w:rsid w:val="002C45D0"/>
    <w:rsid w:val="002D7341"/>
    <w:rsid w:val="002E1A41"/>
    <w:rsid w:val="002F024D"/>
    <w:rsid w:val="002F7C01"/>
    <w:rsid w:val="00303F82"/>
    <w:rsid w:val="003117A0"/>
    <w:rsid w:val="00312ED0"/>
    <w:rsid w:val="0032024D"/>
    <w:rsid w:val="0033352E"/>
    <w:rsid w:val="00343356"/>
    <w:rsid w:val="003560CA"/>
    <w:rsid w:val="00370881"/>
    <w:rsid w:val="00380FC0"/>
    <w:rsid w:val="00382DA6"/>
    <w:rsid w:val="00385E8D"/>
    <w:rsid w:val="0038603E"/>
    <w:rsid w:val="003952B2"/>
    <w:rsid w:val="003A41B3"/>
    <w:rsid w:val="003A5504"/>
    <w:rsid w:val="003B0E39"/>
    <w:rsid w:val="003B2C6F"/>
    <w:rsid w:val="003B3296"/>
    <w:rsid w:val="003B3D66"/>
    <w:rsid w:val="003C0B2E"/>
    <w:rsid w:val="003C525E"/>
    <w:rsid w:val="003C5B5F"/>
    <w:rsid w:val="003C6739"/>
    <w:rsid w:val="003E0A92"/>
    <w:rsid w:val="003E41E4"/>
    <w:rsid w:val="003F35AE"/>
    <w:rsid w:val="00416902"/>
    <w:rsid w:val="00423F3F"/>
    <w:rsid w:val="00426A13"/>
    <w:rsid w:val="00426AD2"/>
    <w:rsid w:val="00442593"/>
    <w:rsid w:val="0045106F"/>
    <w:rsid w:val="0046409C"/>
    <w:rsid w:val="00482A59"/>
    <w:rsid w:val="00484023"/>
    <w:rsid w:val="004902FC"/>
    <w:rsid w:val="004953AB"/>
    <w:rsid w:val="00497286"/>
    <w:rsid w:val="004A5B7A"/>
    <w:rsid w:val="004B0922"/>
    <w:rsid w:val="004E058B"/>
    <w:rsid w:val="004E115C"/>
    <w:rsid w:val="004E78A9"/>
    <w:rsid w:val="004E7F8E"/>
    <w:rsid w:val="004F0BD8"/>
    <w:rsid w:val="004F4DD1"/>
    <w:rsid w:val="004F51A1"/>
    <w:rsid w:val="00501169"/>
    <w:rsid w:val="0050334C"/>
    <w:rsid w:val="00510940"/>
    <w:rsid w:val="0051260A"/>
    <w:rsid w:val="0051409B"/>
    <w:rsid w:val="00514DEC"/>
    <w:rsid w:val="00535215"/>
    <w:rsid w:val="00536E53"/>
    <w:rsid w:val="00541DD9"/>
    <w:rsid w:val="005510F5"/>
    <w:rsid w:val="00560E33"/>
    <w:rsid w:val="00566A5F"/>
    <w:rsid w:val="00576D01"/>
    <w:rsid w:val="00577360"/>
    <w:rsid w:val="00577DF2"/>
    <w:rsid w:val="00596002"/>
    <w:rsid w:val="00596C3C"/>
    <w:rsid w:val="005A3385"/>
    <w:rsid w:val="005B4C6F"/>
    <w:rsid w:val="005C0177"/>
    <w:rsid w:val="005C1E71"/>
    <w:rsid w:val="005D0FBF"/>
    <w:rsid w:val="005E3C91"/>
    <w:rsid w:val="005F3100"/>
    <w:rsid w:val="005F6E1B"/>
    <w:rsid w:val="00601597"/>
    <w:rsid w:val="00610E70"/>
    <w:rsid w:val="006161B2"/>
    <w:rsid w:val="00627ADE"/>
    <w:rsid w:val="0063048A"/>
    <w:rsid w:val="0063523C"/>
    <w:rsid w:val="0063770B"/>
    <w:rsid w:val="006555B8"/>
    <w:rsid w:val="00655F6F"/>
    <w:rsid w:val="006624CC"/>
    <w:rsid w:val="00663F49"/>
    <w:rsid w:val="00677DB1"/>
    <w:rsid w:val="00686E10"/>
    <w:rsid w:val="00694905"/>
    <w:rsid w:val="006A5DDD"/>
    <w:rsid w:val="006B089B"/>
    <w:rsid w:val="006C6AB5"/>
    <w:rsid w:val="0072081A"/>
    <w:rsid w:val="00722697"/>
    <w:rsid w:val="007426D8"/>
    <w:rsid w:val="00751B0C"/>
    <w:rsid w:val="00753C32"/>
    <w:rsid w:val="0075571F"/>
    <w:rsid w:val="00770670"/>
    <w:rsid w:val="00784F85"/>
    <w:rsid w:val="007854DC"/>
    <w:rsid w:val="00797CF4"/>
    <w:rsid w:val="007A03A6"/>
    <w:rsid w:val="007A2BA1"/>
    <w:rsid w:val="007A6B4E"/>
    <w:rsid w:val="007B602B"/>
    <w:rsid w:val="007B641E"/>
    <w:rsid w:val="007D0A97"/>
    <w:rsid w:val="007F01AB"/>
    <w:rsid w:val="008143F1"/>
    <w:rsid w:val="0081533C"/>
    <w:rsid w:val="008177A0"/>
    <w:rsid w:val="00821D4C"/>
    <w:rsid w:val="00831263"/>
    <w:rsid w:val="00837518"/>
    <w:rsid w:val="00845FC6"/>
    <w:rsid w:val="00873521"/>
    <w:rsid w:val="00880E6D"/>
    <w:rsid w:val="0089358B"/>
    <w:rsid w:val="008A14E7"/>
    <w:rsid w:val="008A49A6"/>
    <w:rsid w:val="008A7385"/>
    <w:rsid w:val="008C54A7"/>
    <w:rsid w:val="008C7FBE"/>
    <w:rsid w:val="008D7D1A"/>
    <w:rsid w:val="0095118A"/>
    <w:rsid w:val="009644EC"/>
    <w:rsid w:val="00972624"/>
    <w:rsid w:val="00974B88"/>
    <w:rsid w:val="0098392F"/>
    <w:rsid w:val="00985030"/>
    <w:rsid w:val="0099083A"/>
    <w:rsid w:val="0099359A"/>
    <w:rsid w:val="009A2587"/>
    <w:rsid w:val="009B43B2"/>
    <w:rsid w:val="009C7538"/>
    <w:rsid w:val="009D01EC"/>
    <w:rsid w:val="009D1D1F"/>
    <w:rsid w:val="009E20DC"/>
    <w:rsid w:val="009E24A4"/>
    <w:rsid w:val="009F1215"/>
    <w:rsid w:val="00A00B1A"/>
    <w:rsid w:val="00A042F9"/>
    <w:rsid w:val="00A07893"/>
    <w:rsid w:val="00A15743"/>
    <w:rsid w:val="00A24794"/>
    <w:rsid w:val="00A318B7"/>
    <w:rsid w:val="00A318D2"/>
    <w:rsid w:val="00A519E0"/>
    <w:rsid w:val="00A51A18"/>
    <w:rsid w:val="00A55638"/>
    <w:rsid w:val="00A75055"/>
    <w:rsid w:val="00A83066"/>
    <w:rsid w:val="00A8390C"/>
    <w:rsid w:val="00AB459A"/>
    <w:rsid w:val="00AB5E07"/>
    <w:rsid w:val="00AC303B"/>
    <w:rsid w:val="00AD4F85"/>
    <w:rsid w:val="00B02A14"/>
    <w:rsid w:val="00B03BE1"/>
    <w:rsid w:val="00B0621C"/>
    <w:rsid w:val="00B13D60"/>
    <w:rsid w:val="00B3598C"/>
    <w:rsid w:val="00B3654A"/>
    <w:rsid w:val="00B43C10"/>
    <w:rsid w:val="00B63D13"/>
    <w:rsid w:val="00B71060"/>
    <w:rsid w:val="00B72FCA"/>
    <w:rsid w:val="00B762B6"/>
    <w:rsid w:val="00B80B3C"/>
    <w:rsid w:val="00B82839"/>
    <w:rsid w:val="00B83241"/>
    <w:rsid w:val="00B840B0"/>
    <w:rsid w:val="00B870D0"/>
    <w:rsid w:val="00B90B3C"/>
    <w:rsid w:val="00B95BDB"/>
    <w:rsid w:val="00BA05B6"/>
    <w:rsid w:val="00BA0616"/>
    <w:rsid w:val="00BA4B8E"/>
    <w:rsid w:val="00BB5970"/>
    <w:rsid w:val="00BB5AA1"/>
    <w:rsid w:val="00BD07D9"/>
    <w:rsid w:val="00BD303A"/>
    <w:rsid w:val="00BE0B24"/>
    <w:rsid w:val="00C07A6E"/>
    <w:rsid w:val="00C439F0"/>
    <w:rsid w:val="00C45599"/>
    <w:rsid w:val="00C476C7"/>
    <w:rsid w:val="00C5251B"/>
    <w:rsid w:val="00C53C6D"/>
    <w:rsid w:val="00C54D4A"/>
    <w:rsid w:val="00C62B4E"/>
    <w:rsid w:val="00C7668F"/>
    <w:rsid w:val="00C8561B"/>
    <w:rsid w:val="00C90C42"/>
    <w:rsid w:val="00C9201C"/>
    <w:rsid w:val="00C94985"/>
    <w:rsid w:val="00C97E5A"/>
    <w:rsid w:val="00CB20A6"/>
    <w:rsid w:val="00CB29D0"/>
    <w:rsid w:val="00CC0A21"/>
    <w:rsid w:val="00CC6701"/>
    <w:rsid w:val="00CC7FF9"/>
    <w:rsid w:val="00CD69BC"/>
    <w:rsid w:val="00CE4B16"/>
    <w:rsid w:val="00CE5148"/>
    <w:rsid w:val="00CF016D"/>
    <w:rsid w:val="00D04635"/>
    <w:rsid w:val="00D0555E"/>
    <w:rsid w:val="00D10BD2"/>
    <w:rsid w:val="00D11239"/>
    <w:rsid w:val="00D161FB"/>
    <w:rsid w:val="00D2364E"/>
    <w:rsid w:val="00D23ED7"/>
    <w:rsid w:val="00D4041F"/>
    <w:rsid w:val="00D41011"/>
    <w:rsid w:val="00D453D0"/>
    <w:rsid w:val="00D47335"/>
    <w:rsid w:val="00D47CD3"/>
    <w:rsid w:val="00D64920"/>
    <w:rsid w:val="00D7403F"/>
    <w:rsid w:val="00D83448"/>
    <w:rsid w:val="00D8420E"/>
    <w:rsid w:val="00D84877"/>
    <w:rsid w:val="00D9700D"/>
    <w:rsid w:val="00DB3CFD"/>
    <w:rsid w:val="00DC0044"/>
    <w:rsid w:val="00DC0BB6"/>
    <w:rsid w:val="00DC26C8"/>
    <w:rsid w:val="00DC60D5"/>
    <w:rsid w:val="00DC61E8"/>
    <w:rsid w:val="00DC63C1"/>
    <w:rsid w:val="00DD5847"/>
    <w:rsid w:val="00DD78C2"/>
    <w:rsid w:val="00DE5A1B"/>
    <w:rsid w:val="00E05EBE"/>
    <w:rsid w:val="00E06F23"/>
    <w:rsid w:val="00E52376"/>
    <w:rsid w:val="00E52F99"/>
    <w:rsid w:val="00E55DE9"/>
    <w:rsid w:val="00E56174"/>
    <w:rsid w:val="00E71438"/>
    <w:rsid w:val="00E73108"/>
    <w:rsid w:val="00E7763F"/>
    <w:rsid w:val="00E872F2"/>
    <w:rsid w:val="00E906C7"/>
    <w:rsid w:val="00E911B9"/>
    <w:rsid w:val="00EA02B9"/>
    <w:rsid w:val="00EA6CFB"/>
    <w:rsid w:val="00EA7991"/>
    <w:rsid w:val="00EC3547"/>
    <w:rsid w:val="00EF2171"/>
    <w:rsid w:val="00F237EE"/>
    <w:rsid w:val="00F274C8"/>
    <w:rsid w:val="00F372C5"/>
    <w:rsid w:val="00F4007F"/>
    <w:rsid w:val="00F45845"/>
    <w:rsid w:val="00F45F4B"/>
    <w:rsid w:val="00F65FAF"/>
    <w:rsid w:val="00F7262F"/>
    <w:rsid w:val="00F73645"/>
    <w:rsid w:val="00F75235"/>
    <w:rsid w:val="00F76E9E"/>
    <w:rsid w:val="00F81386"/>
    <w:rsid w:val="00F917AA"/>
    <w:rsid w:val="00F9718D"/>
    <w:rsid w:val="00FA11B0"/>
    <w:rsid w:val="00FA3135"/>
    <w:rsid w:val="00FA511A"/>
    <w:rsid w:val="00FA5145"/>
    <w:rsid w:val="00FC2F6C"/>
    <w:rsid w:val="00FC3947"/>
    <w:rsid w:val="00FC77D1"/>
    <w:rsid w:val="00FE3284"/>
    <w:rsid w:val="00FF32EF"/>
    <w:rsid w:val="00FF605F"/>
    <w:rsid w:val="00FF724C"/>
    <w:rsid w:val="014D2A7E"/>
    <w:rsid w:val="02BD2050"/>
    <w:rsid w:val="051554AC"/>
    <w:rsid w:val="066B1D62"/>
    <w:rsid w:val="088B48FF"/>
    <w:rsid w:val="0AF618DB"/>
    <w:rsid w:val="0B3B63CD"/>
    <w:rsid w:val="0D186D84"/>
    <w:rsid w:val="0FA45DAA"/>
    <w:rsid w:val="10080D5E"/>
    <w:rsid w:val="1021564D"/>
    <w:rsid w:val="12D76496"/>
    <w:rsid w:val="141D437D"/>
    <w:rsid w:val="1483746B"/>
    <w:rsid w:val="15D734AF"/>
    <w:rsid w:val="15F31072"/>
    <w:rsid w:val="21341F5C"/>
    <w:rsid w:val="2173382E"/>
    <w:rsid w:val="22695177"/>
    <w:rsid w:val="2B330389"/>
    <w:rsid w:val="2C256D1E"/>
    <w:rsid w:val="2D427440"/>
    <w:rsid w:val="2D621327"/>
    <w:rsid w:val="2FC86E37"/>
    <w:rsid w:val="302E25BC"/>
    <w:rsid w:val="31B83326"/>
    <w:rsid w:val="389D1465"/>
    <w:rsid w:val="3B59685F"/>
    <w:rsid w:val="3CF655E7"/>
    <w:rsid w:val="45A16FC8"/>
    <w:rsid w:val="489B34E7"/>
    <w:rsid w:val="492139EC"/>
    <w:rsid w:val="49E8275C"/>
    <w:rsid w:val="4F3832A4"/>
    <w:rsid w:val="4F6C1739"/>
    <w:rsid w:val="50B929EB"/>
    <w:rsid w:val="534D3630"/>
    <w:rsid w:val="53F817ED"/>
    <w:rsid w:val="571D4121"/>
    <w:rsid w:val="575146BB"/>
    <w:rsid w:val="583D1D79"/>
    <w:rsid w:val="5D35752A"/>
    <w:rsid w:val="5DFE20F6"/>
    <w:rsid w:val="5FC56375"/>
    <w:rsid w:val="619863BE"/>
    <w:rsid w:val="61EB2991"/>
    <w:rsid w:val="64015EE2"/>
    <w:rsid w:val="64AF647D"/>
    <w:rsid w:val="651D5558"/>
    <w:rsid w:val="65246631"/>
    <w:rsid w:val="668533B4"/>
    <w:rsid w:val="698C6808"/>
    <w:rsid w:val="6B3C452C"/>
    <w:rsid w:val="6C150D37"/>
    <w:rsid w:val="6C7E24E0"/>
    <w:rsid w:val="6E3B3DFD"/>
    <w:rsid w:val="751A73BE"/>
    <w:rsid w:val="753A7FF9"/>
    <w:rsid w:val="75615917"/>
    <w:rsid w:val="76FF4ABD"/>
    <w:rsid w:val="789D458E"/>
    <w:rsid w:val="79652BD2"/>
    <w:rsid w:val="7B046B46"/>
    <w:rsid w:val="7C6D24C9"/>
    <w:rsid w:val="7F041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line="360" w:lineRule="auto"/>
      <w:ind w:firstLine="566" w:firstLineChars="188"/>
      <w:outlineLvl w:val="2"/>
    </w:pPr>
    <w:rPr>
      <w:rFonts w:ascii="黑体" w:eastAsia="黑体"/>
      <w:b/>
      <w:bCs/>
      <w:sz w:val="30"/>
      <w:szCs w:val="30"/>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360" w:lineRule="auto"/>
      <w:ind w:firstLine="200" w:firstLineChars="200"/>
    </w:pPr>
    <w:rPr>
      <w:rFonts w:ascii="Times New Roman" w:hAnsi="Times New Roman" w:eastAsia="宋体" w:cs="Times New Roman"/>
      <w:sz w:val="24"/>
      <w:szCs w:val="24"/>
    </w:rPr>
  </w:style>
  <w:style w:type="paragraph" w:styleId="7">
    <w:name w:val="caption"/>
    <w:basedOn w:val="1"/>
    <w:next w:val="1"/>
    <w:link w:val="46"/>
    <w:qFormat/>
    <w:uiPriority w:val="0"/>
    <w:rPr>
      <w:rFonts w:ascii="Arial" w:hAnsi="Arial" w:eastAsia="黑体" w:cs="Arial"/>
      <w:sz w:val="20"/>
      <w:szCs w:val="20"/>
    </w:rPr>
  </w:style>
  <w:style w:type="paragraph" w:styleId="8">
    <w:name w:val="annotation text"/>
    <w:basedOn w:val="1"/>
    <w:link w:val="53"/>
    <w:semiHidden/>
    <w:unhideWhenUsed/>
    <w:qFormat/>
    <w:uiPriority w:val="99"/>
    <w:pPr>
      <w:jc w:val="left"/>
    </w:pPr>
  </w:style>
  <w:style w:type="paragraph" w:styleId="9">
    <w:name w:val="Body Text Indent"/>
    <w:basedOn w:val="1"/>
    <w:link w:val="37"/>
    <w:qFormat/>
    <w:uiPriority w:val="0"/>
    <w:pPr>
      <w:spacing w:line="400" w:lineRule="exact"/>
      <w:ind w:firstLine="480" w:firstLineChars="200"/>
    </w:pPr>
    <w:rPr>
      <w:rFonts w:ascii="Times New Roman" w:hAnsi="Times New Roman" w:eastAsia="宋体" w:cs="Times New Roman"/>
      <w:sz w:val="24"/>
      <w:szCs w:val="24"/>
    </w:rPr>
  </w:style>
  <w:style w:type="paragraph" w:styleId="10">
    <w:name w:val="toc 3"/>
    <w:basedOn w:val="1"/>
    <w:next w:val="1"/>
    <w:unhideWhenUsed/>
    <w:qFormat/>
    <w:uiPriority w:val="39"/>
    <w:pPr>
      <w:ind w:left="840" w:leftChars="400"/>
    </w:pPr>
  </w:style>
  <w:style w:type="paragraph" w:styleId="11">
    <w:name w:val="Plain Text"/>
    <w:basedOn w:val="1"/>
    <w:link w:val="38"/>
    <w:qFormat/>
    <w:uiPriority w:val="0"/>
    <w:rPr>
      <w:rFonts w:ascii="宋体" w:hAnsi="Courier New" w:eastAsia="宋体" w:cs="Times New Roman"/>
      <w:sz w:val="24"/>
      <w:szCs w:val="20"/>
    </w:rPr>
  </w:style>
  <w:style w:type="paragraph" w:styleId="12">
    <w:name w:val="Date"/>
    <w:basedOn w:val="1"/>
    <w:next w:val="1"/>
    <w:link w:val="39"/>
    <w:semiHidden/>
    <w:unhideWhenUsed/>
    <w:qFormat/>
    <w:uiPriority w:val="99"/>
    <w:pPr>
      <w:ind w:left="100" w:leftChars="2500"/>
    </w:pPr>
  </w:style>
  <w:style w:type="paragraph" w:styleId="13">
    <w:name w:val="Balloon Text"/>
    <w:basedOn w:val="1"/>
    <w:link w:val="35"/>
    <w:semiHidden/>
    <w:unhideWhenUsed/>
    <w:qFormat/>
    <w:uiPriority w:val="99"/>
    <w:rPr>
      <w:sz w:val="18"/>
      <w:szCs w:val="18"/>
    </w:rPr>
  </w:style>
  <w:style w:type="paragraph" w:styleId="14">
    <w:name w:val="footer"/>
    <w:basedOn w:val="1"/>
    <w:link w:val="34"/>
    <w:unhideWhenUsed/>
    <w:qFormat/>
    <w:uiPriority w:val="99"/>
    <w:pPr>
      <w:tabs>
        <w:tab w:val="center" w:pos="4153"/>
        <w:tab w:val="right" w:pos="8306"/>
      </w:tabs>
      <w:snapToGrid w:val="0"/>
      <w:jc w:val="left"/>
    </w:pPr>
    <w:rPr>
      <w:sz w:val="18"/>
      <w:szCs w:val="18"/>
    </w:rPr>
  </w:style>
  <w:style w:type="paragraph" w:styleId="15">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Title"/>
    <w:basedOn w:val="1"/>
    <w:next w:val="1"/>
    <w:link w:val="32"/>
    <w:qFormat/>
    <w:uiPriority w:val="10"/>
    <w:pPr>
      <w:spacing w:before="240" w:after="60"/>
      <w:jc w:val="center"/>
      <w:outlineLvl w:val="0"/>
    </w:pPr>
    <w:rPr>
      <w:rFonts w:eastAsia="宋体" w:asciiTheme="majorHAnsi" w:hAnsiTheme="majorHAnsi" w:cstheme="majorBidi"/>
      <w:b/>
      <w:bCs/>
      <w:sz w:val="32"/>
      <w:szCs w:val="32"/>
    </w:rPr>
  </w:style>
  <w:style w:type="paragraph" w:styleId="19">
    <w:name w:val="annotation subject"/>
    <w:basedOn w:val="8"/>
    <w:next w:val="8"/>
    <w:link w:val="54"/>
    <w:semiHidden/>
    <w:unhideWhenUsed/>
    <w:qFormat/>
    <w:uiPriority w:val="99"/>
    <w:rPr>
      <w:b/>
      <w:bCs/>
    </w:rPr>
  </w:style>
  <w:style w:type="table" w:styleId="21">
    <w:name w:val="Table Grid"/>
    <w:basedOn w:val="2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styleId="24">
    <w:name w:val="annotation reference"/>
    <w:basedOn w:val="22"/>
    <w:semiHidden/>
    <w:unhideWhenUsed/>
    <w:qFormat/>
    <w:uiPriority w:val="99"/>
    <w:rPr>
      <w:sz w:val="21"/>
      <w:szCs w:val="21"/>
    </w:rPr>
  </w:style>
  <w:style w:type="character" w:customStyle="1" w:styleId="25">
    <w:name w:val="标题 1 字符"/>
    <w:basedOn w:val="22"/>
    <w:link w:val="2"/>
    <w:uiPriority w:val="0"/>
    <w:rPr>
      <w:b/>
      <w:bCs/>
      <w:kern w:val="44"/>
      <w:sz w:val="44"/>
      <w:szCs w:val="44"/>
    </w:rPr>
  </w:style>
  <w:style w:type="character" w:customStyle="1" w:styleId="26">
    <w:name w:val="标题 2 字符"/>
    <w:basedOn w:val="22"/>
    <w:link w:val="3"/>
    <w:qFormat/>
    <w:uiPriority w:val="0"/>
    <w:rPr>
      <w:rFonts w:asciiTheme="majorHAnsi" w:hAnsiTheme="majorHAnsi" w:eastAsiaTheme="majorEastAsia" w:cstheme="majorBidi"/>
      <w:b/>
      <w:bCs/>
      <w:sz w:val="32"/>
      <w:szCs w:val="32"/>
    </w:rPr>
  </w:style>
  <w:style w:type="character" w:customStyle="1" w:styleId="27">
    <w:name w:val="标题 3 字符"/>
    <w:basedOn w:val="22"/>
    <w:link w:val="4"/>
    <w:qFormat/>
    <w:uiPriority w:val="9"/>
    <w:rPr>
      <w:rFonts w:ascii="黑体" w:eastAsia="黑体"/>
      <w:b/>
      <w:bCs/>
      <w:sz w:val="30"/>
      <w:szCs w:val="30"/>
    </w:rPr>
  </w:style>
  <w:style w:type="character" w:customStyle="1" w:styleId="28">
    <w:name w:val="标题 4 字符"/>
    <w:basedOn w:val="22"/>
    <w:link w:val="5"/>
    <w:qFormat/>
    <w:uiPriority w:val="9"/>
    <w:rPr>
      <w:rFonts w:asciiTheme="majorHAnsi" w:hAnsiTheme="majorHAnsi" w:eastAsiaTheme="majorEastAsia" w:cstheme="majorBidi"/>
      <w:b/>
      <w:bCs/>
      <w:sz w:val="28"/>
      <w:szCs w:val="28"/>
    </w:rPr>
  </w:style>
  <w:style w:type="paragraph" w:customStyle="1" w:styleId="29">
    <w:name w:val="文字"/>
    <w:basedOn w:val="1"/>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styleId="30">
    <w:name w:val="List Paragraph"/>
    <w:basedOn w:val="1"/>
    <w:qFormat/>
    <w:uiPriority w:val="34"/>
    <w:pPr>
      <w:ind w:firstLine="420" w:firstLineChars="200"/>
    </w:pPr>
  </w:style>
  <w:style w:type="paragraph" w:customStyle="1" w:styleId="31">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32">
    <w:name w:val="标题 字符"/>
    <w:basedOn w:val="22"/>
    <w:link w:val="18"/>
    <w:qFormat/>
    <w:uiPriority w:val="10"/>
    <w:rPr>
      <w:rFonts w:eastAsia="宋体" w:asciiTheme="majorHAnsi" w:hAnsiTheme="majorHAnsi" w:cstheme="majorBidi"/>
      <w:b/>
      <w:bCs/>
      <w:sz w:val="32"/>
      <w:szCs w:val="32"/>
    </w:rPr>
  </w:style>
  <w:style w:type="character" w:customStyle="1" w:styleId="33">
    <w:name w:val="页眉 字符"/>
    <w:basedOn w:val="22"/>
    <w:link w:val="15"/>
    <w:qFormat/>
    <w:uiPriority w:val="0"/>
    <w:rPr>
      <w:sz w:val="18"/>
      <w:szCs w:val="18"/>
    </w:rPr>
  </w:style>
  <w:style w:type="character" w:customStyle="1" w:styleId="34">
    <w:name w:val="页脚 字符"/>
    <w:basedOn w:val="22"/>
    <w:link w:val="14"/>
    <w:qFormat/>
    <w:uiPriority w:val="99"/>
    <w:rPr>
      <w:sz w:val="18"/>
      <w:szCs w:val="18"/>
    </w:rPr>
  </w:style>
  <w:style w:type="character" w:customStyle="1" w:styleId="35">
    <w:name w:val="批注框文本 字符"/>
    <w:basedOn w:val="22"/>
    <w:link w:val="13"/>
    <w:semiHidden/>
    <w:qFormat/>
    <w:uiPriority w:val="99"/>
    <w:rPr>
      <w:sz w:val="18"/>
      <w:szCs w:val="18"/>
    </w:rPr>
  </w:style>
  <w:style w:type="paragraph" w:customStyle="1" w:styleId="36">
    <w:name w:val="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37">
    <w:name w:val="正文文本缩进 字符"/>
    <w:basedOn w:val="22"/>
    <w:link w:val="9"/>
    <w:qFormat/>
    <w:uiPriority w:val="0"/>
    <w:rPr>
      <w:rFonts w:ascii="Times New Roman" w:hAnsi="Times New Roman" w:eastAsia="宋体" w:cs="Times New Roman"/>
      <w:sz w:val="24"/>
      <w:szCs w:val="24"/>
    </w:rPr>
  </w:style>
  <w:style w:type="character" w:customStyle="1" w:styleId="38">
    <w:name w:val="纯文本 字符"/>
    <w:basedOn w:val="22"/>
    <w:link w:val="11"/>
    <w:uiPriority w:val="0"/>
    <w:rPr>
      <w:rFonts w:ascii="宋体" w:hAnsi="Courier New" w:eastAsia="宋体" w:cs="Times New Roman"/>
      <w:sz w:val="24"/>
      <w:szCs w:val="20"/>
    </w:rPr>
  </w:style>
  <w:style w:type="character" w:customStyle="1" w:styleId="39">
    <w:name w:val="日期 字符"/>
    <w:basedOn w:val="22"/>
    <w:link w:val="12"/>
    <w:semiHidden/>
    <w:uiPriority w:val="99"/>
  </w:style>
  <w:style w:type="paragraph" w:customStyle="1" w:styleId="40">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41">
    <w:name w:val="标题 2 Char1"/>
    <w:basedOn w:val="22"/>
    <w:qFormat/>
    <w:locked/>
    <w:uiPriority w:val="0"/>
    <w:rPr>
      <w:rFonts w:ascii="Arial" w:hAnsi="Arial" w:eastAsia="宋体"/>
      <w:b/>
      <w:bCs/>
      <w:sz w:val="30"/>
      <w:szCs w:val="32"/>
      <w:lang w:val="en-US" w:eastAsia="zh-CN" w:bidi="ar-SA"/>
    </w:rPr>
  </w:style>
  <w:style w:type="paragraph" w:customStyle="1" w:styleId="42">
    <w:name w:val="标题3zz"/>
    <w:qFormat/>
    <w:uiPriority w:val="0"/>
    <w:pPr>
      <w:spacing w:before="50" w:beforeLines="50" w:after="50" w:afterLines="50" w:line="360" w:lineRule="auto"/>
      <w:ind w:firstLine="50" w:firstLineChars="50"/>
      <w:outlineLvl w:val="2"/>
    </w:pPr>
    <w:rPr>
      <w:rFonts w:ascii="Times New Roman" w:hAnsi="Times New Roman" w:eastAsia="宋体" w:cs="Times New Roman"/>
      <w:b/>
      <w:kern w:val="2"/>
      <w:sz w:val="28"/>
      <w:szCs w:val="28"/>
      <w:lang w:val="en-US" w:eastAsia="zh-CN" w:bidi="ar-SA"/>
    </w:rPr>
  </w:style>
  <w:style w:type="paragraph" w:customStyle="1" w:styleId="43">
    <w:name w:val="标题4zz"/>
    <w:basedOn w:val="9"/>
    <w:qFormat/>
    <w:uiPriority w:val="0"/>
    <w:pPr>
      <w:spacing w:line="360" w:lineRule="auto"/>
      <w:ind w:firstLine="0" w:firstLineChars="0"/>
      <w:outlineLvl w:val="3"/>
    </w:pPr>
    <w:rPr>
      <w:rFonts w:eastAsia="黑体"/>
    </w:rPr>
  </w:style>
  <w:style w:type="paragraph" w:customStyle="1" w:styleId="44">
    <w:name w:val="正文zz"/>
    <w:link w:val="45"/>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45">
    <w:name w:val="正文zz Char"/>
    <w:basedOn w:val="22"/>
    <w:link w:val="44"/>
    <w:qFormat/>
    <w:uiPriority w:val="0"/>
    <w:rPr>
      <w:rFonts w:ascii="Times New Roman" w:hAnsi="Times New Roman" w:eastAsia="宋体" w:cs="Times New Roman"/>
      <w:sz w:val="24"/>
      <w:szCs w:val="24"/>
    </w:rPr>
  </w:style>
  <w:style w:type="character" w:customStyle="1" w:styleId="46">
    <w:name w:val="题注 字符"/>
    <w:basedOn w:val="22"/>
    <w:link w:val="7"/>
    <w:qFormat/>
    <w:locked/>
    <w:uiPriority w:val="0"/>
    <w:rPr>
      <w:rFonts w:ascii="Arial" w:hAnsi="Arial" w:eastAsia="黑体" w:cs="Arial"/>
      <w:sz w:val="20"/>
      <w:szCs w:val="20"/>
    </w:rPr>
  </w:style>
  <w:style w:type="paragraph" w:customStyle="1" w:styleId="47">
    <w:name w:val="注释"/>
    <w:basedOn w:val="9"/>
    <w:qFormat/>
    <w:uiPriority w:val="0"/>
    <w:pPr>
      <w:spacing w:after="50" w:afterLines="50" w:line="240" w:lineRule="auto"/>
      <w:ind w:firstLine="200"/>
    </w:pPr>
    <w:rPr>
      <w:sz w:val="21"/>
      <w:szCs w:val="21"/>
    </w:rPr>
  </w:style>
  <w:style w:type="paragraph" w:customStyle="1" w:styleId="48">
    <w:name w:val="表格标题zz"/>
    <w:link w:val="49"/>
    <w:qFormat/>
    <w:uiPriority w:val="0"/>
    <w:pPr>
      <w:spacing w:before="120" w:line="360" w:lineRule="auto"/>
      <w:jc w:val="center"/>
    </w:pPr>
    <w:rPr>
      <w:rFonts w:ascii="Times New Roman" w:hAnsi="Times New Roman" w:eastAsia="宋体" w:cs="Times New Roman"/>
      <w:b/>
      <w:kern w:val="2"/>
      <w:sz w:val="24"/>
      <w:szCs w:val="24"/>
      <w:lang w:val="en-US" w:eastAsia="zh-CN" w:bidi="ar-SA"/>
    </w:rPr>
  </w:style>
  <w:style w:type="character" w:customStyle="1" w:styleId="49">
    <w:name w:val="表格标题zz Char"/>
    <w:basedOn w:val="22"/>
    <w:link w:val="48"/>
    <w:qFormat/>
    <w:uiPriority w:val="0"/>
    <w:rPr>
      <w:rFonts w:ascii="Times New Roman" w:hAnsi="Times New Roman" w:eastAsia="宋体" w:cs="Times New Roman"/>
      <w:b/>
      <w:sz w:val="24"/>
      <w:szCs w:val="24"/>
    </w:rPr>
  </w:style>
  <w:style w:type="paragraph" w:customStyle="1" w:styleId="50">
    <w:name w:val="标准正文"/>
    <w:basedOn w:val="1"/>
    <w:qFormat/>
    <w:uiPriority w:val="0"/>
    <w:pPr>
      <w:adjustRightInd w:val="0"/>
      <w:spacing w:line="300" w:lineRule="auto"/>
      <w:ind w:firstLine="482"/>
      <w:textAlignment w:val="baseline"/>
    </w:pPr>
    <w:rPr>
      <w:rFonts w:ascii="Times New Roman" w:hAnsi="Times New Roman" w:eastAsia="宋体" w:cs="Times New Roman"/>
      <w:kern w:val="0"/>
      <w:szCs w:val="20"/>
    </w:rPr>
  </w:style>
  <w:style w:type="paragraph" w:customStyle="1" w:styleId="5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2">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character" w:customStyle="1" w:styleId="53">
    <w:name w:val="批注文字 字符"/>
    <w:basedOn w:val="22"/>
    <w:link w:val="8"/>
    <w:semiHidden/>
    <w:qFormat/>
    <w:uiPriority w:val="99"/>
  </w:style>
  <w:style w:type="character" w:customStyle="1" w:styleId="54">
    <w:name w:val="批注主题 字符"/>
    <w:basedOn w:val="53"/>
    <w:link w:val="19"/>
    <w:semiHidden/>
    <w:qFormat/>
    <w:uiPriority w:val="99"/>
    <w:rPr>
      <w:b/>
      <w:bCs/>
    </w:rPr>
  </w:style>
  <w:style w:type="table" w:customStyle="1" w:styleId="5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56">
    <w:name w:val="Table Paragraph"/>
    <w:basedOn w:val="1"/>
    <w:qFormat/>
    <w:uiPriority w:val="1"/>
    <w:pPr>
      <w:jc w:val="left"/>
    </w:pPr>
    <w:rPr>
      <w:kern w:val="0"/>
      <w:sz w:val="22"/>
      <w:lang w:eastAsia="en-US"/>
    </w:rPr>
  </w:style>
  <w:style w:type="paragraph" w:customStyle="1" w:styleId="57">
    <w:name w:val="表"/>
    <w:basedOn w:val="1"/>
    <w:link w:val="58"/>
    <w:qFormat/>
    <w:uiPriority w:val="0"/>
    <w:pPr>
      <w:spacing w:line="360" w:lineRule="auto"/>
      <w:jc w:val="center"/>
    </w:pPr>
    <w:rPr>
      <w:rFonts w:ascii="Times New Roman" w:hAnsi="Times New Roman" w:eastAsia="黑体" w:cs="Times New Roman"/>
      <w:bCs/>
      <w:sz w:val="24"/>
      <w:szCs w:val="24"/>
    </w:rPr>
  </w:style>
  <w:style w:type="character" w:customStyle="1" w:styleId="58">
    <w:name w:val="表 Char"/>
    <w:basedOn w:val="22"/>
    <w:link w:val="57"/>
    <w:qFormat/>
    <w:uiPriority w:val="0"/>
    <w:rPr>
      <w:rFonts w:ascii="Times New Roman" w:hAnsi="Times New Roman" w:eastAsia="黑体" w:cs="Times New Roman"/>
      <w:bCs/>
      <w:kern w:val="2"/>
      <w:sz w:val="24"/>
      <w:szCs w:val="24"/>
    </w:rPr>
  </w:style>
  <w:style w:type="paragraph" w:customStyle="1" w:styleId="59">
    <w:name w:val="表格内容5号"/>
    <w:basedOn w:val="1"/>
    <w:qFormat/>
    <w:uiPriority w:val="0"/>
    <w:pPr>
      <w:snapToGrid w:val="0"/>
      <w:jc w:val="center"/>
    </w:pPr>
    <w:rPr>
      <w:rFonts w:ascii="Times New Roman" w:hAnsi="Times New Roman" w:eastAsia="仿宋"/>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MZSHBGLWH</Company>
  <Pages>6</Pages>
  <Words>1339</Words>
  <Characters>1391</Characters>
  <Lines>21</Lines>
  <Paragraphs>6</Paragraphs>
  <TotalTime>5</TotalTime>
  <ScaleCrop>false</ScaleCrop>
  <LinksUpToDate>false</LinksUpToDate>
  <CharactersWithSpaces>1404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2020-07-07T03:48:00Z</dcterms:created>
  <dc:creator>管理员</dc:creator>
  <cp:lastModifiedBy>Administrator</cp:lastModifiedBy>
  <cp:lastPrinted>2021-09-07T11:11:00Z</cp:lastPrinted>
  <dcterms:modified xsi:type="dcterms:W3CDTF">2023-03-24T06:44:09Z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A72D29EA6AAE459B856DD3FD7DFA338D</vt:lpwstr>
  </property>
</Properties>
</file>