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黑体" w:eastAsia="黑体" w:cs="黑体"/>
          <w:sz w:val="32"/>
          <w:szCs w:val="32"/>
        </w:rPr>
      </w:pPr>
      <w:r>
        <w:rPr>
          <w:rFonts w:hint="eastAsia" w:ascii="黑体" w:hAnsi="黑体" w:eastAsia="黑体" w:cs="黑体"/>
          <w:sz w:val="32"/>
          <w:szCs w:val="32"/>
        </w:rPr>
        <w:t>附件1</w:t>
      </w:r>
    </w:p>
    <w:p>
      <w:pPr>
        <w:spacing w:line="360" w:lineRule="auto"/>
        <w:ind w:firstLine="480" w:firstLineChars="150"/>
        <w:rPr>
          <w:rFonts w:ascii="仿宋_GB2312" w:eastAsia="仿宋_GB2312"/>
          <w:sz w:val="32"/>
          <w:szCs w:val="32"/>
        </w:rPr>
      </w:pPr>
    </w:p>
    <w:p>
      <w:pPr>
        <w:spacing w:line="360" w:lineRule="auto"/>
        <w:jc w:val="center"/>
        <w:rPr>
          <w:rFonts w:ascii="方正小标宋简体" w:eastAsia="方正小标宋简体"/>
          <w:sz w:val="44"/>
          <w:szCs w:val="44"/>
        </w:rPr>
      </w:pPr>
      <w:r>
        <w:rPr>
          <w:rFonts w:hint="eastAsia" w:ascii="方正小标宋简体" w:eastAsia="方正小标宋简体"/>
          <w:sz w:val="44"/>
          <w:szCs w:val="44"/>
        </w:rPr>
        <w:t>整体绩效自评报告</w:t>
      </w: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spacing w:line="360" w:lineRule="auto"/>
        <w:ind w:firstLine="450" w:firstLineChars="150"/>
        <w:rPr>
          <w:rFonts w:ascii="仿宋_GB2312" w:eastAsia="仿宋_GB2312"/>
          <w:sz w:val="30"/>
          <w:szCs w:val="30"/>
        </w:rPr>
      </w:pPr>
    </w:p>
    <w:p>
      <w:pPr>
        <w:pStyle w:val="2"/>
        <w:rPr>
          <w:lang w:val="en-US" w:bidi="ar-SA"/>
        </w:rPr>
      </w:pPr>
    </w:p>
    <w:p>
      <w:pPr>
        <w:spacing w:line="360" w:lineRule="auto"/>
        <w:ind w:firstLine="450" w:firstLineChars="150"/>
        <w:rPr>
          <w:rFonts w:ascii="仿宋_GB2312" w:eastAsia="仿宋_GB2312"/>
          <w:sz w:val="30"/>
          <w:szCs w:val="30"/>
        </w:rPr>
      </w:pPr>
    </w:p>
    <w:p>
      <w:pPr>
        <w:spacing w:line="360" w:lineRule="auto"/>
        <w:rPr>
          <w:rFonts w:ascii="仿宋_GB2312" w:eastAsia="仿宋_GB2312"/>
          <w:sz w:val="32"/>
          <w:szCs w:val="32"/>
        </w:rPr>
      </w:pPr>
    </w:p>
    <w:p>
      <w:pPr>
        <w:snapToGrid w:val="0"/>
        <w:spacing w:line="360" w:lineRule="auto"/>
        <w:rPr>
          <w:rFonts w:ascii="仿宋_GB2312" w:eastAsia="仿宋_GB2312"/>
          <w:sz w:val="32"/>
          <w:szCs w:val="32"/>
        </w:rPr>
      </w:pPr>
      <w:r>
        <w:rPr>
          <w:rFonts w:hint="eastAsia" w:ascii="仿宋_GB2312" w:eastAsia="仿宋_GB2312"/>
          <w:sz w:val="32"/>
          <w:szCs w:val="32"/>
        </w:rPr>
        <w:t>单位名称：（公章）五华县</w:t>
      </w:r>
      <w:r>
        <w:rPr>
          <w:rFonts w:hint="eastAsia" w:ascii="仿宋_GB2312" w:eastAsia="仿宋_GB2312"/>
          <w:sz w:val="32"/>
          <w:szCs w:val="32"/>
          <w:lang w:val="en-US" w:eastAsia="zh-CN"/>
        </w:rPr>
        <w:t>科工商务</w:t>
      </w:r>
      <w:r>
        <w:rPr>
          <w:rFonts w:hint="eastAsia" w:ascii="仿宋_GB2312" w:eastAsia="仿宋_GB2312"/>
          <w:sz w:val="32"/>
          <w:szCs w:val="32"/>
        </w:rPr>
        <w:t>局</w:t>
      </w:r>
    </w:p>
    <w:p>
      <w:pPr>
        <w:snapToGrid w:val="0"/>
        <w:spacing w:line="360" w:lineRule="auto"/>
        <w:rPr>
          <w:rFonts w:hint="eastAsia" w:ascii="仿宋_GB2312" w:eastAsia="仿宋_GB2312"/>
          <w:sz w:val="32"/>
          <w:szCs w:val="32"/>
          <w:lang w:eastAsia="zh-CN"/>
        </w:rPr>
      </w:pPr>
      <w:r>
        <w:rPr>
          <w:rFonts w:hint="eastAsia" w:ascii="仿宋_GB2312" w:eastAsia="仿宋_GB2312"/>
          <w:sz w:val="32"/>
          <w:szCs w:val="32"/>
        </w:rPr>
        <w:t>填报人：</w:t>
      </w:r>
      <w:r>
        <w:rPr>
          <w:rFonts w:hint="eastAsia" w:ascii="仿宋_GB2312" w:eastAsia="仿宋_GB2312"/>
          <w:sz w:val="32"/>
          <w:szCs w:val="32"/>
          <w:lang w:val="en-US" w:eastAsia="zh-CN"/>
        </w:rPr>
        <w:t>李胜民</w:t>
      </w:r>
    </w:p>
    <w:p>
      <w:pPr>
        <w:snapToGrid w:val="0"/>
        <w:spacing w:line="360" w:lineRule="auto"/>
        <w:rPr>
          <w:rFonts w:hint="default" w:ascii="仿宋_GB2312" w:eastAsia="仿宋_GB2312"/>
          <w:sz w:val="32"/>
          <w:szCs w:val="32"/>
          <w:lang w:val="en-US" w:eastAsia="zh-CN"/>
        </w:rPr>
      </w:pPr>
      <w:r>
        <w:rPr>
          <w:rFonts w:hint="eastAsia" w:ascii="仿宋_GB2312" w:eastAsia="仿宋_GB2312"/>
          <w:sz w:val="32"/>
          <w:szCs w:val="32"/>
        </w:rPr>
        <w:t>联系电话：0753-4</w:t>
      </w:r>
      <w:r>
        <w:rPr>
          <w:rFonts w:hint="eastAsia" w:ascii="仿宋_GB2312" w:eastAsia="仿宋_GB2312"/>
          <w:sz w:val="32"/>
          <w:szCs w:val="32"/>
          <w:lang w:val="en-US" w:eastAsia="zh-CN"/>
        </w:rPr>
        <w:t>423101</w:t>
      </w:r>
    </w:p>
    <w:p>
      <w:pPr>
        <w:snapToGrid w:val="0"/>
        <w:spacing w:line="360" w:lineRule="auto"/>
        <w:rPr>
          <w:rFonts w:ascii="仿宋_GB2312" w:eastAsia="仿宋_GB2312"/>
          <w:sz w:val="32"/>
          <w:szCs w:val="32"/>
        </w:rPr>
      </w:pPr>
      <w:r>
        <w:rPr>
          <w:rFonts w:hint="eastAsia" w:ascii="仿宋_GB2312" w:eastAsia="仿宋_GB2312"/>
          <w:sz w:val="32"/>
          <w:szCs w:val="32"/>
        </w:rPr>
        <w:t>填报日期：2023年4月2</w:t>
      </w:r>
      <w:r>
        <w:rPr>
          <w:rFonts w:hint="eastAsia" w:ascii="仿宋_GB2312" w:eastAsia="仿宋_GB2312"/>
          <w:sz w:val="32"/>
          <w:szCs w:val="32"/>
          <w:lang w:val="en-US" w:eastAsia="zh-CN"/>
        </w:rPr>
        <w:t>7</w:t>
      </w:r>
      <w:r>
        <w:rPr>
          <w:rFonts w:hint="eastAsia" w:ascii="仿宋_GB2312" w:eastAsia="仿宋_GB2312"/>
          <w:sz w:val="32"/>
          <w:szCs w:val="32"/>
        </w:rPr>
        <w:t>日</w:t>
      </w:r>
    </w:p>
    <w:p>
      <w:pPr>
        <w:spacing w:line="360" w:lineRule="auto"/>
        <w:rPr>
          <w:rFonts w:ascii="仿宋_GB2312" w:eastAsia="仿宋_GB2312"/>
          <w:sz w:val="32"/>
          <w:szCs w:val="32"/>
        </w:rPr>
      </w:pPr>
    </w:p>
    <w:p>
      <w:pPr>
        <w:snapToGrid w:val="0"/>
        <w:spacing w:line="360" w:lineRule="auto"/>
        <w:rPr>
          <w:rFonts w:ascii="黑体" w:hAnsi="黑体" w:eastAsia="黑体" w:cs="黑体"/>
          <w:bCs/>
          <w:sz w:val="32"/>
          <w:szCs w:val="32"/>
        </w:rPr>
      </w:pP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一、基本情况</w:t>
      </w:r>
    </w:p>
    <w:p>
      <w:pPr>
        <w:pStyle w:val="2"/>
        <w:overflowPunct w:val="0"/>
        <w:autoSpaceDE/>
        <w:autoSpaceDN/>
        <w:spacing w:line="360" w:lineRule="auto"/>
        <w:ind w:firstLine="643" w:firstLineChars="200"/>
        <w:rPr>
          <w:rFonts w:ascii="仿宋_GB2312" w:hAnsi="Adobe 楷体 Std R" w:eastAsia="仿宋_GB2312"/>
          <w:b/>
          <w:color w:val="000000"/>
        </w:rPr>
      </w:pPr>
      <w:r>
        <w:rPr>
          <w:rFonts w:hint="eastAsia" w:ascii="仿宋_GB2312" w:hAnsi="Adobe 楷体 Std R" w:eastAsia="仿宋_GB2312"/>
          <w:b/>
          <w:color w:val="000000"/>
        </w:rPr>
        <w:t>（一）整体概况</w:t>
      </w:r>
    </w:p>
    <w:p>
      <w:pPr>
        <w:pStyle w:val="2"/>
        <w:overflowPunct w:val="0"/>
        <w:autoSpaceDE/>
        <w:autoSpaceDN/>
        <w:spacing w:line="360" w:lineRule="auto"/>
        <w:ind w:firstLine="643" w:firstLineChars="200"/>
        <w:rPr>
          <w:rFonts w:ascii="仿宋_GB2312" w:eastAsia="仿宋_GB2312"/>
          <w:b/>
          <w:color w:val="000000"/>
          <w:kern w:val="2"/>
        </w:rPr>
      </w:pPr>
      <w:r>
        <w:rPr>
          <w:rFonts w:hint="eastAsia" w:ascii="仿宋_GB2312" w:eastAsia="仿宋_GB2312"/>
          <w:b/>
          <w:color w:val="000000"/>
          <w:kern w:val="2"/>
          <w:lang w:val="en-US"/>
        </w:rPr>
        <w:t>1.</w:t>
      </w:r>
      <w:r>
        <w:rPr>
          <w:rFonts w:hint="eastAsia" w:ascii="仿宋_GB2312" w:eastAsia="仿宋_GB2312"/>
          <w:b/>
          <w:color w:val="000000"/>
          <w:kern w:val="2"/>
        </w:rPr>
        <w:t>主要职责</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w:t>
      </w:r>
      <w:r>
        <w:rPr>
          <w:rFonts w:hint="eastAsia" w:ascii="仿宋_GB2312" w:eastAsia="仿宋_GB2312"/>
          <w:b/>
          <w:bCs/>
          <w:color w:val="000000"/>
          <w:kern w:val="2"/>
          <w:lang w:val="en-US"/>
        </w:rPr>
        <w:t>）</w:t>
      </w:r>
      <w:r>
        <w:rPr>
          <w:rFonts w:hint="eastAsia" w:ascii="仿宋_GB2312" w:eastAsia="仿宋_GB2312"/>
          <w:color w:val="000000"/>
          <w:kern w:val="2"/>
          <w:lang w:val="en-US"/>
        </w:rPr>
        <w:t>贯彻实施创新驱动发展战略，组织拟订实施创新驱动发展战略、促进科技创新强县建设的规划，以及促进科技发展、引进国（境）外智力等方面的规划和政策并组织实施。</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2</w:t>
      </w:r>
      <w:r>
        <w:rPr>
          <w:rFonts w:hint="eastAsia" w:ascii="仿宋_GB2312" w:eastAsia="仿宋_GB2312"/>
          <w:b/>
          <w:bCs/>
          <w:color w:val="000000"/>
          <w:kern w:val="2"/>
          <w:lang w:val="en-US"/>
        </w:rPr>
        <w:t>）</w:t>
      </w:r>
      <w:r>
        <w:rPr>
          <w:rFonts w:hint="eastAsia" w:ascii="仿宋_GB2312" w:eastAsia="仿宋_GB2312"/>
          <w:color w:val="000000"/>
          <w:kern w:val="2"/>
          <w:lang w:val="en-US"/>
        </w:rPr>
        <w:t>牵头科研项目资金协调、评估、监管机制。</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3</w:t>
      </w:r>
      <w:r>
        <w:rPr>
          <w:rFonts w:hint="eastAsia" w:ascii="仿宋_GB2312" w:eastAsia="仿宋_GB2312"/>
          <w:b/>
          <w:bCs/>
          <w:color w:val="000000"/>
          <w:kern w:val="2"/>
          <w:lang w:val="en-US"/>
        </w:rPr>
        <w:t>）</w:t>
      </w:r>
      <w:r>
        <w:rPr>
          <w:rFonts w:hint="eastAsia" w:ascii="仿宋_GB2312" w:eastAsia="仿宋_GB2312"/>
          <w:color w:val="000000"/>
          <w:kern w:val="2"/>
          <w:lang w:val="en-US"/>
        </w:rPr>
        <w:t>发展高新技术产业，组织拟订高新技术发展及产业化、科技促进农业农村和社会发展的规划、政策、措施。</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4</w:t>
      </w:r>
      <w:r>
        <w:rPr>
          <w:rFonts w:hint="eastAsia" w:ascii="仿宋_GB2312" w:eastAsia="仿宋_GB2312"/>
          <w:b/>
          <w:bCs/>
          <w:color w:val="000000"/>
          <w:kern w:val="2"/>
          <w:lang w:val="en-US"/>
        </w:rPr>
        <w:t>）</w:t>
      </w:r>
      <w:r>
        <w:rPr>
          <w:rFonts w:hint="eastAsia" w:ascii="仿宋_GB2312" w:eastAsia="仿宋_GB2312"/>
          <w:color w:val="000000"/>
          <w:kern w:val="2"/>
          <w:lang w:val="en-US"/>
        </w:rPr>
        <w:t>组织实施科技成果转移转化，拟订科技成果转移转化和促进产学研结合的相关政策措施并监督实施。</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5</w:t>
      </w:r>
      <w:r>
        <w:rPr>
          <w:rFonts w:hint="eastAsia" w:ascii="仿宋_GB2312" w:eastAsia="仿宋_GB2312"/>
          <w:b/>
          <w:bCs/>
          <w:color w:val="000000"/>
          <w:kern w:val="2"/>
          <w:lang w:val="en-US"/>
        </w:rPr>
        <w:t>）</w:t>
      </w:r>
      <w:r>
        <w:rPr>
          <w:rFonts w:hint="eastAsia" w:ascii="仿宋_GB2312" w:eastAsia="仿宋_GB2312"/>
          <w:color w:val="000000"/>
          <w:kern w:val="2"/>
          <w:lang w:val="en-US"/>
        </w:rPr>
        <w:t>推动国家、省、市重点实验室等研发平台建设。</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6</w:t>
      </w:r>
      <w:r>
        <w:rPr>
          <w:rFonts w:hint="eastAsia" w:ascii="仿宋_GB2312" w:eastAsia="仿宋_GB2312"/>
          <w:b/>
          <w:bCs/>
          <w:color w:val="000000"/>
          <w:kern w:val="2"/>
          <w:lang w:val="en-US"/>
        </w:rPr>
        <w:t>）</w:t>
      </w:r>
      <w:r>
        <w:rPr>
          <w:rFonts w:hint="eastAsia" w:ascii="仿宋_GB2312" w:eastAsia="仿宋_GB2312"/>
          <w:color w:val="000000"/>
          <w:kern w:val="2"/>
          <w:lang w:val="en-US"/>
        </w:rPr>
        <w:t>贯彻落实国家、省和市防震减灾工作的方针、政策、法律、法规；承担防震减灾监督管理的责任，依法行使综合监督管理职权，指导协调、监督检查防震减灾工作，查处违法行为。</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7</w:t>
      </w:r>
      <w:r>
        <w:rPr>
          <w:rFonts w:hint="eastAsia" w:ascii="仿宋_GB2312" w:eastAsia="仿宋_GB2312"/>
          <w:b/>
          <w:bCs/>
          <w:color w:val="000000"/>
          <w:kern w:val="2"/>
          <w:lang w:val="en-US"/>
        </w:rPr>
        <w:t>）</w:t>
      </w:r>
      <w:r>
        <w:rPr>
          <w:rFonts w:hint="eastAsia" w:ascii="仿宋_GB2312" w:eastAsia="仿宋_GB2312"/>
          <w:color w:val="000000"/>
          <w:kern w:val="2"/>
          <w:lang w:val="en-US"/>
        </w:rPr>
        <w:t>监测分析工业、信息化领域运行态势并做好相关信息发布，进行预测预警和信息引导，协调解决行业运行发展中的重大问题并提出政策建议。</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8</w:t>
      </w:r>
      <w:r>
        <w:rPr>
          <w:rFonts w:hint="eastAsia" w:ascii="仿宋_GB2312" w:eastAsia="仿宋_GB2312"/>
          <w:b/>
          <w:bCs/>
          <w:color w:val="000000"/>
          <w:kern w:val="2"/>
          <w:lang w:val="en-US"/>
        </w:rPr>
        <w:t>）</w:t>
      </w:r>
      <w:r>
        <w:rPr>
          <w:rFonts w:hint="eastAsia" w:ascii="仿宋_GB2312" w:eastAsia="仿宋_GB2312"/>
          <w:color w:val="000000"/>
          <w:kern w:val="2"/>
          <w:lang w:val="en-US"/>
        </w:rPr>
        <w:t>协助产业转移工业园区的综合协调和提质发展、扩能增效工作，协助研究产业转移工业园区发展中的重大问题，提出政策建议。</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9</w:t>
      </w:r>
      <w:r>
        <w:rPr>
          <w:rFonts w:hint="eastAsia" w:ascii="仿宋_GB2312" w:eastAsia="仿宋_GB2312"/>
          <w:b/>
          <w:bCs/>
          <w:color w:val="000000"/>
          <w:kern w:val="2"/>
          <w:lang w:val="en-US"/>
        </w:rPr>
        <w:t>）</w:t>
      </w:r>
      <w:r>
        <w:rPr>
          <w:rFonts w:hint="eastAsia" w:ascii="仿宋_GB2312" w:eastAsia="仿宋_GB2312"/>
          <w:color w:val="000000"/>
          <w:kern w:val="2"/>
          <w:lang w:val="en-US"/>
        </w:rPr>
        <w:t>推进国民经济和社会信息化工作，协调指导经济社会领域的信息化应用。</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10</w:t>
      </w:r>
      <w:r>
        <w:rPr>
          <w:rFonts w:hint="eastAsia" w:ascii="仿宋_GB2312" w:eastAsia="仿宋_GB2312"/>
          <w:b/>
          <w:bCs/>
          <w:color w:val="000000"/>
          <w:kern w:val="2"/>
          <w:lang w:val="en-US"/>
        </w:rPr>
        <w:t>）</w:t>
      </w:r>
      <w:r>
        <w:rPr>
          <w:rFonts w:hint="eastAsia" w:ascii="仿宋_GB2312" w:eastAsia="仿宋_GB2312"/>
          <w:color w:val="000000"/>
          <w:kern w:val="2"/>
          <w:lang w:val="en-US"/>
        </w:rPr>
        <w:t>组织实施民用爆炸物品规划和政策措施；组织实施民用爆炸物品生产销售环节建设项目、科技项目管理；负责民用爆炸物品销售环节安全的监督管理。</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11</w:t>
      </w:r>
      <w:r>
        <w:rPr>
          <w:rFonts w:hint="eastAsia" w:ascii="仿宋_GB2312" w:eastAsia="仿宋_GB2312"/>
          <w:b/>
          <w:bCs/>
          <w:color w:val="000000"/>
          <w:kern w:val="2"/>
          <w:lang w:val="en-US"/>
        </w:rPr>
        <w:t>）</w:t>
      </w:r>
      <w:r>
        <w:rPr>
          <w:rFonts w:hint="eastAsia" w:ascii="仿宋_GB2312" w:eastAsia="仿宋_GB2312"/>
          <w:color w:val="000000"/>
          <w:kern w:val="2"/>
          <w:lang w:val="en-US"/>
        </w:rPr>
        <w:t>负责中小企业和民营经济发展的宏观指导和服务，综合协调有关部门拟订促进中小企业和民营经济发展的政策措施。</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12</w:t>
      </w:r>
      <w:r>
        <w:rPr>
          <w:rFonts w:hint="eastAsia" w:ascii="仿宋_GB2312" w:eastAsia="仿宋_GB2312"/>
          <w:b/>
          <w:bCs/>
          <w:color w:val="000000"/>
          <w:kern w:val="2"/>
          <w:lang w:val="en-US"/>
        </w:rPr>
        <w:t>）</w:t>
      </w:r>
      <w:r>
        <w:rPr>
          <w:rFonts w:hint="eastAsia" w:ascii="仿宋_GB2312" w:eastAsia="仿宋_GB2312"/>
          <w:color w:val="000000"/>
          <w:kern w:val="2"/>
          <w:lang w:val="en-US"/>
        </w:rPr>
        <w:t>贯彻执行国家、省、市商务管理工作有关方针政策和法律法规，起草有关地方性政策并组织实施；研究国内外贸易现代流通方式的发展趋势并提出政策建议。</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13</w:t>
      </w:r>
      <w:r>
        <w:rPr>
          <w:rFonts w:hint="eastAsia" w:ascii="仿宋_GB2312" w:eastAsia="仿宋_GB2312"/>
          <w:b/>
          <w:bCs/>
          <w:color w:val="000000"/>
          <w:kern w:val="2"/>
          <w:lang w:val="en-US"/>
        </w:rPr>
        <w:t>）</w:t>
      </w:r>
      <w:r>
        <w:rPr>
          <w:rFonts w:hint="eastAsia" w:ascii="仿宋_GB2312" w:eastAsia="仿宋_GB2312"/>
          <w:color w:val="000000"/>
          <w:kern w:val="2"/>
          <w:lang w:val="en-US"/>
        </w:rPr>
        <w:t>牵头拟订有关健全和规范城乡市场发展的政策；建立市场诚信公共服务平台，推动商务领域信用建设；推进农村市场体系建设，指导大宗产品批发市场规划和城市商业网点规划、商业体系建设；促进商贸流通体制改革，协调解决商贸流通中的重大问题；推进流通标准化。拟订并组织实施会展、电子商务、商务服务等发展规划和政策措施；推进连锁经营、商业特许经营、物流配送等现代流通方式发展；促进贸易增长方式转变，指导和协调贸易促进体系建设，推动电子商务服务体系和平台建设；推动流通业品牌建设。牵头拟订全县服务贸易发展计划，负责商贸服务业（含批发、零售、家政、餐饮、住宿业等）管理、发展相关工作；指导服务贸易领域的对外开放；会同有关部门制定促进服务出口和服务外包发展的规划、政策措施并组织实施；推动服务外包平台建设。拟订并组织实施优化机电产品、高新技术产品进出口结构和对外技术贸易的政策措施；组织实施国际品牌建设；负责监督协调机电产品国际招投标。</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14</w:t>
      </w:r>
      <w:r>
        <w:rPr>
          <w:rFonts w:hint="eastAsia" w:ascii="仿宋_GB2312" w:eastAsia="仿宋_GB2312"/>
          <w:b/>
          <w:bCs/>
          <w:color w:val="000000"/>
          <w:kern w:val="2"/>
          <w:lang w:val="en-US"/>
        </w:rPr>
        <w:t>）</w:t>
      </w:r>
      <w:r>
        <w:rPr>
          <w:rFonts w:hint="eastAsia" w:ascii="仿宋_GB2312" w:eastAsia="仿宋_GB2312"/>
          <w:color w:val="000000"/>
          <w:kern w:val="2"/>
          <w:lang w:val="en-US"/>
        </w:rPr>
        <w:t>制定并组织流通业产业政策，提出优化产业布局、结构的政策建议并组织实施；负责流通行业发展工作，指导和管理再生资源回收相关工作；依法对拍卖、典当、租赁、汽车流通和旧货流通业等进行监督管理；组织实施进出口商品目录；组织实施重要工业品、原材料和重要农产品（除粮食、棉花外）进出口计划。</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15</w:t>
      </w:r>
      <w:r>
        <w:rPr>
          <w:rFonts w:hint="eastAsia" w:ascii="仿宋_GB2312" w:eastAsia="仿宋_GB2312"/>
          <w:b/>
          <w:bCs/>
          <w:color w:val="000000"/>
          <w:kern w:val="2"/>
          <w:lang w:val="en-US"/>
        </w:rPr>
        <w:t>）</w:t>
      </w:r>
      <w:r>
        <w:rPr>
          <w:rFonts w:hint="eastAsia" w:ascii="仿宋_GB2312" w:eastAsia="仿宋_GB2312"/>
          <w:color w:val="000000"/>
          <w:kern w:val="2"/>
          <w:lang w:val="en-US"/>
        </w:rPr>
        <w:t>负责全县招商引资和协调相关工作，拟订本县招商引资规划、计划并组织实施；承担重大项目招商和跟踪服务工作；负责协调和指导本县招商引资、投资促进工作；组织全县招商引资相关考核工作；参与制定本县促进投资规划和改善投资环境的政策措施。负责国内外经济合作工作；拟订并组织实施有关经济合作的政策措施和管理办法；拟订本县对外投资规划、计划并组织实施；负责对外投资管理和服务工作；依法管理、监督和服务对外承包工程、对外劳务合作等对外经济合作业务。</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16</w:t>
      </w:r>
      <w:r>
        <w:rPr>
          <w:rFonts w:hint="eastAsia" w:ascii="仿宋_GB2312" w:eastAsia="仿宋_GB2312"/>
          <w:b/>
          <w:bCs/>
          <w:color w:val="000000"/>
          <w:kern w:val="2"/>
          <w:lang w:val="en-US"/>
        </w:rPr>
        <w:t>）</w:t>
      </w:r>
      <w:r>
        <w:rPr>
          <w:rFonts w:hint="eastAsia" w:ascii="仿宋_GB2312" w:eastAsia="仿宋_GB2312"/>
          <w:color w:val="000000"/>
          <w:kern w:val="2"/>
          <w:lang w:val="en-US"/>
        </w:rPr>
        <w:t>指导全县外商投资工作，拟订外商投资政策和改革方案并组织实施，依法管理外商投资企业和项目有关事项，依法监督检查外商投资企业执行有关法律法规情况并协调解决有关重大问题；指导加工贸易工作，依法监督管理本县加工贸易进出口工作。</w:t>
      </w:r>
    </w:p>
    <w:p>
      <w:pPr>
        <w:pStyle w:val="2"/>
        <w:overflowPunct w:val="0"/>
        <w:autoSpaceDE/>
        <w:autoSpaceDN/>
        <w:spacing w:line="580" w:lineRule="exact"/>
        <w:ind w:firstLine="643" w:firstLineChars="200"/>
        <w:rPr>
          <w:rFonts w:hint="eastAsia" w:ascii="仿宋_GB2312" w:eastAsia="仿宋_GB2312"/>
          <w:color w:val="000000"/>
          <w:kern w:val="2"/>
          <w:lang w:val="en-US"/>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17</w:t>
      </w:r>
      <w:r>
        <w:rPr>
          <w:rFonts w:hint="eastAsia" w:ascii="仿宋_GB2312" w:eastAsia="仿宋_GB2312"/>
          <w:b/>
          <w:bCs/>
          <w:color w:val="000000"/>
          <w:kern w:val="2"/>
          <w:lang w:val="en-US"/>
        </w:rPr>
        <w:t>）</w:t>
      </w:r>
      <w:r>
        <w:rPr>
          <w:rFonts w:hint="eastAsia" w:ascii="仿宋_GB2312" w:eastAsia="仿宋_GB2312"/>
          <w:color w:val="000000"/>
          <w:kern w:val="2"/>
          <w:lang w:val="en-US"/>
        </w:rPr>
        <w:t>拟订县商务交流计划并组织实施；负责全县性商务重要活动；指导本系统对外交流工作；负责我县与港澳台经贸交流工作；负责区域经贸合作、协作相关工作。负责对外开放规划并组织实施。承担组织协调反倾销、反补贴、保障措施及其他相关工作；综合协调本县有关世界贸易组织事务的具体工作；依法组织产业损害调查及其他贸易救济措施，指导协调国外对本县出口商品的反倾销、反补贴、保障措施的应诉工作。按照管理权限，负责外地驻华办事机构的管理、协调、服务工作。</w:t>
      </w:r>
    </w:p>
    <w:p>
      <w:pPr>
        <w:pStyle w:val="2"/>
        <w:overflowPunct w:val="0"/>
        <w:autoSpaceDE/>
        <w:autoSpaceDN/>
        <w:spacing w:line="580" w:lineRule="exact"/>
        <w:ind w:firstLine="643" w:firstLineChars="200"/>
        <w:rPr>
          <w:rFonts w:ascii="仿宋_GB2312" w:eastAsia="仿宋_GB2312"/>
          <w:color w:val="000000"/>
          <w:kern w:val="2"/>
        </w:rPr>
      </w:pPr>
      <w:r>
        <w:rPr>
          <w:rFonts w:hint="eastAsia" w:ascii="仿宋_GB2312" w:eastAsia="仿宋_GB2312"/>
          <w:b/>
          <w:bCs/>
          <w:color w:val="000000"/>
          <w:kern w:val="2"/>
          <w:lang w:val="en-US"/>
        </w:rPr>
        <w:t>（</w:t>
      </w:r>
      <w:r>
        <w:rPr>
          <w:rFonts w:hint="eastAsia" w:ascii="仿宋_GB2312" w:eastAsia="仿宋_GB2312"/>
          <w:b/>
          <w:bCs/>
          <w:color w:val="000000"/>
          <w:kern w:val="2"/>
          <w:lang w:val="en-US" w:eastAsia="zh-CN"/>
        </w:rPr>
        <w:t>18</w:t>
      </w:r>
      <w:r>
        <w:rPr>
          <w:rFonts w:hint="eastAsia" w:ascii="仿宋_GB2312" w:eastAsia="仿宋_GB2312"/>
          <w:b/>
          <w:bCs/>
          <w:color w:val="000000"/>
          <w:kern w:val="2"/>
          <w:lang w:val="en-US"/>
        </w:rPr>
        <w:t>）</w:t>
      </w:r>
      <w:r>
        <w:rPr>
          <w:rFonts w:hint="eastAsia" w:ascii="仿宋_GB2312" w:eastAsia="仿宋_GB2312"/>
          <w:color w:val="000000"/>
          <w:kern w:val="2"/>
          <w:lang w:val="en-US"/>
        </w:rPr>
        <w:t>完成县委、县政府和市科学技术局、市工业和信息化局、市商务局交办的其他任务。</w:t>
      </w:r>
    </w:p>
    <w:p>
      <w:pPr>
        <w:pStyle w:val="2"/>
        <w:overflowPunct w:val="0"/>
        <w:autoSpaceDE/>
        <w:autoSpaceDN/>
        <w:spacing w:line="360" w:lineRule="auto"/>
        <w:ind w:firstLine="643" w:firstLineChars="200"/>
        <w:rPr>
          <w:rFonts w:ascii="仿宋_GB2312" w:eastAsia="仿宋_GB2312"/>
          <w:b/>
          <w:color w:val="000000"/>
          <w:kern w:val="2"/>
        </w:rPr>
      </w:pPr>
      <w:r>
        <w:rPr>
          <w:rFonts w:hint="eastAsia" w:ascii="仿宋_GB2312" w:eastAsia="仿宋_GB2312"/>
          <w:b/>
          <w:color w:val="000000"/>
          <w:kern w:val="2"/>
          <w:lang w:val="en-US"/>
        </w:rPr>
        <w:t>2.</w:t>
      </w:r>
      <w:r>
        <w:rPr>
          <w:rFonts w:hint="eastAsia" w:ascii="仿宋_GB2312" w:eastAsia="仿宋_GB2312"/>
          <w:b/>
          <w:color w:val="000000"/>
          <w:kern w:val="2"/>
        </w:rPr>
        <w:t>内设机构构成</w:t>
      </w:r>
    </w:p>
    <w:p>
      <w:pPr>
        <w:pStyle w:val="2"/>
        <w:overflowPunct w:val="0"/>
        <w:autoSpaceDE/>
        <w:autoSpaceDN/>
        <w:spacing w:line="580" w:lineRule="exact"/>
        <w:ind w:firstLine="640" w:firstLineChars="200"/>
        <w:rPr>
          <w:rFonts w:ascii="仿宋_GB2312" w:eastAsia="仿宋_GB2312"/>
          <w:color w:val="000000"/>
          <w:kern w:val="2"/>
        </w:rPr>
      </w:pPr>
      <w:r>
        <w:rPr>
          <w:rFonts w:hint="eastAsia" w:ascii="仿宋_GB2312" w:eastAsia="仿宋_GB2312"/>
          <w:color w:val="000000"/>
          <w:kern w:val="2"/>
        </w:rPr>
        <w:t>本单位内设办公室、法规与行政审批股、综合调研股、高新技术股、社会发展科技股、信息化与数字软件服务业股、工业互联网与电子信息股（加挂县无线电管理办公室牌子）、运行监测股、产业发展股、工业节能与综合利用股、技术改造与创新股（加挂工业园区股牌子）、民营经济与服务体系建设股、外资外贸管理股、贸易管理股、市场规划与调节股、电子商务股、投资促进与招商股、人事股等18个股室。</w:t>
      </w:r>
    </w:p>
    <w:p>
      <w:pPr>
        <w:pStyle w:val="2"/>
        <w:overflowPunct w:val="0"/>
        <w:autoSpaceDE/>
        <w:autoSpaceDN/>
        <w:spacing w:line="360" w:lineRule="auto"/>
        <w:ind w:firstLine="643" w:firstLineChars="200"/>
        <w:rPr>
          <w:rFonts w:ascii="仿宋_GB2312" w:eastAsia="仿宋_GB2312"/>
          <w:b/>
          <w:color w:val="000000"/>
          <w:kern w:val="2"/>
          <w:lang w:val="en-US"/>
        </w:rPr>
      </w:pPr>
      <w:r>
        <w:rPr>
          <w:rFonts w:hint="eastAsia" w:ascii="仿宋_GB2312" w:eastAsia="仿宋_GB2312"/>
          <w:b/>
          <w:color w:val="000000"/>
          <w:kern w:val="2"/>
          <w:lang w:val="en-US"/>
        </w:rPr>
        <w:t>3.人员编制</w:t>
      </w:r>
    </w:p>
    <w:p>
      <w:pPr>
        <w:pStyle w:val="2"/>
        <w:overflowPunct w:val="0"/>
        <w:spacing w:line="580" w:lineRule="exact"/>
        <w:ind w:firstLine="640" w:firstLineChars="200"/>
        <w:rPr>
          <w:rFonts w:ascii="仿宋_GB2312" w:eastAsia="仿宋_GB2312"/>
          <w:color w:val="000000"/>
          <w:lang w:val="en-US"/>
        </w:rPr>
      </w:pPr>
      <w:r>
        <w:rPr>
          <w:rFonts w:ascii="仿宋_GB2312" w:eastAsia="仿宋_GB2312"/>
          <w:color w:val="000000"/>
          <w:lang w:val="en-US"/>
        </w:rPr>
        <w:t>截至202</w:t>
      </w:r>
      <w:r>
        <w:rPr>
          <w:rFonts w:hint="eastAsia" w:ascii="仿宋_GB2312" w:eastAsia="仿宋_GB2312"/>
          <w:color w:val="000000"/>
          <w:lang w:val="en-US"/>
        </w:rPr>
        <w:t>2</w:t>
      </w:r>
      <w:r>
        <w:rPr>
          <w:rFonts w:ascii="仿宋_GB2312" w:eastAsia="仿宋_GB2312"/>
          <w:color w:val="000000"/>
          <w:lang w:val="en-US"/>
        </w:rPr>
        <w:t>年12月31日，本单位财政核定编制在职人员为</w:t>
      </w:r>
      <w:r>
        <w:rPr>
          <w:rFonts w:hint="eastAsia" w:ascii="仿宋_GB2312" w:eastAsia="仿宋_GB2312"/>
          <w:color w:val="000000"/>
          <w:lang w:val="en-US" w:eastAsia="zh-CN"/>
        </w:rPr>
        <w:t>45</w:t>
      </w:r>
      <w:r>
        <w:rPr>
          <w:rFonts w:ascii="仿宋_GB2312" w:eastAsia="仿宋_GB2312"/>
          <w:color w:val="000000"/>
          <w:lang w:val="en-US"/>
        </w:rPr>
        <w:t>人</w:t>
      </w:r>
      <w:r>
        <w:rPr>
          <w:rFonts w:hint="eastAsia" w:ascii="仿宋_GB2312" w:eastAsia="仿宋_GB2312"/>
          <w:color w:val="000000"/>
          <w:lang w:val="en-US"/>
        </w:rPr>
        <w:t>，</w:t>
      </w:r>
      <w:r>
        <w:rPr>
          <w:rFonts w:ascii="仿宋_GB2312" w:eastAsia="仿宋_GB2312"/>
          <w:color w:val="000000"/>
          <w:lang w:val="en-US"/>
        </w:rPr>
        <w:t>年末实有在职人员为</w:t>
      </w:r>
      <w:r>
        <w:rPr>
          <w:rFonts w:hint="eastAsia" w:ascii="仿宋_GB2312" w:eastAsia="仿宋_GB2312"/>
          <w:color w:val="000000"/>
          <w:lang w:val="en-US" w:eastAsia="zh-CN"/>
        </w:rPr>
        <w:t>39</w:t>
      </w:r>
      <w:r>
        <w:rPr>
          <w:rFonts w:ascii="仿宋_GB2312" w:eastAsia="仿宋_GB2312"/>
          <w:color w:val="000000"/>
          <w:lang w:val="en-US"/>
        </w:rPr>
        <w:t>人，退休人员</w:t>
      </w:r>
      <w:r>
        <w:rPr>
          <w:rFonts w:hint="eastAsia" w:ascii="仿宋_GB2312" w:eastAsia="仿宋_GB2312"/>
          <w:color w:val="000000"/>
          <w:lang w:val="en-US" w:eastAsia="zh-CN"/>
        </w:rPr>
        <w:t>159</w:t>
      </w:r>
      <w:r>
        <w:rPr>
          <w:rFonts w:ascii="仿宋_GB2312" w:eastAsia="仿宋_GB2312"/>
          <w:color w:val="000000"/>
          <w:lang w:val="en-US"/>
        </w:rPr>
        <w:t>人。</w:t>
      </w:r>
    </w:p>
    <w:p>
      <w:pPr>
        <w:pStyle w:val="2"/>
        <w:overflowPunct w:val="0"/>
        <w:autoSpaceDE/>
        <w:autoSpaceDN/>
        <w:spacing w:line="360" w:lineRule="auto"/>
        <w:ind w:firstLine="643" w:firstLineChars="200"/>
        <w:rPr>
          <w:rFonts w:ascii="仿宋_GB2312" w:hAnsi="Adobe 楷体 Std R" w:eastAsia="仿宋_GB2312"/>
          <w:b/>
          <w:color w:val="000000"/>
        </w:rPr>
      </w:pPr>
      <w:r>
        <w:rPr>
          <w:rFonts w:hint="eastAsia" w:ascii="仿宋_GB2312" w:hAnsi="Adobe 楷体 Std R" w:eastAsia="仿宋_GB2312"/>
          <w:b/>
          <w:color w:val="000000"/>
        </w:rPr>
        <w:t>（二）年度总体工作和重点工作任务</w:t>
      </w:r>
    </w:p>
    <w:p>
      <w:pPr>
        <w:snapToGrid w:val="0"/>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1</w:t>
      </w:r>
      <w:r>
        <w:rPr>
          <w:rFonts w:hint="eastAsia" w:ascii="仿宋_GB2312" w:hAnsi="仿宋_GB2312" w:eastAsia="仿宋_GB2312" w:cs="仿宋_GB2312"/>
          <w:b/>
          <w:bCs w:val="0"/>
          <w:sz w:val="32"/>
          <w:szCs w:val="32"/>
        </w:rPr>
        <w:t>）加快培育壮大重点产业。</w:t>
      </w:r>
    </w:p>
    <w:p>
      <w:p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围绕市绿色产业体系建设，结合我县实际，调整印发《县领导直接联系开展服务企业工作方案》《五华县科工商务局2022年局领导、相关股室挂钩服务企业工作方案》等工作方案，深入开展“一起益企”“双统筹”等服务工作，严格落实挂钩联系服务企业制度，充分发挥服务专员作用，加强与服务对象的对接沟通；全面贯彻落实《梅州市加快实体经济振兴发展若干措施》，用好全市、全县工业重点项目每月调度机制，千方百计为企业纾困解难；大力发展以先进制造业为主体的实体经济，着力培育以辉骏集团、井得电机等企业为龙头的装备制造主导产业，同步培育以精荣科技、神牛摄影器材等企业为领衔的电子信息产业，以百岁山矿泉水、康奇力、长乐烧等为代表的制酒制药和包装饮用水产业，以及以红木产业园为代表的红木产业，加快形成特色鲜明、经济效益不断提升的绿色工业产业体系。目前，我局已累计组织4批次89家企业的100多人次参与梅州市惠企政策宣贯会、“政银企”融资交流对接活动会等；积极实施中小微企业信贷风险补偿资金政策，2022年为1家企业融资放贷500万元；推动梅州五华百岁山矿泉水项目于2022年6月21日顺利投产，切实将暖企稳企服务向纵深延伸，不断培育壮大重点产业。</w:t>
      </w:r>
    </w:p>
    <w:p>
      <w:pPr>
        <w:snapToGrid w:val="0"/>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2</w:t>
      </w:r>
      <w:r>
        <w:rPr>
          <w:rFonts w:hint="eastAsia" w:ascii="仿宋_GB2312" w:hAnsi="仿宋_GB2312" w:eastAsia="仿宋_GB2312" w:cs="仿宋_GB2312"/>
          <w:b/>
          <w:bCs w:val="0"/>
          <w:sz w:val="32"/>
          <w:szCs w:val="32"/>
        </w:rPr>
        <w:t>）大力推动中小微工业企业上规升级。</w:t>
      </w:r>
    </w:p>
    <w:p>
      <w:p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围绕市下达13家工业企业“小升规”的目标任务数，全面梳理发展前景好、成长性高、潜力大的小微企业，完善“小升规”重点企业培育库，形成包括广悦鞋业、三顺矿机、老聚通食品等35家企业在内的拟培育上规企业库，有针对性地破解小微企业在培育上规过程中遇到的融资、用地、用工等方面的困难，完成15家小微工业企业上规模，着力发展壮大我县规上工业企业数量。推荐辉骏集团、井得电机、康奇力和晶铠科技等4家企业申报省级创新型中小企业及“专精特新”企业认定；推荐梅州生长地农业开发公司复核认定“专精特新”企业。至目前，全县有6家省级“专精特新”企业。</w:t>
      </w:r>
    </w:p>
    <w:p>
      <w:pPr>
        <w:snapToGrid w:val="0"/>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sz w:val="32"/>
          <w:szCs w:val="32"/>
          <w:lang w:val="en-US" w:eastAsia="zh-CN"/>
        </w:rPr>
        <w:t>3</w:t>
      </w:r>
      <w:r>
        <w:rPr>
          <w:rFonts w:hint="eastAsia" w:ascii="仿宋_GB2312" w:hAnsi="仿宋_GB2312" w:eastAsia="仿宋_GB2312" w:cs="仿宋_GB2312"/>
          <w:b/>
          <w:bCs w:val="0"/>
          <w:sz w:val="32"/>
          <w:szCs w:val="32"/>
        </w:rPr>
        <w:t>）着力提升企业发展质量。</w:t>
      </w:r>
    </w:p>
    <w:p>
      <w:p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充分发挥专项资金撬动作用，协同企业积极向上争取各类奖补资金，协助解决企业技改、融资等资金需求，助力企业又好又快发展。一是协助联基电子、泰金智能、明珠星钟表等3家企业成功申请产业共建等项目资金343万元，并根据《梅州市2023年省级先进制造业发展专项资金（企业技术改造）项目入选项目库的通知》，协助立信织造等企业完成进入2023年技术改造项目库，为后期经济增长提供新的活力。二是充分运用信贷风险补偿平台资金，2022年1月份为1家企业新增融资贷款500万元，助力企业“活”起来。三是根据《关于印发梅州市对首次达到规模以上工业企业和限额以上商贸流通企业进行科技扶持奖励的实施办法的通知》等文件，积极向上争取上规奖励，将为我县2021年度新上规的10家工业企业争取省级财政上规模奖励资金200万元、县级叠加奖励资金100万元，助力企业发展壮大，提升发展质量。四是全力开展清洁生产审核工作。积极推动东雅轩红木家具有限公司做好清洁生产升级改造，协助市生态环境保护局五华分局做好五华东成家具有限公司的清洁生产升级改造工作。目前，2家企业司已顺利通过市级审核验收,1家企业已通过节水型企业评定验收。</w:t>
      </w:r>
    </w:p>
    <w:p>
      <w:pPr>
        <w:numPr>
          <w:ilvl w:val="0"/>
          <w:numId w:val="1"/>
        </w:numPr>
        <w:snapToGrid w:val="0"/>
        <w:spacing w:line="360" w:lineRule="auto"/>
        <w:ind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扎实推动创新驱动发展。</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做好高新技术企业认定工作。广东省2022年高新技术企业认定申报分3批次受理，我局及时组织企业参加梅州市高新技术企业认定申报实务网络培训，对企业在申报材料中知识产权运用、科技成果转化、研发费用归集、创新体系管理等方面存在的问题进行指导并提出改进建议，为提高企业申报成功率打下坚实基础。二是做好省市工程技术研究中心工作。深入实施创新驱动发展战略，积极鼓励和引导企业申报创建省市工程技术研究中心等研发机构，培育科技型中小企业。深入企业进行调研，鼓励符合条件的企业积极申报科技型中小企业，不断提升企业的核心竞争力。三是提升卫生领域基础研究技术水平。推进我县临床医学应用研究，促进医务工作者科学技术创新，签订了2022年社会科技计划项目在研合同书6项。加快推进红薯示范种植基地建设，构建好省级农业科技园，扶持资金59万元，谋划建设五华县省级农业科技园区。四是做好科技立项项目的检查和验收结题工作。对经批准立项的中央和省、市科技计划项目，指导项目承担单位在规定时间内如实填报项目表，并配合市科技局到广东井得进行实地检查。五是鼓励企业与高校院所合作开展产学研工作、联合研发和成果转化工作。积极推进与广东省科学院梅州产业技术研究院等高校院所深度合作，征集2家企业的技术需求信息提交给梅州产业技术研究院。广东井得与广东科学院工业分析检测中心签订了合作协议和企业特派员服务协议。目前有10家企业申报了高新技术企业，其中有9家企业进入备案公示名单；梅州晶进入拟认定2022年度广东省工程技术研究中心公示名单；有4家企业已通过项目验收结题。梅州神牛获得2022年省科技创新战略专项（“大专项+任务清单”）项目资金129万元。</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大力推动商贸流通业繁荣发展。</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为提高限额以上商贸企业零售额在社会消费品零售总额中的比重，促进社会消费品零售总额稳步增长，我局积极培育限额以上商贸流通企业，锚定重点商贸流通企业，加强开展业务指导，并拟订《五华县对首次达到限额以上商贸流通企业进行扶持奖励的实施办法》，为我县本地企业做大做强提供政策扶持。二是为做大做强商贸品牌，形成商贸流通带动效益，我局深入品牌企业开展宣传并指导其加入梅州市老字号协会，目前我县长乐烧酒业、华兴隆食品、柯树潭米醋等9家企业已入会，其中长乐烧酒业公司成为会长单位，有力提升了我县品牌企业的商业价值。三是同步推进《梅州市2022年促消费活动工作方案》等促消费政策的落实，紧抓消费热点，积极动员我县4家限上商超参与由市局组织的消费券发放活动，活跃我县消费氛围，推动我县消费市场加速回暖。</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全面落实外资外贸工作稳增长措施。</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重点关注精荣科技、隆华塑胶、广悦鞋业、京武工艺等对全县外贸稳增长有决定影响的企业动态，深入企业开展调研，支持企业增资扩产，扩大进出口规模，开辟新市场，并鼓励企业创立自主品牌，提高产品附加值，推动外贸高质量发展。二是组织企业利用广交会、进博会等展会平台拓展国际市场，充分借力国内外国际展会帮助外贸企业稳订单、拓市场。2022年4月、10月，推动辉骏集团、永艺餐具2家企业和协助企业参加了第131、132届广交会线上展，为企业扩展客户、宣传产品提供了更宽广的渠道。三是积极开展外资外贸数据收集工作，准确研判分析外资外贸经济形势，关注已备案但未开展外贸业务的企业生产经营状况，实行跟踪服务，宣传各级外贸政策、市场开拓促进、暖企服务等措施，帮助企业尽早开展进出口业务。今年，梅州市广悦鞋业有限公司、广东京武工艺制品有限公司2家企业已成功开展外贸进出口业务，实现了新突破。</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扎实推进电子商务创新发展。</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2022年2月省商务厅对我县完成了国家级电子商务进农村综合示范创建评估验收工作，验收组专家通过听取工作汇报、查阅相关项目资料、实地查看等方式，详细检查了我县综合示范创建项目的实施以及可持续发展情况，并对我县的创建工作给予高度评价。二是今年6月，由市商务局组织专家组通过听取“广东汉光超顺农产品产后商品化处理设施建设”和“梅州中农批冷冻仓储有限公司农产品冷链物流集散中心建设”项目创建的汇报，查阅相关项目资料、实地考察和质询答辩，对我县农商互联完善农产品供应链项目完成情况表示满意，全部验收合格。三是持续推进珠海横琴梅州五华优品O2O体验馆运营合同年度目标任务的完成，督促珠海横琴跨境说网络科技有限公司继续加大品牌培育、SC产品认证、产品销售等方面与五华企业对接的工作力度，多渠道拓展营销渠道，扩大五华农特产品影响力，与此同时，借助我市被国家认定为跨境电商综合试点城市和保税区的机遇，指导跨境说未来科技（广东）有限公司谋划建设跨境电商产业园区，助力我县跨境电商企业发展。至目前，我局组织开展了“2022全国网上年货节”和“粤贸全国•粤品粤靓2022年五华县6·18五华优品直播带货联动促销活动”等促消费活动，累计举行了13场直播，吸引47家次企业参与活动，有77万多人次观看，销售金额超过82万元。</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加快推动信息基础设施建设。</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在4G建设方面，继续对个别农村4G信号的盲点进行补点，重点强化足球小镇、工业园区、华陆高速、疫情监控等重要节点网络的4G信号覆盖。据统计，2022年我县4G基站新建有304座，累计达到3035座，有效提升了农村无线弱覆盖区域的信号强度。在5G建设方面，鼓励各运营商、铁塔公司等积极争取上级资源、加大资金投入，以进一步支持我县5G基站和信息基础设施建设。据统计，2022年我县5G基站新建有387座，累计达到971座，实现县城5G信号全覆盖，乡镇中心圩镇基本覆盖，为“数字乡村”“数字政府”等建设提供坚实的网络支撑，以信息化建设推动我县数字经济的发展。</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加快推进工业互联网发展。</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加大工业互联网的宣传力度，提升企业“上云上平台”的主动性，规划打造泰金智能、辉骏科技等2家企业拟申报“上云上平台”项目。今年5月18日上午，辉骏集团5G+智慧园区项目建设启动仪式在我局举行，该项目总投资约1458万元，建设内容包括5G专网、数据中台、巡检系统，该项目的建成标志着梅州市首个企业级5G专网智慧园区项目落户五华，吹响了我县制造业数字化转型升级的冲锋号，为制造业高质量发展注入强大动能，丰富了我县“产业兴县 制造强县”的内涵。</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全面落实行业安全生产和疫情防控监管责任。</w:t>
      </w:r>
    </w:p>
    <w:p>
      <w:pPr>
        <w:numPr>
          <w:ilvl w:val="0"/>
          <w:numId w:val="0"/>
        </w:numPr>
        <w:snapToGrid w:val="0"/>
        <w:spacing w:line="360" w:lineRule="auto"/>
        <w:ind w:firstLine="640" w:firstLineChars="2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一是全力开展安全生产检查监管。坚持党组每月召开一次安全生产专题会议，开展“五一”、“端午”、国庆节和平时安全生产检查，着力抓好安全生产工作，积极防范各类安全生产事故发生。在11月至12月期间，我局牵头组织在全县范围内集中开展园区外规上工业企业的安全生产大检查工作。2022年，我局共检查民爆企业仓库13批次，52人数，排查安全隐患8宗；检查瓷土矿1批次，4人数，排查安全隐患2宗。建立健全餐饮场所燃气安全管理制度，继续推进餐饮场所安装可燃气体浓度报警装置。至目前，全县统计餐饮服务场所1981间，安装可燃气体报警装置1879间，安装率达到97.5%，并发布了《五华县人民政府关于餐饮等行业安装可燃气体报警装置的公告》（华府〔2022〕7号）公告和累计发放可燃气体报警装置知识宣传5000份，确保行业企业牢固树立安全生产的理念，落实安全生产主体责任。二是全力以赴做好疫情防控工作。全面落实国家第九版防控方案、优化措施二十条、新十条优化措施和省市县疫情防控工作要求，成立工作专班和专项督查组，强力督促全县酒店、商超、餐饮、外卖等行业从业人员严格落实“一周两检”核酸检测工作，发放1.3万多份宣传资料，印发21期每周情况通报，集中全力抓紧抓实商务领域重点场所常态化疫情防控工作，确保人民群众健康安全。发挥科技应用组牵头协调作用，积极推动党政机关、企业事业单位推广使用粤康码公共场所码和“团体码”，多次组织开展公共场所码推广应用工作的督促检查，并印发7期一周情况通报，制定科技应用组疫情防控应急工作预案，为我县筑牢织密疫情防控网作出不懈努力。</w:t>
      </w:r>
    </w:p>
    <w:p>
      <w:pPr>
        <w:numPr>
          <w:ilvl w:val="0"/>
          <w:numId w:val="1"/>
        </w:numPr>
        <w:snapToGrid w:val="0"/>
        <w:spacing w:line="360" w:lineRule="auto"/>
        <w:ind w:left="0" w:leftChars="0" w:firstLine="643" w:firstLineChars="200"/>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大力开展军民融合发展工作。</w:t>
      </w:r>
    </w:p>
    <w:p>
      <w:pPr>
        <w:numPr>
          <w:ilvl w:val="0"/>
          <w:numId w:val="0"/>
        </w:numPr>
        <w:snapToGrid w:val="0"/>
        <w:spacing w:line="360" w:lineRule="auto"/>
        <w:ind w:firstLine="640" w:firstLineChars="200"/>
        <w:rPr>
          <w:rFonts w:hint="eastAsia" w:ascii="仿宋_GB2312" w:hAnsi="仿宋_GB2312" w:eastAsia="仿宋_GB2312" w:cs="仿宋_GB2312"/>
          <w:b/>
          <w:sz w:val="32"/>
          <w:szCs w:val="32"/>
        </w:rPr>
      </w:pPr>
      <w:r>
        <w:rPr>
          <w:rFonts w:hint="eastAsia" w:ascii="仿宋_GB2312" w:hAnsi="仿宋_GB2312" w:eastAsia="仿宋_GB2312" w:cs="仿宋_GB2312"/>
          <w:b w:val="0"/>
          <w:bCs/>
          <w:sz w:val="32"/>
          <w:szCs w:val="32"/>
        </w:rPr>
        <w:t>我局在上级主管部门领导下，立足实际，服务大局，组织人员到军民融合相关企业传达军民融合工作的重要性，发动企业推荐国产自主可控优质的民参军产品，组织指导企业民用部门军品配套工作。2022年8月31日，为进一步完善军民融合工作机制，县委正式下发由我局负责草拟的《中共五华县委关于成立县委军民融合发展委员会的通知》。我局承担县委军民融合委员会日常工作，负责军民融合发展工作的综合协调和督导落实及国防科技工业的综合协调和管理，县委军民融合委员会成员单位依据各自职责承担相关领域军民融合发展工作。</w:t>
      </w:r>
    </w:p>
    <w:p>
      <w:pPr>
        <w:snapToGrid w:val="0"/>
        <w:spacing w:line="360" w:lineRule="auto"/>
        <w:ind w:firstLine="643" w:firstLineChars="200"/>
        <w:rPr>
          <w:rFonts w:ascii="仿宋_GB2312" w:hAnsi="仿宋_GB2312" w:eastAsia="仿宋_GB2312" w:cs="仿宋_GB2312"/>
          <w:b/>
          <w:sz w:val="32"/>
          <w:szCs w:val="32"/>
        </w:rPr>
      </w:pPr>
      <w:r>
        <w:rPr>
          <w:rFonts w:hint="eastAsia" w:ascii="仿宋_GB2312" w:hAnsi="仿宋_GB2312" w:eastAsia="仿宋_GB2312" w:cs="仿宋_GB2312"/>
          <w:b/>
          <w:sz w:val="32"/>
          <w:szCs w:val="32"/>
        </w:rPr>
        <w:t>（三）整体支出绩效目标。</w:t>
      </w:r>
    </w:p>
    <w:p>
      <w:pPr>
        <w:pStyle w:val="2"/>
        <w:ind w:firstLine="640" w:firstLineChars="200"/>
        <w:rPr>
          <w:rFonts w:hint="default" w:ascii="仿宋_GB2312" w:hAnsi="仿宋_GB2312" w:eastAsia="仿宋_GB2312" w:cs="仿宋_GB2312"/>
          <w:lang w:val="en-US" w:eastAsia="zh-CN"/>
        </w:rPr>
      </w:pPr>
      <w:r>
        <w:rPr>
          <w:rFonts w:hint="eastAsia" w:ascii="仿宋_GB2312" w:hAnsi="仿宋_GB2312" w:eastAsia="仿宋_GB2312" w:cs="仿宋_GB2312"/>
          <w:lang w:val="en-US" w:eastAsia="zh-CN"/>
        </w:rPr>
        <w:t>推动五华县红木家居产业发展壮大</w:t>
      </w:r>
      <w:r>
        <w:rPr>
          <w:rFonts w:hint="eastAsia" w:ascii="仿宋_GB2312" w:hAnsi="仿宋_GB2312" w:eastAsia="仿宋_GB2312" w:cs="仿宋_GB2312"/>
          <w:lang w:val="en-US"/>
        </w:rPr>
        <w:t>；</w:t>
      </w:r>
      <w:r>
        <w:rPr>
          <w:rFonts w:hint="eastAsia" w:ascii="仿宋_GB2312" w:hAnsi="仿宋_GB2312" w:eastAsia="仿宋_GB2312" w:cs="仿宋_GB2312"/>
          <w:lang w:val="en-US" w:eastAsia="zh-CN"/>
        </w:rPr>
        <w:t>以人为本、立足大局、紧盯主责、严格部署疫情防控工作</w:t>
      </w:r>
      <w:r>
        <w:rPr>
          <w:rFonts w:hint="eastAsia" w:ascii="仿宋_GB2312" w:hAnsi="仿宋_GB2312" w:eastAsia="仿宋_GB2312" w:cs="仿宋_GB2312"/>
        </w:rPr>
        <w:t>；</w:t>
      </w:r>
      <w:r>
        <w:rPr>
          <w:rFonts w:hint="eastAsia" w:ascii="仿宋_GB2312" w:hAnsi="仿宋_GB2312" w:eastAsia="仿宋_GB2312" w:cs="仿宋_GB2312"/>
          <w:lang w:val="en-US" w:eastAsia="zh-CN"/>
        </w:rPr>
        <w:t>继续深入推进产业共建、促进区域协调发展</w:t>
      </w:r>
      <w:r>
        <w:rPr>
          <w:rFonts w:hint="eastAsia" w:ascii="仿宋_GB2312" w:hAnsi="仿宋_GB2312" w:eastAsia="仿宋_GB2312" w:cs="仿宋_GB2312"/>
          <w:lang w:val="en-US"/>
        </w:rPr>
        <w:t>；</w:t>
      </w:r>
      <w:r>
        <w:rPr>
          <w:rFonts w:hint="eastAsia" w:ascii="仿宋_GB2312" w:hAnsi="仿宋_GB2312" w:eastAsia="仿宋_GB2312" w:cs="仿宋_GB2312"/>
          <w:lang w:val="en-US" w:eastAsia="zh-CN"/>
        </w:rPr>
        <w:t>积极开展科普宣传、提高全民科学素质</w:t>
      </w:r>
      <w:r>
        <w:rPr>
          <w:rFonts w:hint="eastAsia" w:ascii="仿宋_GB2312" w:hAnsi="仿宋_GB2312" w:eastAsia="仿宋_GB2312" w:cs="仿宋_GB2312"/>
          <w:lang w:val="en-US"/>
        </w:rPr>
        <w:t>；</w:t>
      </w:r>
      <w:r>
        <w:rPr>
          <w:rFonts w:hint="eastAsia" w:ascii="仿宋_GB2312" w:hAnsi="仿宋_GB2312" w:eastAsia="仿宋_GB2312" w:cs="仿宋_GB2312"/>
          <w:lang w:val="en-US" w:eastAsia="zh-CN"/>
        </w:rPr>
        <w:t>加强对两新党组织的管理、使党的基层组织深入到各行各业。</w:t>
      </w:r>
    </w:p>
    <w:p>
      <w:pPr>
        <w:pStyle w:val="2"/>
        <w:ind w:firstLine="643" w:firstLineChars="200"/>
        <w:rPr>
          <w:rFonts w:ascii="仿宋_GB2312" w:hAnsi="楷体_GB2312" w:eastAsia="仿宋_GB2312" w:cs="楷体_GB2312"/>
          <w:b/>
          <w:bCs/>
        </w:rPr>
      </w:pPr>
      <w:r>
        <w:rPr>
          <w:rFonts w:hint="eastAsia" w:ascii="仿宋_GB2312" w:hAnsi="仿宋_GB2312" w:eastAsia="仿宋_GB2312" w:cs="仿宋_GB2312"/>
          <w:b/>
        </w:rPr>
        <w:t>（四）</w:t>
      </w:r>
      <w:r>
        <w:rPr>
          <w:rFonts w:hint="eastAsia" w:ascii="仿宋_GB2312" w:hAnsi="楷体_GB2312" w:eastAsia="仿宋_GB2312" w:cs="楷体_GB2312"/>
          <w:b/>
          <w:bCs/>
        </w:rPr>
        <w:t>整体收入和整体支出情况。</w:t>
      </w:r>
    </w:p>
    <w:p>
      <w:pPr>
        <w:pStyle w:val="2"/>
        <w:ind w:firstLine="640" w:firstLineChars="200"/>
        <w:rPr>
          <w:rFonts w:ascii="仿宋_GB2312" w:hAnsi="仿宋_GB2312" w:eastAsia="仿宋_GB2312" w:cs="仿宋_GB2312"/>
          <w:lang w:val="en-US"/>
        </w:rPr>
      </w:pPr>
      <w:r>
        <w:rPr>
          <w:rFonts w:ascii="仿宋_GB2312" w:hAnsi="仿宋_GB2312" w:eastAsia="仿宋_GB2312" w:cs="仿宋_GB2312"/>
          <w:lang w:val="en-US"/>
        </w:rPr>
        <w:t>202</w:t>
      </w:r>
      <w:r>
        <w:rPr>
          <w:rFonts w:hint="eastAsia" w:ascii="仿宋_GB2312" w:hAnsi="仿宋_GB2312" w:eastAsia="仿宋_GB2312" w:cs="仿宋_GB2312"/>
          <w:lang w:val="en-US"/>
        </w:rPr>
        <w:t>2</w:t>
      </w:r>
      <w:r>
        <w:rPr>
          <w:rFonts w:ascii="仿宋_GB2312" w:hAnsi="仿宋_GB2312" w:eastAsia="仿宋_GB2312" w:cs="仿宋_GB2312"/>
          <w:lang w:val="en-US"/>
        </w:rPr>
        <w:t>年度本单位收入总额</w:t>
      </w:r>
      <w:r>
        <w:rPr>
          <w:rFonts w:hint="eastAsia" w:ascii="仿宋_GB2312" w:hAnsi="仿宋_GB2312" w:eastAsia="仿宋_GB2312" w:cs="仿宋_GB2312"/>
          <w:lang w:val="en-US" w:eastAsia="zh-CN"/>
        </w:rPr>
        <w:t>2150.23</w:t>
      </w:r>
      <w:r>
        <w:rPr>
          <w:rFonts w:ascii="仿宋_GB2312" w:hAnsi="仿宋_GB2312" w:eastAsia="仿宋_GB2312" w:cs="仿宋_GB2312"/>
          <w:lang w:val="en-US"/>
        </w:rPr>
        <w:t>万元，分别为财政拨款收入</w:t>
      </w:r>
      <w:r>
        <w:rPr>
          <w:rFonts w:hint="eastAsia" w:ascii="仿宋_GB2312" w:hAnsi="仿宋_GB2312" w:eastAsia="仿宋_GB2312" w:cs="仿宋_GB2312"/>
          <w:lang w:val="en-US"/>
        </w:rPr>
        <w:t>2</w:t>
      </w:r>
      <w:r>
        <w:rPr>
          <w:rFonts w:hint="eastAsia" w:ascii="仿宋_GB2312" w:hAnsi="仿宋_GB2312" w:eastAsia="仿宋_GB2312" w:cs="仿宋_GB2312"/>
          <w:lang w:val="en-US" w:eastAsia="zh-CN"/>
        </w:rPr>
        <w:t>150.23</w:t>
      </w:r>
      <w:r>
        <w:rPr>
          <w:rFonts w:ascii="仿宋_GB2312" w:hAnsi="仿宋_GB2312" w:eastAsia="仿宋_GB2312" w:cs="仿宋_GB2312"/>
          <w:lang w:val="en-US"/>
        </w:rPr>
        <w:t>万元，其他收入</w:t>
      </w:r>
      <w:r>
        <w:rPr>
          <w:rFonts w:hint="eastAsia" w:ascii="仿宋_GB2312" w:hAnsi="仿宋_GB2312" w:eastAsia="仿宋_GB2312" w:cs="仿宋_GB2312"/>
          <w:lang w:val="en-US"/>
        </w:rPr>
        <w:t>0</w:t>
      </w:r>
      <w:r>
        <w:rPr>
          <w:rFonts w:ascii="仿宋_GB2312" w:hAnsi="仿宋_GB2312" w:eastAsia="仿宋_GB2312" w:cs="仿宋_GB2312"/>
          <w:lang w:val="en-US"/>
        </w:rPr>
        <w:t>万元；支出总额</w:t>
      </w:r>
      <w:r>
        <w:rPr>
          <w:rFonts w:hint="eastAsia" w:ascii="仿宋_GB2312" w:hAnsi="仿宋_GB2312" w:eastAsia="仿宋_GB2312" w:cs="仿宋_GB2312"/>
          <w:lang w:val="en-US" w:eastAsia="zh-CN"/>
        </w:rPr>
        <w:t>2150.23</w:t>
      </w:r>
      <w:r>
        <w:rPr>
          <w:rFonts w:ascii="仿宋_GB2312" w:hAnsi="仿宋_GB2312" w:eastAsia="仿宋_GB2312" w:cs="仿宋_GB2312"/>
          <w:lang w:val="en-US"/>
        </w:rPr>
        <w:t>万元，分别为基本支出</w:t>
      </w:r>
      <w:r>
        <w:rPr>
          <w:rFonts w:hint="eastAsia" w:ascii="仿宋_GB2312" w:hAnsi="仿宋_GB2312" w:eastAsia="仿宋_GB2312" w:cs="仿宋_GB2312"/>
          <w:lang w:val="en-US" w:eastAsia="zh-CN"/>
        </w:rPr>
        <w:t>1370.19</w:t>
      </w:r>
      <w:r>
        <w:rPr>
          <w:rFonts w:ascii="仿宋_GB2312" w:hAnsi="仿宋_GB2312" w:eastAsia="仿宋_GB2312" w:cs="仿宋_GB2312"/>
          <w:lang w:val="en-US"/>
        </w:rPr>
        <w:t>万元，项目支出</w:t>
      </w:r>
      <w:r>
        <w:rPr>
          <w:rFonts w:hint="eastAsia" w:ascii="仿宋_GB2312" w:hAnsi="仿宋_GB2312" w:eastAsia="仿宋_GB2312" w:cs="仿宋_GB2312"/>
          <w:lang w:val="en-US" w:eastAsia="zh-CN"/>
        </w:rPr>
        <w:t>780.04</w:t>
      </w:r>
      <w:r>
        <w:rPr>
          <w:rFonts w:ascii="仿宋_GB2312" w:hAnsi="仿宋_GB2312" w:eastAsia="仿宋_GB2312" w:cs="仿宋_GB2312"/>
          <w:lang w:val="en-US"/>
        </w:rPr>
        <w:t>万元，相比20</w:t>
      </w:r>
      <w:r>
        <w:rPr>
          <w:rFonts w:hint="eastAsia" w:ascii="仿宋_GB2312" w:hAnsi="仿宋_GB2312" w:eastAsia="仿宋_GB2312" w:cs="仿宋_GB2312"/>
          <w:lang w:val="en-US"/>
        </w:rPr>
        <w:t>21</w:t>
      </w:r>
      <w:r>
        <w:rPr>
          <w:rFonts w:ascii="仿宋_GB2312" w:hAnsi="仿宋_GB2312" w:eastAsia="仿宋_GB2312" w:cs="仿宋_GB2312"/>
          <w:lang w:val="en-US"/>
        </w:rPr>
        <w:t>年度支出</w:t>
      </w:r>
      <w:r>
        <w:rPr>
          <w:rFonts w:hint="eastAsia" w:ascii="仿宋_GB2312" w:hAnsi="仿宋_GB2312" w:eastAsia="仿宋_GB2312" w:cs="仿宋_GB2312"/>
          <w:lang w:val="en-US" w:eastAsia="zh-CN"/>
        </w:rPr>
        <w:t>减少</w:t>
      </w:r>
      <w:r>
        <w:rPr>
          <w:rFonts w:ascii="仿宋_GB2312" w:hAnsi="仿宋_GB2312" w:eastAsia="仿宋_GB2312" w:cs="仿宋_GB2312"/>
          <w:lang w:val="en-US"/>
        </w:rPr>
        <w:t>了</w:t>
      </w:r>
      <w:r>
        <w:rPr>
          <w:rFonts w:hint="eastAsia" w:ascii="仿宋_GB2312" w:hAnsi="仿宋_GB2312" w:eastAsia="仿宋_GB2312" w:cs="仿宋_GB2312"/>
          <w:lang w:val="en-US" w:eastAsia="zh-CN"/>
        </w:rPr>
        <w:t>43.19</w:t>
      </w:r>
      <w:r>
        <w:rPr>
          <w:rFonts w:ascii="仿宋_GB2312" w:hAnsi="仿宋_GB2312" w:eastAsia="仿宋_GB2312" w:cs="仿宋_GB2312"/>
          <w:lang w:val="en-US"/>
        </w:rPr>
        <w:t>%。支出总额中财政拨款支出</w:t>
      </w:r>
      <w:r>
        <w:rPr>
          <w:rFonts w:hint="eastAsia" w:ascii="仿宋_GB2312" w:hAnsi="仿宋_GB2312" w:eastAsia="仿宋_GB2312" w:cs="仿宋_GB2312"/>
          <w:lang w:val="en-US" w:eastAsia="zh-CN"/>
        </w:rPr>
        <w:t>2150.23</w:t>
      </w:r>
      <w:r>
        <w:rPr>
          <w:rFonts w:ascii="仿宋_GB2312" w:hAnsi="仿宋_GB2312" w:eastAsia="仿宋_GB2312" w:cs="仿宋_GB2312"/>
          <w:lang w:val="en-US"/>
        </w:rPr>
        <w:t>万元，占支出总额</w:t>
      </w:r>
      <w:r>
        <w:rPr>
          <w:rFonts w:hint="eastAsia" w:ascii="仿宋_GB2312" w:hAnsi="仿宋_GB2312" w:eastAsia="仿宋_GB2312" w:cs="仿宋_GB2312"/>
          <w:lang w:val="en-US"/>
        </w:rPr>
        <w:t>100</w:t>
      </w:r>
      <w:r>
        <w:rPr>
          <w:rFonts w:ascii="仿宋_GB2312" w:hAnsi="仿宋_GB2312" w:eastAsia="仿宋_GB2312" w:cs="仿宋_GB2312"/>
          <w:lang w:val="en-US"/>
        </w:rPr>
        <w:t>%。</w:t>
      </w:r>
    </w:p>
    <w:p>
      <w:pPr>
        <w:snapToGrid w:val="0"/>
        <w:spacing w:line="360" w:lineRule="auto"/>
        <w:ind w:firstLine="640" w:firstLineChars="200"/>
        <w:rPr>
          <w:rFonts w:ascii="黑体" w:hAnsi="黑体" w:eastAsia="黑体" w:cs="黑体"/>
          <w:bCs/>
          <w:sz w:val="32"/>
          <w:szCs w:val="32"/>
        </w:rPr>
      </w:pPr>
      <w:r>
        <w:rPr>
          <w:rFonts w:hint="eastAsia" w:ascii="黑体" w:hAnsi="黑体" w:eastAsia="黑体" w:cs="黑体"/>
          <w:bCs/>
          <w:sz w:val="32"/>
          <w:szCs w:val="32"/>
        </w:rPr>
        <w:t>二、绩效自评情况</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（一）自评结论</w:t>
      </w:r>
    </w:p>
    <w:p>
      <w:pPr>
        <w:pStyle w:val="2"/>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2022年，本单位整体支出绩效自评结果为“优”，分数为97分。</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（二）整体支出绩效指标分析</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1.预算编制情况</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（1）预算编制</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①预算编制合理性</w:t>
      </w:r>
    </w:p>
    <w:p>
      <w:pPr>
        <w:pStyle w:val="2"/>
        <w:adjustRightInd w:val="0"/>
        <w:snapToGrid w:val="0"/>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本单位部门预算编制、分配符合本单位部门职责、符合县委县政府方针政策和工作要求；部门预算资金能根据年度工作重点，在不同项目、不同用途之间分配合理的；专项资金编制细化程度合理，未出现因年中调剂导致部门预决算差异过大的问题；功能分类和经济分类编制准确，年度中间无大量调剂，项目之间未频繁调剂；部门预算分配不固化，能根据实际情况合理调整。</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②预算编制规范性</w:t>
      </w:r>
    </w:p>
    <w:p>
      <w:pPr>
        <w:pStyle w:val="2"/>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本单位部门预算编制符合县财政当年度有关预算编制的原则和要求，符合专项资金预算编制和项目库管理要求。</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③预算编制的及时性</w:t>
      </w:r>
    </w:p>
    <w:p>
      <w:pPr>
        <w:pStyle w:val="2"/>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本单位部门预算编制及时，在财政部门规定的时间内报送。</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（2）目标设置</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①绩效目标合理性</w:t>
      </w:r>
    </w:p>
    <w:p>
      <w:pPr>
        <w:pStyle w:val="2"/>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整体绩效目标能体现本单位“三定”方案规定的部门职能；整体绩效目标能体现单位中长期规划和年度工作计划；整体绩效目标能分解成具体工作任务；整体绩效目标与本年度部门预算资金相匹配；部门申报的项目没有进行可行性研究和充分论证的。</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②绩效指标明确性</w:t>
      </w:r>
    </w:p>
    <w:p>
      <w:pPr>
        <w:pStyle w:val="2"/>
        <w:spacing w:line="580" w:lineRule="exact"/>
        <w:ind w:firstLine="640" w:firstLineChars="200"/>
        <w:rPr>
          <w:rFonts w:ascii="仿宋_GB2312" w:hAnsi="仿宋_GB2312" w:eastAsia="仿宋_GB2312" w:cs="仿宋_GB2312"/>
          <w:lang w:val="en-US"/>
        </w:rPr>
      </w:pPr>
      <w:r>
        <w:rPr>
          <w:rFonts w:hint="eastAsia" w:ascii="仿宋_GB2312" w:hAnsi="仿宋_GB2312" w:eastAsia="仿宋_GB2312" w:cs="仿宋_GB2312"/>
          <w:lang w:val="en-US"/>
        </w:rPr>
        <w:t>绩效指标中包含能够明确体现单位履职效果的社会经济效益指标；绩效指标具有清晰、可衡量的指标值；绩效指标包含可量化的指标；绩效目标的目标值测算能提供相关依据或符合客观实际情况。</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2.预算执行情况</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（1）资金管理</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①上级专项资金分配的及时性</w:t>
      </w:r>
    </w:p>
    <w:p>
      <w:pPr>
        <w:pStyle w:val="8"/>
        <w:spacing w:line="232" w:lineRule="auto"/>
        <w:ind w:right="2" w:firstLine="640" w:firstLineChars="200"/>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rPr>
        <w:t>上级专项资金</w:t>
      </w:r>
      <w:r>
        <w:rPr>
          <w:rFonts w:hint="eastAsia" w:ascii="仿宋_GB2312" w:hAnsi="仿宋_GB2312" w:eastAsia="仿宋_GB2312" w:cs="仿宋_GB2312"/>
          <w:color w:val="000000"/>
          <w:sz w:val="32"/>
          <w:szCs w:val="32"/>
          <w:lang w:val="en-US"/>
        </w:rPr>
        <w:t>在规定时间内及时分配。</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②结转结余率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结余结转率为0%。</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③上级专项资金的支出执行率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上级专项资金在规定时间内及时规范支出。</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④政府采购执行率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政府采购执行率为100%。</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⑤财务合规性</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预算执行按规定履行调整报批手续，且按事项完成进度支付资金；资金管理、费用标准、支付符合有关制度规定；规范执行会计核算制度；重大项目支出经过评估论证和必要决策程序。</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⑥预决算信息公开性</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部门预算公开按规定内容、在规定时限和范围内公开；部门决算公开按规定内容、在规定时限和范围内公开。</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（2）项目管理</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①项目实施程序</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项目的设立及调整按规定履行报批程序；项目招投标、建设、验收等或方案实施严格执行相关制度规定。</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②项目监管</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通过汇报、现场核查等方式，对专项资金和专项经费的使用情况以及项目实施进度开展定期或不定期检查，保障资金支付进度和项目实施进度；通过自行组织的方式，结合资金和项目检查结果，及时对专项资金和专项经费绩效目标的执行情况开展监控，发现与既定绩效目标发生偏离的情况并责成项目实施部门采取措施予以纠正；没有通过审计、报告等方式落实检查。</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w:t>
      </w:r>
      <w:r>
        <w:rPr>
          <w:rFonts w:ascii="仿宋_GB2312" w:hAnsi="仿宋_GB2312" w:eastAsia="仿宋_GB2312" w:cs="仿宋_GB2312"/>
          <w:b/>
          <w:bCs/>
          <w:color w:val="000000"/>
          <w:kern w:val="0"/>
          <w:sz w:val="32"/>
          <w:szCs w:val="32"/>
        </w:rPr>
        <w:t>）</w:t>
      </w:r>
      <w:r>
        <w:rPr>
          <w:rFonts w:hint="eastAsia" w:ascii="仿宋_GB2312" w:hAnsi="仿宋_GB2312" w:eastAsia="仿宋_GB2312" w:cs="仿宋_GB2312"/>
          <w:b/>
          <w:bCs/>
          <w:color w:val="000000"/>
          <w:kern w:val="0"/>
          <w:sz w:val="32"/>
          <w:szCs w:val="32"/>
        </w:rPr>
        <w:t>资产管理</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①资产管理安全性</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资产配置合理、保管完整，账实相符；资产有偿使用及处置收入及时足额上缴。</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②固定资产利用率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固定资产利用比率为100%。</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（4）人员管理</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①财政供养人员控制率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财政供养人员控制比率为100%。</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（5）制度管理</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①管理制度健全性</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本单位制订了财政资金管理、内部财务、内部控制等制度；上述资金、财务和内控制度得到有效执行；没有制订本单位部门预算绩效管理制度；落实了预算绩效管理制度，在本级开展绩效评价等工作。</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3.预算使用效益</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（1）经济性</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①公用经费控制率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“三公”经费实际支出数≤预算安排的三公经费数；日常公用经费决算数≤日常公用经费调整预算数。</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（2）效率性</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①重点工作完成率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重点工作完成率为100%。</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②绩效目标完成率</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绩效目标完成率为100%。</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③项目完成及时性</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所有部门预算安排的项目均按计划时间完成。</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（3）效果性</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①社会经济环境效益</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本单位管理的行业和领域对的主要指标能体现部门当年履职的效果；部门当年主要的项目支出实现了预期的效果。</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（4）公平性</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①群众信访办理情况</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本单位设置了便利的群众意见反映渠道和群众意见办理回复机制；当年度所有群众信访意见均有回复；回复意见均在规定时限内。</w:t>
      </w:r>
    </w:p>
    <w:p>
      <w:pPr>
        <w:snapToGrid w:val="0"/>
        <w:spacing w:line="58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②公众或服务对象满意度</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公众或服务对象满意度为95%。</w:t>
      </w:r>
    </w:p>
    <w:p>
      <w:pPr>
        <w:snapToGrid w:val="0"/>
        <w:spacing w:line="360" w:lineRule="auto"/>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（三）整体支出绩效管理存在问题及改进意见</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存在的问题</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在设定绩效目标时，大部分把年度工作计划或总结的重点内容直接用来作为绩效目标，指标设定不够科学、依据不够充分。</w:t>
      </w:r>
    </w:p>
    <w:p>
      <w:pPr>
        <w:snapToGrid w:val="0"/>
        <w:spacing w:line="360" w:lineRule="auto"/>
        <w:ind w:firstLine="643" w:firstLineChars="200"/>
        <w:rPr>
          <w:rFonts w:ascii="仿宋_GB2312" w:hAnsi="仿宋_GB2312" w:eastAsia="仿宋_GB2312" w:cs="仿宋_GB2312"/>
          <w:b/>
          <w:bCs/>
          <w:color w:val="000000"/>
          <w:kern w:val="0"/>
          <w:sz w:val="32"/>
          <w:szCs w:val="32"/>
        </w:rPr>
      </w:pPr>
      <w:r>
        <w:rPr>
          <w:rFonts w:hint="eastAsia" w:ascii="仿宋_GB2312" w:hAnsi="仿宋_GB2312" w:eastAsia="仿宋_GB2312" w:cs="仿宋_GB2312"/>
          <w:b/>
          <w:bCs/>
          <w:color w:val="000000"/>
          <w:kern w:val="0"/>
          <w:sz w:val="32"/>
          <w:szCs w:val="32"/>
        </w:rPr>
        <w:t>改进意见</w:t>
      </w:r>
    </w:p>
    <w:p>
      <w:pPr>
        <w:pStyle w:val="8"/>
        <w:spacing w:line="232" w:lineRule="auto"/>
        <w:ind w:right="2"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建立科学合理的绩效目标，依据预设的绩效数量、质量指标全面衡量预算实施效果，既重“绩”，更重“效”。</w:t>
      </w:r>
    </w:p>
    <w:p>
      <w:pPr>
        <w:snapToGrid w:val="0"/>
        <w:spacing w:line="360" w:lineRule="auto"/>
        <w:ind w:firstLine="640" w:firstLineChars="200"/>
        <w:rPr>
          <w:rFonts w:ascii="黑体" w:hAnsi="宋体" w:eastAsia="黑体" w:cs="宋体"/>
          <w:color w:val="000000"/>
          <w:sz w:val="32"/>
          <w:szCs w:val="32"/>
          <w:lang w:val="zh-CN" w:bidi="zh-CN"/>
        </w:rPr>
      </w:pPr>
      <w:r>
        <w:rPr>
          <w:rFonts w:hint="eastAsia" w:ascii="黑体" w:hAnsi="黑体" w:eastAsia="黑体" w:cs="黑体"/>
          <w:bCs/>
          <w:sz w:val="32"/>
          <w:szCs w:val="32"/>
        </w:rPr>
        <w:t>三、</w:t>
      </w:r>
      <w:r>
        <w:rPr>
          <w:rFonts w:hint="eastAsia" w:ascii="黑体" w:hAnsi="宋体" w:eastAsia="黑体" w:cs="宋体"/>
          <w:color w:val="000000"/>
          <w:sz w:val="32"/>
          <w:szCs w:val="32"/>
          <w:lang w:val="zh-CN" w:bidi="zh-CN"/>
        </w:rPr>
        <w:t>下一步工作计划</w:t>
      </w:r>
    </w:p>
    <w:p>
      <w:pPr>
        <w:pStyle w:val="2"/>
        <w:overflowPunct w:val="0"/>
        <w:autoSpaceDE/>
        <w:autoSpaceDN/>
        <w:spacing w:line="360" w:lineRule="auto"/>
        <w:ind w:firstLine="640" w:firstLineChars="200"/>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（一）全力做大工业经济总量。一是加大工业、技改投资力度。二是壮大主导产业。三是加快项目建设。</w:t>
      </w:r>
    </w:p>
    <w:p>
      <w:pPr>
        <w:pStyle w:val="2"/>
        <w:overflowPunct w:val="0"/>
        <w:autoSpaceDE/>
        <w:autoSpaceDN/>
        <w:spacing w:line="360" w:lineRule="auto"/>
        <w:ind w:firstLine="640" w:firstLineChars="200"/>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（二）全力做好暖企服务。坚持政企沟通机制，充分发挥挂钩联系服务企业作用；充分发挥“五华惠企”平台作用，将企业产品、服务通过该平台向社会呈现。</w:t>
      </w:r>
    </w:p>
    <w:p>
      <w:pPr>
        <w:pStyle w:val="2"/>
        <w:overflowPunct w:val="0"/>
        <w:autoSpaceDE/>
        <w:autoSpaceDN/>
        <w:spacing w:line="360" w:lineRule="auto"/>
        <w:ind w:firstLine="640" w:firstLineChars="200"/>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三）全力做好“育上规、保规上”工作。做好暖企稳企工作，深入了解企业的生产经营状况，每月跟踪监测培育库企业，加大工业企业“小升规”培育和扶持力度，多措并举帮助企业渡过难关，积极预防规上企业下规模，进一步增强我县工业发展的内生动力，不断壮大“小升规”企业拟培育库，为工业经济持续健康发展注入新鲜血液和强劲动力。</w:t>
      </w:r>
    </w:p>
    <w:p>
      <w:pPr>
        <w:pStyle w:val="2"/>
        <w:overflowPunct w:val="0"/>
        <w:autoSpaceDE/>
        <w:autoSpaceDN/>
        <w:spacing w:line="360" w:lineRule="auto"/>
        <w:ind w:firstLine="640" w:firstLineChars="200"/>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四）全力推动创新驱动引领。一是推动一批企业申报市级以上工程技术研究中心的目标任务。二是引导企业深化与科研机构、院校的产学研合作，持续推动产学研用一体化建设。三是围绕我县优势产业，认真研究科技政策重点，指导企业做好科技项目申报。四是加快农业科技园区核心区“五华红薯科技创新中心”、“科研成果展示厅”、“精深加工区”等的建设步伐；进一步完善“国家级星创天地”的基本条件、服务功能和现代智能仓储系统、全程溯源系统建设，促进农业产业发展，储备高质量的农业科研攻关项目，提升我县农业科研水平。</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五）全力加快制造业数字化转型。加大工业互联网的宣传力度，提升企业“上云上平台”的主动性，实施数字化网络化智能化升级，推进“制造业+互联网”新模式新业态应用，重点开展5G+智能制造和5G+工业互联网方面的产品部署实施，加快推动辉骏5G+智慧园区项目实施。</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六）全力促进消费市场繁荣发展。加强与统计、税务等部门的沟通衔接，实地走访经营规模较大的企业，积极宣传政策，引导企业积极纳入限额以上企业统计范围；积极做好首次上限企业的扶持奖励，壮大限上商贸企业队伍；积极组织商贸流通企业开展形式多样的促消费活动，搭建消费促进平台，充分发挥商贸流通业引导消费、创造消费、进一步繁荣活跃消费市场的功能，切实增强消费对经济发展的基础性作用。</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七）全力培育贸易企业新动能。一是扎实做好境内外参展工作，推动企业利用展会平台拓展国际市场。二是加大培育外贸进出口企业力度，对进出口龙头企业实行分类指导。三是对具备上限潜力企业，加大服务力度，强化培育措施，促进尽快达到上限条件。</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Adobe 楷体 Std R" w:eastAsia="仿宋_GB2312"/>
          <w:b w:val="0"/>
          <w:bCs/>
          <w:color w:val="000000"/>
          <w:sz w:val="32"/>
          <w:szCs w:val="32"/>
        </w:rPr>
      </w:pPr>
      <w:r>
        <w:rPr>
          <w:rFonts w:hint="eastAsia" w:ascii="仿宋_GB2312" w:hAnsi="Adobe 楷体 Std R" w:eastAsia="仿宋_GB2312"/>
          <w:b w:val="0"/>
          <w:bCs/>
          <w:color w:val="000000"/>
          <w:sz w:val="32"/>
          <w:szCs w:val="32"/>
        </w:rPr>
        <w:t>（八）全力加快电子商务发展步伐。进一步提高电子商务产业发展对县域经济转型升级作用的认识，及时调整完善电子商务发展规划，大力发展农村电子商务。做好2018年国家电子商务进农村综合示范县评估验收后的整改工作，迎接省商务厅对该项目整改工作的“回头看”。</w:t>
      </w:r>
    </w:p>
    <w:p>
      <w:pPr>
        <w:pStyle w:val="2"/>
        <w:keepNext w:val="0"/>
        <w:keepLines w:val="0"/>
        <w:pageBreakBefore w:val="0"/>
        <w:widowControl w:val="0"/>
        <w:kinsoku/>
        <w:wordWrap/>
        <w:overflowPunct w:val="0"/>
        <w:topLinePunct w:val="0"/>
        <w:autoSpaceDE/>
        <w:autoSpaceDN/>
        <w:bidi w:val="0"/>
        <w:adjustRightInd/>
        <w:snapToGrid/>
        <w:spacing w:line="560" w:lineRule="exact"/>
        <w:ind w:firstLine="640" w:firstLineChars="200"/>
        <w:textAlignment w:val="auto"/>
        <w:rPr>
          <w:rFonts w:hint="eastAsia" w:ascii="仿宋_GB2312" w:hAnsi="Adobe 楷体 Std R" w:eastAsia="仿宋_GB2312" w:cs="仿宋_GB2312"/>
          <w:b w:val="0"/>
          <w:bCs/>
          <w:color w:val="000000"/>
          <w:sz w:val="32"/>
          <w:szCs w:val="32"/>
        </w:rPr>
      </w:pPr>
      <w:r>
        <w:rPr>
          <w:rFonts w:hint="eastAsia" w:ascii="仿宋_GB2312" w:hAnsi="Adobe 楷体 Std R" w:eastAsia="仿宋_GB2312"/>
          <w:b w:val="0"/>
          <w:bCs/>
          <w:color w:val="000000"/>
          <w:sz w:val="32"/>
          <w:szCs w:val="32"/>
        </w:rPr>
        <w:t>（九）全力做好疫情防控和行业安全生产工作。一是加强检查督促相关企业加强风险管控。二是继续加强商务领域重点场所疫情防控工作。三是持续推进餐饮场所安装可燃气体报警装置安装工作，实现餐饮场所安全经营。</w:t>
      </w:r>
      <w:bookmarkStart w:id="0" w:name="_GoBack"/>
      <w:bookmarkEnd w:id="0"/>
    </w:p>
    <w:sectPr>
      <w:footerReference r:id="rId3" w:type="default"/>
      <w:pgSz w:w="11906" w:h="16838"/>
      <w:pgMar w:top="1418" w:right="1474" w:bottom="1418" w:left="1588"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Adobe 楷体 Std R">
    <w:altName w:val="宋体"/>
    <w:panose1 w:val="00000000000000000000"/>
    <w:charset w:val="86"/>
    <w:family w:val="roman"/>
    <w:pitch w:val="default"/>
    <w:sig w:usb0="00000000" w:usb1="00000000" w:usb2="00000010" w:usb3="00000000" w:csb0="00060007"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5</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ED0302"/>
    <w:multiLevelType w:val="singleLevel"/>
    <w:tmpl w:val="2BED0302"/>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yNDRkNjk0ZDk2Y2Q4NzI3ZDU2ZjgxOTlmNzUyMjMifQ=="/>
  </w:docVars>
  <w:rsids>
    <w:rsidRoot w:val="00A10D64"/>
    <w:rsid w:val="001024B5"/>
    <w:rsid w:val="001C2F4E"/>
    <w:rsid w:val="001C5075"/>
    <w:rsid w:val="00261896"/>
    <w:rsid w:val="002A7C8D"/>
    <w:rsid w:val="002E146A"/>
    <w:rsid w:val="00357ECF"/>
    <w:rsid w:val="003A72B9"/>
    <w:rsid w:val="00413D8A"/>
    <w:rsid w:val="00476B52"/>
    <w:rsid w:val="00527CDA"/>
    <w:rsid w:val="005E2005"/>
    <w:rsid w:val="00663B75"/>
    <w:rsid w:val="00761DB1"/>
    <w:rsid w:val="00784770"/>
    <w:rsid w:val="007E4EE9"/>
    <w:rsid w:val="00902E3F"/>
    <w:rsid w:val="009603B3"/>
    <w:rsid w:val="00962CFE"/>
    <w:rsid w:val="00976196"/>
    <w:rsid w:val="00980ED8"/>
    <w:rsid w:val="00A10D64"/>
    <w:rsid w:val="00A160BB"/>
    <w:rsid w:val="00B32CCE"/>
    <w:rsid w:val="00B77EFE"/>
    <w:rsid w:val="00BD0EEE"/>
    <w:rsid w:val="00C31FB0"/>
    <w:rsid w:val="00DC7430"/>
    <w:rsid w:val="00E47767"/>
    <w:rsid w:val="00F35428"/>
    <w:rsid w:val="00FA709A"/>
    <w:rsid w:val="0D0753AF"/>
    <w:rsid w:val="3AF8479A"/>
    <w:rsid w:val="4EA028AC"/>
    <w:rsid w:val="50B67FC3"/>
    <w:rsid w:val="51B32655"/>
    <w:rsid w:val="56B20379"/>
    <w:rsid w:val="7AC35E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宋体" w:hAnsi="宋体" w:cs="宋体"/>
      <w:kern w:val="0"/>
      <w:sz w:val="32"/>
      <w:szCs w:val="32"/>
      <w:lang w:val="zh-CN" w:bidi="zh-CN"/>
    </w:rPr>
  </w:style>
  <w:style w:type="paragraph" w:styleId="3">
    <w:name w:val="footer"/>
    <w:basedOn w:val="1"/>
    <w:qFormat/>
    <w:uiPriority w:val="99"/>
    <w:pPr>
      <w:tabs>
        <w:tab w:val="center" w:pos="4153"/>
        <w:tab w:val="right" w:pos="8306"/>
      </w:tabs>
      <w:snapToGrid w:val="0"/>
      <w:jc w:val="left"/>
    </w:pPr>
    <w:rPr>
      <w:sz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paragraph" w:customStyle="1" w:styleId="8">
    <w:name w:val="Table Paragraph"/>
    <w:basedOn w:val="1"/>
    <w:qFormat/>
    <w:uiPriority w:val="1"/>
    <w:pPr>
      <w:autoSpaceDE w:val="0"/>
      <w:autoSpaceDN w:val="0"/>
      <w:jc w:val="left"/>
    </w:pPr>
    <w:rPr>
      <w:rFonts w:ascii="宋体" w:hAnsi="宋体" w:cs="宋体"/>
      <w:kern w:val="0"/>
      <w:sz w:val="22"/>
      <w:lang w:val="zh-CN" w:bidi="zh-CN"/>
    </w:rPr>
  </w:style>
  <w:style w:type="character" w:customStyle="1" w:styleId="9">
    <w:name w:val="页眉 Char"/>
    <w:basedOn w:val="7"/>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9816</Words>
  <Characters>10081</Characters>
  <Lines>56</Lines>
  <Paragraphs>15</Paragraphs>
  <TotalTime>164</TotalTime>
  <ScaleCrop>false</ScaleCrop>
  <LinksUpToDate>false</LinksUpToDate>
  <CharactersWithSpaces>10082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2022-04-13T12:27:00Z</dcterms:created>
  <dc:creator>caiwu</dc:creator>
  <cp:lastModifiedBy>à-靜</cp:lastModifiedBy>
  <dcterms:modified xsi:type="dcterms:W3CDTF">2023-04-28T08:06:29Z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5A045B36686542C8ABCC25B375824856</vt:lpwstr>
  </property>
</Properties>
</file>