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项目绩效自评报告</w:t>
      </w: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项目名称：工业园区高质量发展-产业共建专项资金</w:t>
      </w: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项目主管部门：（公章）五华县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科工商务</w:t>
      </w:r>
      <w:r>
        <w:rPr>
          <w:rFonts w:hint="eastAsia" w:ascii="仿宋_GB2312" w:eastAsia="仿宋_GB2312"/>
          <w:sz w:val="32"/>
          <w:szCs w:val="32"/>
        </w:rPr>
        <w:t>局</w:t>
      </w:r>
    </w:p>
    <w:p>
      <w:pPr>
        <w:snapToGrid w:val="0"/>
        <w:spacing w:line="360" w:lineRule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填报人姓名：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李胜民</w:t>
      </w:r>
    </w:p>
    <w:p>
      <w:pPr>
        <w:snapToGrid w:val="0"/>
        <w:spacing w:line="360" w:lineRule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联系电话：0753-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4423101</w:t>
      </w: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填报日期：2023年4月2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napToGrid w:val="0"/>
        <w:spacing w:line="360" w:lineRule="auto"/>
        <w:rPr>
          <w:rFonts w:ascii="黑体" w:eastAsia="黑体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</w:t>
      </w:r>
    </w:p>
    <w:p>
      <w:pPr>
        <w:snapToGrid w:val="0"/>
        <w:spacing w:line="360" w:lineRule="auto"/>
        <w:ind w:firstLine="320" w:firstLineChars="1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一、基本情况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（一）项目基本情况。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2022年度县财政安排我局工业园区高质量发展-产业共建专项资金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161.06</w:t>
      </w:r>
      <w:r>
        <w:rPr>
          <w:rFonts w:hint="eastAsia" w:ascii="仿宋_GB2312" w:eastAsia="仿宋_GB2312"/>
          <w:sz w:val="32"/>
          <w:szCs w:val="32"/>
        </w:rPr>
        <w:t>万元，用于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奖补符合省产业共建财政扶持政策条件的企业，促进区域协调发展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ascii="仿宋_GB2312" w:eastAsia="仿宋_GB2312"/>
          <w:sz w:val="32"/>
          <w:szCs w:val="32"/>
        </w:rPr>
        <w:t>项目决策情况。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认真贯彻中央八项规定精神以及国务院"约法三章"、《党政机关厉行节约反对浪费条例》、《广东省党政机关厉行节约反对浪费实施细则》，严格执行会计制度，根据相关专项资金管理办法以及相关财务管理制度等规范各项支出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ascii="仿宋_GB2312" w:eastAsia="仿宋_GB2312"/>
          <w:sz w:val="32"/>
          <w:szCs w:val="32"/>
        </w:rPr>
        <w:t>绩效目标。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深入推进产业共建，奖补符合省产业共建财政扶持政策条件的企业，促进区域协调发展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二、绩效自评工作组织情况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成立了单位负责人为组长，分管领导为副组长，各股室负责人为成员的绩效自评工作领导小组，组织专门人员负责绩效自评工作。</w:t>
      </w: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三、绩效自评结论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2022年，我局按照中央、省、市相关工作要求，扎实开展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产业共建</w:t>
      </w:r>
      <w:r>
        <w:rPr>
          <w:rFonts w:hint="eastAsia" w:ascii="仿宋_GB2312" w:eastAsia="仿宋_GB2312"/>
          <w:sz w:val="32"/>
          <w:szCs w:val="32"/>
        </w:rPr>
        <w:t>工作，取得了显著的工作成果，项目自评等级为“优”，分数为99分。</w:t>
      </w: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四、绩效指标分析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决策分析</w:t>
      </w:r>
    </w:p>
    <w:p>
      <w:pPr>
        <w:snapToGrid w:val="0"/>
        <w:spacing w:line="360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1.项目立项情况。</w:t>
      </w:r>
    </w:p>
    <w:p>
      <w:pPr>
        <w:pStyle w:val="9"/>
        <w:tabs>
          <w:tab w:val="left" w:pos="1022"/>
        </w:tabs>
        <w:spacing w:after="440" w:line="240" w:lineRule="auto"/>
        <w:jc w:val="both"/>
        <w:rPr>
          <w:rFonts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（1）</w:t>
      </w:r>
      <w:r>
        <w:rPr>
          <w:rFonts w:hint="eastAsia" w:ascii="仿宋_GB2312" w:eastAsia="仿宋_GB2312"/>
          <w:color w:val="000000"/>
          <w:sz w:val="32"/>
          <w:szCs w:val="32"/>
        </w:rPr>
        <w:t>论证决策。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我局申报项目资金经过集体会议协商。</w:t>
      </w:r>
    </w:p>
    <w:p>
      <w:pPr>
        <w:pStyle w:val="9"/>
        <w:tabs>
          <w:tab w:val="left" w:pos="1022"/>
        </w:tabs>
        <w:spacing w:after="440" w:line="240" w:lineRule="auto"/>
        <w:jc w:val="both"/>
        <w:rPr>
          <w:rFonts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（2）</w:t>
      </w:r>
      <w:r>
        <w:rPr>
          <w:rFonts w:hint="eastAsia" w:ascii="仿宋_GB2312" w:eastAsia="仿宋_GB2312"/>
          <w:color w:val="000000"/>
          <w:sz w:val="32"/>
          <w:szCs w:val="32"/>
        </w:rPr>
        <w:t>目标设置。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项目申报的目标设置完整，包含总目标和阶段性目标，包括预期提供的公共产品或服务的产出数量、质量、成本指标，预期达到的效果性指标；项目申报的目标设置具有相关性，绩效目标与资金或项目属性特点、支出内容相关，体现决策意图，同时合乎客观实际；项目申报的目标设置具有可衡量性，绩效目标设置有数据支撑、有可衡量性的产出和效果指标。</w:t>
      </w:r>
    </w:p>
    <w:p>
      <w:pPr>
        <w:pStyle w:val="9"/>
        <w:tabs>
          <w:tab w:val="left" w:pos="1022"/>
        </w:tabs>
        <w:spacing w:after="440" w:line="240" w:lineRule="auto"/>
        <w:jc w:val="both"/>
        <w:rPr>
          <w:rFonts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（3）</w:t>
      </w:r>
      <w:r>
        <w:rPr>
          <w:rFonts w:hint="eastAsia" w:ascii="仿宋_GB2312" w:eastAsia="仿宋_GB2312"/>
          <w:color w:val="000000"/>
          <w:sz w:val="32"/>
          <w:szCs w:val="32"/>
        </w:rPr>
        <w:t>保障措施。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我局项目实施制度完整，具备条件实施，工作计划安排合理。</w:t>
      </w:r>
    </w:p>
    <w:p>
      <w:pPr>
        <w:pStyle w:val="9"/>
        <w:tabs>
          <w:tab w:val="left" w:pos="1029"/>
        </w:tabs>
        <w:spacing w:after="260" w:line="240" w:lineRule="auto"/>
        <w:ind w:left="0" w:leftChars="0" w:firstLine="643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2.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资金落实情况。</w:t>
      </w:r>
    </w:p>
    <w:p>
      <w:pPr>
        <w:pStyle w:val="9"/>
        <w:tabs>
          <w:tab w:val="left" w:pos="1508"/>
        </w:tabs>
        <w:spacing w:after="260" w:line="240" w:lineRule="auto"/>
        <w:jc w:val="both"/>
        <w:rPr>
          <w:rFonts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（1）</w:t>
      </w:r>
      <w:r>
        <w:rPr>
          <w:rFonts w:hint="eastAsia" w:ascii="仿宋_GB2312" w:eastAsia="仿宋_GB2312"/>
          <w:color w:val="000000"/>
          <w:sz w:val="32"/>
          <w:szCs w:val="32"/>
        </w:rPr>
        <w:t>资金到位。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资金到位率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sz w:val="32"/>
          <w:szCs w:val="32"/>
        </w:rPr>
        <w:t>%，及时到位。</w:t>
      </w:r>
    </w:p>
    <w:p>
      <w:pPr>
        <w:pStyle w:val="9"/>
        <w:tabs>
          <w:tab w:val="left" w:pos="1508"/>
        </w:tabs>
        <w:spacing w:after="260" w:line="240" w:lineRule="auto"/>
        <w:jc w:val="both"/>
        <w:rPr>
          <w:rFonts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（2）</w:t>
      </w:r>
      <w:r>
        <w:rPr>
          <w:rFonts w:hint="eastAsia" w:ascii="仿宋_GB2312" w:eastAsia="仿宋_GB2312"/>
          <w:color w:val="000000"/>
          <w:sz w:val="32"/>
          <w:szCs w:val="32"/>
        </w:rPr>
        <w:t>资金分配。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我局项目资金分配合理，有助于实现资金的绩效目标。</w:t>
      </w:r>
    </w:p>
    <w:p>
      <w:pPr>
        <w:pStyle w:val="9"/>
        <w:tabs>
          <w:tab w:val="left" w:pos="1612"/>
        </w:tabs>
        <w:spacing w:after="260" w:line="240" w:lineRule="auto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管理分析</w:t>
      </w:r>
    </w:p>
    <w:p>
      <w:pPr>
        <w:pStyle w:val="9"/>
        <w:spacing w:after="260" w:line="240" w:lineRule="auto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1.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资金管理。</w:t>
      </w:r>
    </w:p>
    <w:p>
      <w:pPr>
        <w:pStyle w:val="9"/>
        <w:spacing w:after="260" w:line="240" w:lineRule="auto"/>
        <w:jc w:val="both"/>
        <w:rPr>
          <w:rFonts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（1）</w:t>
      </w:r>
      <w:r>
        <w:rPr>
          <w:rFonts w:hint="eastAsia" w:ascii="仿宋_GB2312" w:eastAsia="仿宋_GB2312"/>
          <w:color w:val="000000"/>
          <w:sz w:val="32"/>
          <w:szCs w:val="32"/>
        </w:rPr>
        <w:t>资金支付。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项目资金支出率为100 %。</w:t>
      </w:r>
    </w:p>
    <w:p>
      <w:pPr>
        <w:pStyle w:val="9"/>
        <w:spacing w:after="260" w:line="240" w:lineRule="auto"/>
        <w:jc w:val="both"/>
        <w:rPr>
          <w:rFonts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（2）</w:t>
      </w:r>
      <w:r>
        <w:rPr>
          <w:rFonts w:hint="eastAsia" w:ascii="仿宋_GB2312" w:eastAsia="仿宋_GB2312"/>
          <w:color w:val="000000"/>
          <w:sz w:val="32"/>
          <w:szCs w:val="32"/>
        </w:rPr>
        <w:t>支出规范性。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我局项目资金预算执行规范，且按事项完成进度支付资金；事项支出合规，资金管理、费用标准、支付符合有关制度规定；会计核算规范，严格执行会计核算制度。</w:t>
      </w:r>
    </w:p>
    <w:p>
      <w:pPr>
        <w:pStyle w:val="9"/>
        <w:spacing w:line="623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2.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事项管理。</w:t>
      </w:r>
    </w:p>
    <w:p>
      <w:pPr>
        <w:pStyle w:val="9"/>
        <w:tabs>
          <w:tab w:val="left" w:pos="1503"/>
        </w:tabs>
        <w:spacing w:after="240" w:line="623" w:lineRule="exact"/>
        <w:rPr>
          <w:rFonts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（1）</w:t>
      </w:r>
      <w:r>
        <w:rPr>
          <w:rFonts w:hint="eastAsia" w:ascii="仿宋_GB2312" w:eastAsia="仿宋_GB2312"/>
          <w:color w:val="000000"/>
          <w:sz w:val="32"/>
          <w:szCs w:val="32"/>
        </w:rPr>
        <w:t>实施程序。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我局项目按规定程序实施,项目招投标、建设、验收等或方案实施严格执行相关制度规定。</w:t>
      </w:r>
    </w:p>
    <w:p>
      <w:pPr>
        <w:pStyle w:val="9"/>
        <w:tabs>
          <w:tab w:val="left" w:pos="1503"/>
        </w:tabs>
        <w:spacing w:after="180" w:line="240" w:lineRule="auto"/>
        <w:rPr>
          <w:rFonts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（2）</w:t>
      </w:r>
      <w:r>
        <w:rPr>
          <w:rFonts w:hint="eastAsia" w:ascii="仿宋_GB2312" w:eastAsia="仿宋_GB2312"/>
          <w:color w:val="000000"/>
          <w:sz w:val="32"/>
          <w:szCs w:val="32"/>
        </w:rPr>
        <w:t>管理情况。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我局建立了有效的管理机制，专项资金独立核算；项目经费按规定用途合理、规范使用；严格执行单位主要领导、分管领导分级审批制度，支出记录完整规范，凭证合格有效。</w:t>
      </w:r>
    </w:p>
    <w:p>
      <w:pPr>
        <w:pStyle w:val="9"/>
        <w:tabs>
          <w:tab w:val="left" w:pos="1612"/>
        </w:tabs>
        <w:spacing w:after="120" w:line="240" w:lineRule="auto"/>
        <w:ind w:left="0" w:leftChars="0"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产出分析</w:t>
      </w:r>
    </w:p>
    <w:p>
      <w:pPr>
        <w:pStyle w:val="9"/>
        <w:tabs>
          <w:tab w:val="left" w:pos="982"/>
        </w:tabs>
        <w:spacing w:after="240" w:line="623" w:lineRule="exact"/>
        <w:ind w:left="0" w:leftChars="0" w:firstLine="640" w:firstLineChars="200"/>
        <w:jc w:val="both"/>
        <w:rPr>
          <w:rFonts w:ascii="仿宋_GB2312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1.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经济性。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我局的项目资金实际支出未超过预算计划；与同类项目或市场价格比较，项目实施的成本（包括工程造价、物品采购单价、人员经费等）属于合理范围。</w:t>
      </w:r>
      <w:bookmarkStart w:id="20" w:name="_GoBack"/>
      <w:bookmarkEnd w:id="20"/>
    </w:p>
    <w:p>
      <w:pPr>
        <w:pStyle w:val="9"/>
        <w:tabs>
          <w:tab w:val="left" w:pos="989"/>
        </w:tabs>
        <w:spacing w:after="180" w:line="240" w:lineRule="auto"/>
        <w:ind w:left="0" w:leftChars="0" w:firstLine="640" w:firstLineChars="200"/>
        <w:jc w:val="both"/>
        <w:rPr>
          <w:rFonts w:ascii="仿宋_GB2312" w:eastAsia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2.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效率性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圆满完成了年初制定的工作目标。</w:t>
      </w:r>
    </w:p>
    <w:p>
      <w:pPr>
        <w:pStyle w:val="9"/>
        <w:tabs>
          <w:tab w:val="left" w:pos="1612"/>
        </w:tabs>
        <w:spacing w:after="120" w:line="24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（四）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效益实现度分析</w:t>
      </w:r>
    </w:p>
    <w:p>
      <w:pPr>
        <w:pStyle w:val="9"/>
        <w:spacing w:line="623" w:lineRule="exact"/>
        <w:ind w:left="0" w:leftChars="0" w:firstLine="643" w:firstLineChars="200"/>
        <w:jc w:val="both"/>
        <w:rPr>
          <w:rFonts w:hint="eastAsia"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1.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效果性。</w:t>
      </w:r>
    </w:p>
    <w:p>
      <w:pPr>
        <w:pStyle w:val="9"/>
        <w:spacing w:line="623" w:lineRule="exact"/>
        <w:ind w:left="0" w:leftChars="0" w:firstLine="640" w:firstLineChars="200"/>
        <w:jc w:val="both"/>
        <w:rPr>
          <w:rFonts w:hint="eastAsia"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深入推进产业共建，奖补符合省产业共建财政扶持政策条件的企业，促进区域协调发展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napToGrid w:val="0"/>
        <w:spacing w:line="360" w:lineRule="auto"/>
        <w:ind w:firstLine="643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bidi="en-US"/>
        </w:rPr>
        <w:t>2.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公平性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服务对象满意度为9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五、主要绩效。</w:t>
      </w:r>
    </w:p>
    <w:p>
      <w:pPr>
        <w:pStyle w:val="9"/>
        <w:spacing w:line="623" w:lineRule="exact"/>
        <w:ind w:left="0" w:leftChars="0" w:firstLine="640" w:firstLineChars="200"/>
        <w:jc w:val="both"/>
        <w:rPr>
          <w:rFonts w:hint="eastAsia"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深入推进产业共建，奖补符合省产业共建财政扶持政策条件的企业，其中五华县联基电子有限公司2.96万元、广东泰金智能包装有限公司10.13万元、广东明珠星钟表有限公司147.96万元；促进区域协调发展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六、存在问题。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在设定绩效目标时，大部分把年度工作计划或总结的重点内容直接用来作为绩效目标，指标设定不够科学、依据不够充分。</w:t>
      </w: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七、下一步工作计划。</w:t>
      </w:r>
      <w:bookmarkStart w:id="0" w:name="bookmark108"/>
      <w:bookmarkEnd w:id="0"/>
      <w:bookmarkStart w:id="1" w:name="bookmark107"/>
      <w:bookmarkEnd w:id="1"/>
      <w:bookmarkStart w:id="2" w:name="bookmark115"/>
      <w:bookmarkEnd w:id="2"/>
      <w:bookmarkStart w:id="3" w:name="bookmark114"/>
      <w:bookmarkEnd w:id="3"/>
      <w:bookmarkStart w:id="4" w:name="bookmark112"/>
      <w:bookmarkEnd w:id="4"/>
      <w:bookmarkStart w:id="5" w:name="bookmark113"/>
      <w:bookmarkEnd w:id="5"/>
      <w:bookmarkStart w:id="6" w:name="bookmark124"/>
      <w:bookmarkEnd w:id="6"/>
      <w:bookmarkStart w:id="7" w:name="bookmark121"/>
      <w:bookmarkEnd w:id="7"/>
      <w:bookmarkStart w:id="8" w:name="bookmark122"/>
      <w:bookmarkEnd w:id="8"/>
      <w:bookmarkStart w:id="9" w:name="bookmark106"/>
      <w:bookmarkEnd w:id="9"/>
      <w:bookmarkStart w:id="10" w:name="bookmark127"/>
      <w:bookmarkEnd w:id="10"/>
      <w:bookmarkStart w:id="11" w:name="bookmark118"/>
      <w:bookmarkEnd w:id="11"/>
      <w:bookmarkStart w:id="12" w:name="bookmark120"/>
      <w:bookmarkEnd w:id="12"/>
      <w:bookmarkStart w:id="13" w:name="bookmark123"/>
      <w:bookmarkEnd w:id="13"/>
      <w:bookmarkStart w:id="14" w:name="bookmark117"/>
      <w:bookmarkEnd w:id="14"/>
      <w:bookmarkStart w:id="15" w:name="bookmark116"/>
      <w:bookmarkEnd w:id="15"/>
      <w:bookmarkStart w:id="16" w:name="bookmark125"/>
      <w:bookmarkEnd w:id="16"/>
      <w:bookmarkStart w:id="17" w:name="bookmark128"/>
      <w:bookmarkEnd w:id="17"/>
      <w:bookmarkStart w:id="18" w:name="bookmark119"/>
      <w:bookmarkEnd w:id="18"/>
      <w:bookmarkStart w:id="19" w:name="bookmark126"/>
      <w:bookmarkEnd w:id="19"/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建立科学合理的绩效目标，依据预设的绩效数量、质量指标全面衡量预算实施效果，既重“绩”，更重“效”。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0" w:h="16840"/>
      <w:pgMar w:top="1899" w:right="1401" w:bottom="1619" w:left="1520" w:header="0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en-US" w:bidi="en-US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6171565</wp:posOffset>
              </wp:positionH>
              <wp:positionV relativeFrom="page">
                <wp:posOffset>10154285</wp:posOffset>
              </wp:positionV>
              <wp:extent cx="589915" cy="1346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91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color w:val="00000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85.95pt;margin-top:799.55pt;height:10.6pt;width:46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A4Hjh2QAAAA4BAAAPAAAAAAAAAAEAIAAAACIA&#10;AABkcnMvZG93bnJldi54bWxQSwECFAAUAAAACACHTuJAnWzH6c8BAACXAwAADgAAAAAAAAABACAA&#10;AAAo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color w:val="00000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zh-CN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color w:val="00000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en-US" w:bidi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694690</wp:posOffset>
              </wp:positionH>
              <wp:positionV relativeFrom="page">
                <wp:posOffset>10151745</wp:posOffset>
              </wp:positionV>
              <wp:extent cx="589915" cy="1346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91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color w:val="00000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4.7pt;margin-top:799.35pt;height:10.6pt;width:46.4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c2STp2QAAAA0BAAAPAAAAAAAAAAEAIAAAACIA&#10;AABkcnMvZG93bnJldi54bWxQSwECFAAUAAAACACHTuJApnUvBc8BAACXAwAADgAAAAAAAAABACAA&#10;AAAo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color w:val="00000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zh-CN"/>
                      </w:rPr>
                      <w:t>22</w:t>
                    </w:r>
                    <w:r>
                      <w:fldChar w:fldCharType="end"/>
                    </w:r>
                    <w:r>
                      <w:rPr>
                        <w:color w:val="00000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zM3MTBjN2Y4M2E3NGY3ZjdhMjVjNGIyZDE0MzMifQ=="/>
  </w:docVars>
  <w:rsids>
    <w:rsidRoot w:val="00404B61"/>
    <w:rsid w:val="0012144A"/>
    <w:rsid w:val="002C0E96"/>
    <w:rsid w:val="00390216"/>
    <w:rsid w:val="00404B61"/>
    <w:rsid w:val="00422FD5"/>
    <w:rsid w:val="00477065"/>
    <w:rsid w:val="005528A9"/>
    <w:rsid w:val="00585D36"/>
    <w:rsid w:val="006E1CE7"/>
    <w:rsid w:val="0083324D"/>
    <w:rsid w:val="00AA6A61"/>
    <w:rsid w:val="00AF7F7E"/>
    <w:rsid w:val="00B33E84"/>
    <w:rsid w:val="00B72DA7"/>
    <w:rsid w:val="00B83236"/>
    <w:rsid w:val="00BB00C7"/>
    <w:rsid w:val="00BB22FA"/>
    <w:rsid w:val="00BB602B"/>
    <w:rsid w:val="00C3233A"/>
    <w:rsid w:val="00D50878"/>
    <w:rsid w:val="00E564D2"/>
    <w:rsid w:val="00E84AD4"/>
    <w:rsid w:val="00ED2FD1"/>
    <w:rsid w:val="00EE699B"/>
    <w:rsid w:val="00F06AC9"/>
    <w:rsid w:val="085877CA"/>
    <w:rsid w:val="0BE1433A"/>
    <w:rsid w:val="501C6CBB"/>
    <w:rsid w:val="52E3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Body text|1_"/>
    <w:basedOn w:val="5"/>
    <w:link w:val="9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spacing w:line="439" w:lineRule="auto"/>
      <w:ind w:firstLine="400"/>
      <w:jc w:val="left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10">
    <w:name w:val="Header or footer|1_"/>
    <w:basedOn w:val="5"/>
    <w:link w:val="11"/>
    <w:qFormat/>
    <w:uiPriority w:val="0"/>
    <w:rPr>
      <w:rFonts w:ascii="宋体" w:hAnsi="宋体" w:eastAsia="宋体" w:cs="宋体"/>
      <w:b/>
      <w:bCs/>
      <w:sz w:val="30"/>
      <w:szCs w:val="30"/>
      <w:lang w:val="zh-TW" w:eastAsia="zh-TW" w:bidi="zh-TW"/>
    </w:rPr>
  </w:style>
  <w:style w:type="paragraph" w:customStyle="1" w:styleId="11">
    <w:name w:val="Header or footer|1"/>
    <w:basedOn w:val="1"/>
    <w:link w:val="10"/>
    <w:qFormat/>
    <w:uiPriority w:val="0"/>
    <w:pPr>
      <w:jc w:val="left"/>
    </w:pPr>
    <w:rPr>
      <w:rFonts w:ascii="宋体" w:hAnsi="宋体" w:cs="宋体"/>
      <w:b/>
      <w:bCs/>
      <w:sz w:val="30"/>
      <w:szCs w:val="30"/>
      <w:lang w:val="zh-TW" w:eastAsia="zh-TW" w:bidi="zh-TW"/>
    </w:rPr>
  </w:style>
  <w:style w:type="paragraph" w:customStyle="1" w:styleId="1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2256</Words>
  <Characters>2359</Characters>
  <Lines>17</Lines>
  <Paragraphs>4</Paragraphs>
  <TotalTime>6</TotalTime>
  <ScaleCrop>false</ScaleCrop>
  <LinksUpToDate>false</LinksUpToDate>
  <CharactersWithSpaces>2364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2022-04-27T07:49:00Z</dcterms:created>
  <dc:creator>lenove</dc:creator>
  <cp:lastModifiedBy>与鹿</cp:lastModifiedBy>
  <cp:lastPrinted>2022-05-05T07:15:00Z</cp:lastPrinted>
  <dcterms:modified xsi:type="dcterms:W3CDTF">2023-04-28T01:53:31Z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EF5633D77007489283902D8FFA27F46B</vt:lpwstr>
  </property>
</Properties>
</file>