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附件3</w:t>
      </w:r>
    </w:p>
    <w:p>
      <w:pPr>
        <w:spacing w:line="360" w:lineRule="auto"/>
        <w:rPr>
          <w:rFonts w:ascii="仿宋_GB2312" w:eastAsia="仿宋_GB2312"/>
          <w:sz w:val="32"/>
          <w:szCs w:val="32"/>
        </w:rPr>
      </w:pPr>
    </w:p>
    <w:p>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jc w:val="center"/>
        <w:rPr>
          <w:rFonts w:ascii="楷体_GB2312" w:eastAsia="楷体_GB2312"/>
          <w:sz w:val="32"/>
          <w:szCs w:val="32"/>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napToGrid w:val="0"/>
        <w:spacing w:line="360" w:lineRule="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项目名称：</w:t>
      </w:r>
      <w:r>
        <w:rPr>
          <w:rFonts w:hint="default" w:ascii="Times New Roman" w:hAnsi="Times New Roman" w:eastAsia="方正仿宋简体" w:cs="Times New Roman"/>
          <w:sz w:val="32"/>
          <w:szCs w:val="32"/>
          <w:lang w:val="en-US" w:eastAsia="zh-CN"/>
        </w:rPr>
        <w:t>2022年粮食风险基金</w:t>
      </w:r>
    </w:p>
    <w:p>
      <w:pPr>
        <w:snapToGrid w:val="0"/>
        <w:spacing w:line="360" w:lineRule="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项目主管部门：五华县发展和改革局</w:t>
      </w:r>
    </w:p>
    <w:p>
      <w:pPr>
        <w:snapToGrid w:val="0"/>
        <w:spacing w:line="360" w:lineRule="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填报人姓名：</w:t>
      </w:r>
      <w:r>
        <w:rPr>
          <w:rFonts w:hint="default" w:ascii="Times New Roman" w:hAnsi="Times New Roman" w:eastAsia="方正仿宋简体" w:cs="Times New Roman"/>
          <w:sz w:val="32"/>
          <w:szCs w:val="32"/>
          <w:lang w:eastAsia="zh-CN"/>
        </w:rPr>
        <w:t>吴昊</w:t>
      </w:r>
    </w:p>
    <w:p>
      <w:pPr>
        <w:snapToGrid w:val="0"/>
        <w:spacing w:line="360" w:lineRule="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联系电话：0753-4433191</w:t>
      </w:r>
    </w:p>
    <w:p>
      <w:pPr>
        <w:snapToGrid w:val="0"/>
        <w:spacing w:line="360" w:lineRule="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填报日期：2023年4月2</w:t>
      </w:r>
      <w:r>
        <w:rPr>
          <w:rFonts w:hint="eastAsia" w:eastAsia="方正仿宋简体" w:cs="Times New Roman"/>
          <w:sz w:val="32"/>
          <w:szCs w:val="32"/>
          <w:lang w:val="en-US" w:eastAsia="zh-CN"/>
        </w:rPr>
        <w:t>5</w:t>
      </w:r>
      <w:r>
        <w:rPr>
          <w:rFonts w:hint="default" w:ascii="Times New Roman" w:hAnsi="Times New Roman" w:eastAsia="方正仿宋简体" w:cs="Times New Roman"/>
          <w:sz w:val="32"/>
          <w:szCs w:val="32"/>
        </w:rPr>
        <w:t>日</w:t>
      </w:r>
    </w:p>
    <w:p>
      <w:pPr>
        <w:snapToGrid w:val="0"/>
        <w:spacing w:line="360" w:lineRule="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黑体" w:eastAsia="黑体"/>
          <w:sz w:val="32"/>
          <w:szCs w:val="32"/>
        </w:rPr>
      </w:pPr>
      <w:r>
        <w:rPr>
          <w:rFonts w:hint="eastAsia" w:asci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ascii="仿宋_GB2312" w:eastAsia="仿宋_GB2312"/>
          <w:b/>
          <w:bCs/>
          <w:sz w:val="32"/>
          <w:szCs w:val="32"/>
        </w:rPr>
      </w:pPr>
      <w:r>
        <w:rPr>
          <w:rFonts w:hint="eastAsia" w:ascii="仿宋_GB2312" w:eastAsia="仿宋_GB2312"/>
          <w:b/>
          <w:bCs/>
          <w:sz w:val="32"/>
          <w:szCs w:val="32"/>
        </w:rPr>
        <w:t>（一）项目基本情况</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粮食风险基金的使用范围主要包括：</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地方储备粮油利息、费用补贴。其中，储备粮油的管理费用补贴包括保管费用、轮换差价补贴。管理费用补贴的具体标准、补贴方式及其动态调整机制，由财政部门征求粮食行政主管部门意见后提出，报同级人民政府批准。储备粮油货款利息实行据实补贴。储备粮油管理利息、费用补贴应通过粮食风险基金专户直接拔付到粮食承储企业；</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1998年6月以来发生的并在2013年前报经国务院批准认定的粮食政策性财务挂账利息补贴；</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按照党中央、国务院有关决策部署以及省政府和市政府有关工作部署，明确允许从粮食风险基金中列支的超标粮食收购处置费用补贴等支出；</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按上述规定用途使用后，粮食风险基金仍有节余的，可用于按规定消化粮食政策性财务挂账、加强粮食应急供应保障</w:t>
      </w:r>
    </w:p>
    <w:p>
      <w:pPr>
        <w:keepNext w:val="0"/>
        <w:keepLines w:val="0"/>
        <w:pageBreakBefore w:val="0"/>
        <w:widowControl w:val="0"/>
        <w:kinsoku/>
        <w:wordWrap/>
        <w:overflowPunct/>
        <w:topLinePunct w:val="0"/>
        <w:autoSpaceDE/>
        <w:autoSpaceDN/>
        <w:bidi w:val="0"/>
        <w:adjustRightInd/>
        <w:snapToGrid w:val="0"/>
        <w:spacing w:line="520" w:lineRule="atLeas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体系建设、发展城市小包装成品粮油、支持仓储设施建设等粮食方面的支出。</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项目决策情况</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财政安排的粮食风险基金规模数由本级人民政府根据粮食储备规模等因素测算，由市有关部门审核后报经市人民政府审批并报省级批准后下达。</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粮食风险基金按政策规定纳入地方各级政府预算，及时足额安排到位。当年实际到位数不得低于经核定的粮食风险基金规模数，且不得留有缺口。待预算年度开始后，按程序</w:t>
      </w:r>
      <w:r>
        <w:rPr>
          <w:rFonts w:hint="default" w:ascii="Times New Roman" w:hAnsi="Times New Roman" w:eastAsia="方正仿宋简体" w:cs="Times New Roman"/>
          <w:sz w:val="32"/>
          <w:szCs w:val="32"/>
          <w:lang w:eastAsia="zh-CN"/>
        </w:rPr>
        <w:t>拨</w:t>
      </w:r>
      <w:r>
        <w:rPr>
          <w:rFonts w:hint="default" w:ascii="Times New Roman" w:hAnsi="Times New Roman" w:eastAsia="方正仿宋简体" w:cs="Times New Roman"/>
          <w:sz w:val="32"/>
          <w:szCs w:val="32"/>
        </w:rPr>
        <w:t>入粮食风险基金专</w:t>
      </w:r>
      <w:r>
        <w:rPr>
          <w:rFonts w:hint="default" w:ascii="Times New Roman" w:hAnsi="Times New Roman" w:eastAsia="方正仿宋简体" w:cs="Times New Roman"/>
          <w:sz w:val="32"/>
          <w:szCs w:val="32"/>
          <w:lang w:eastAsia="zh-CN"/>
        </w:rPr>
        <w:t>户。</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由</w:t>
      </w:r>
      <w:r>
        <w:rPr>
          <w:rFonts w:hint="default" w:ascii="Times New Roman" w:hAnsi="Times New Roman" w:eastAsia="方正仿宋简体" w:cs="Times New Roman"/>
          <w:sz w:val="32"/>
          <w:szCs w:val="32"/>
        </w:rPr>
        <w:t>财政部门按照预算管理有关规定及时下达粮食风险基金预算。据实结算等特殊项目转移支付，需采取分期下达预算方式的，按照预算管理有关规定合理设定分批次下达时间及下达数。</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（三）绩效目标</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_GB2312" w:eastAsia="仿宋_GB2312"/>
          <w:sz w:val="32"/>
          <w:szCs w:val="32"/>
        </w:rPr>
      </w:pPr>
      <w:r>
        <w:rPr>
          <w:rFonts w:hint="default" w:ascii="Times New Roman" w:hAnsi="Times New Roman" w:eastAsia="方正仿宋简体" w:cs="Times New Roman"/>
          <w:sz w:val="32"/>
          <w:szCs w:val="32"/>
        </w:rPr>
        <w:t>补贴粮食轮换价差和轮换费用，及时归还农发行储备粮贷款，确保本年度县级储备粮如期轮换和足额储备。</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黑体" w:eastAsia="黑体"/>
          <w:sz w:val="32"/>
          <w:szCs w:val="32"/>
        </w:rPr>
      </w:pPr>
      <w:r>
        <w:rPr>
          <w:rFonts w:hint="eastAsia" w:ascii="黑体" w:eastAsia="黑体"/>
          <w:sz w:val="32"/>
          <w:szCs w:val="32"/>
        </w:rPr>
        <w:t>二、绩效自评工作组织情况</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通过绩效自评工作，总结经验，找准问题，进一步加强规范项目和资金管理，完善管理办法，在被评价项目相关资料真实、可靠的基础上，我单位</w:t>
      </w:r>
      <w:r>
        <w:rPr>
          <w:rFonts w:hint="eastAsia" w:ascii="Times New Roman" w:hAnsi="Times New Roman" w:eastAsia="方正仿宋简体" w:cs="Times New Roman"/>
          <w:sz w:val="32"/>
          <w:szCs w:val="32"/>
          <w:lang w:val="en-US" w:eastAsia="zh-CN"/>
        </w:rPr>
        <w:t>2022年度基本完成了绩效目标任务，达到了既定的目标。</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黑体" w:eastAsia="黑体"/>
          <w:sz w:val="32"/>
          <w:szCs w:val="32"/>
        </w:rPr>
      </w:pPr>
      <w:r>
        <w:rPr>
          <w:rFonts w:hint="eastAsia" w:ascii="黑体" w:eastAsia="黑体"/>
          <w:sz w:val="32"/>
          <w:szCs w:val="32"/>
        </w:rPr>
        <w:t>三、绩效自评结论</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2022年粮食风险基金项目支出绩效自评分数为98分，自评等级为优秀。</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黑体" w:eastAsia="黑体"/>
          <w:sz w:val="32"/>
          <w:szCs w:val="32"/>
        </w:rPr>
      </w:pPr>
      <w:r>
        <w:rPr>
          <w:rFonts w:hint="eastAsia" w:ascii="黑体" w:eastAsia="黑体"/>
          <w:sz w:val="32"/>
          <w:szCs w:val="32"/>
        </w:rPr>
        <w:t>四、绩效指标分析</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ascii="仿宋_GB2312" w:eastAsia="仿宋_GB2312"/>
          <w:b/>
          <w:bCs/>
          <w:color w:val="000000"/>
          <w:sz w:val="32"/>
          <w:szCs w:val="32"/>
        </w:rPr>
      </w:pPr>
      <w:r>
        <w:rPr>
          <w:rFonts w:hint="eastAsia" w:ascii="仿宋_GB2312" w:eastAsia="仿宋_GB2312"/>
          <w:sz w:val="32"/>
          <w:szCs w:val="32"/>
        </w:rPr>
        <w:t>（一）</w:t>
      </w:r>
      <w:r>
        <w:rPr>
          <w:rFonts w:hint="eastAsia" w:ascii="仿宋_GB2312" w:eastAsia="仿宋_GB2312"/>
          <w:b/>
          <w:bCs/>
          <w:color w:val="000000"/>
          <w:sz w:val="32"/>
          <w:szCs w:val="32"/>
        </w:rPr>
        <w:t>决策分析</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1.项目立项情况</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（1）论证决策</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项目论证决策充分合理，经过集体会议协商、并咨询相关专家意见、且有文字材料。因此该项得分计5分。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（2）目标设置</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目标设置合理，符合国家法律法规和部门中长期规划。因此该项得分计6分。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（3）保障措施</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相关基础信息和证据判断制度完整，计划安排合理性。因此该项得分计2分。</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2.资金落实情况</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（1）资金到位</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项目资金到位及时且足额。因此该项得分计5分。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（2）资金分配</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资金分配合理，有助于实现资金的绩效目标。因此该项得分计3分。</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（二）管理分析</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1.资金管理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（1）资金支付</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资金支付及时，未出现工作进度迟缓现象，未有垫资或履行支付手续而影响支出率。因此该项得分计6分。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（2）支出规范性</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按规定履行调整报批手续，且按事项完成进度支付资金。资金管理、费用标准、支付符合有关制度规定。规范执行会计核算制度。因此该项得分计6分。</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2.事项管理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（1）实施程序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项目按规定程序实施,按规定履行报批手续，项目招投标、建设、验收等严格执行相关制度规定。因此该项得分计4分。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（2）管理情况</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建立了有效管理机制，且执行情况良好，主管部门按规定对项目建设开展了有效的检查、监控。因此该项得分计4分。</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（三）产出分析</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1.经济性</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在预算执行进度与事项完成进度基本匹配的前提下，实际支出未超过预算计划；项目按照预算完成，与同类市场价格比较，项目实施的成本属于合理范围。因此该项得分计5分。</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2.效率性</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仿宋_GB2312" w:eastAsia="仿宋_GB2312"/>
          <w:b/>
          <w:bCs/>
          <w:color w:val="000000"/>
          <w:sz w:val="32"/>
          <w:szCs w:val="32"/>
        </w:rPr>
      </w:pPr>
      <w:r>
        <w:rPr>
          <w:rFonts w:hint="eastAsia" w:ascii="Times New Roman" w:hAnsi="Times New Roman" w:eastAsia="方正仿宋简体" w:cs="Times New Roman"/>
          <w:sz w:val="32"/>
          <w:szCs w:val="32"/>
          <w:lang w:val="en-US" w:eastAsia="zh-CN"/>
        </w:rPr>
        <w:t>2022年度100%完成了</w:t>
      </w:r>
      <w:r>
        <w:rPr>
          <w:rFonts w:hint="default" w:ascii="Times New Roman" w:hAnsi="Times New Roman" w:eastAsia="方正仿宋简体" w:cs="Times New Roman"/>
          <w:sz w:val="32"/>
          <w:szCs w:val="32"/>
        </w:rPr>
        <w:t>县级储备粮早籼稻谷</w:t>
      </w:r>
      <w:r>
        <w:rPr>
          <w:rFonts w:hint="eastAsia" w:eastAsia="方正仿宋简体" w:cs="Times New Roman"/>
          <w:sz w:val="32"/>
          <w:szCs w:val="32"/>
          <w:lang w:eastAsia="zh-CN"/>
        </w:rPr>
        <w:t>轮出</w:t>
      </w:r>
      <w:bookmarkStart w:id="20" w:name="_GoBack"/>
      <w:bookmarkEnd w:id="20"/>
      <w:r>
        <w:rPr>
          <w:rFonts w:hint="eastAsia" w:ascii="Times New Roman" w:hAnsi="Times New Roman" w:eastAsia="方正仿宋简体" w:cs="Times New Roman"/>
          <w:sz w:val="32"/>
          <w:szCs w:val="32"/>
          <w:lang w:val="en-US" w:eastAsia="zh-CN"/>
        </w:rPr>
        <w:t>。因此该项得分计25分。</w:t>
      </w:r>
    </w:p>
    <w:p>
      <w:pPr>
        <w:pStyle w:val="10"/>
        <w:keepNext w:val="0"/>
        <w:keepLines w:val="0"/>
        <w:pageBreakBefore w:val="0"/>
        <w:widowControl w:val="0"/>
        <w:tabs>
          <w:tab w:val="left" w:pos="1612"/>
        </w:tabs>
        <w:kinsoku/>
        <w:wordWrap/>
        <w:overflowPunct/>
        <w:topLinePunct w:val="0"/>
        <w:autoSpaceDE/>
        <w:autoSpaceDN/>
        <w:bidi w:val="0"/>
        <w:adjustRightInd/>
        <w:spacing w:after="120" w:line="520" w:lineRule="atLeast"/>
        <w:ind w:left="0" w:leftChars="0"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（四）效益实现度分析</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1.效果性</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及时归还农发行储备粮贷款，充分保证粮食安全，保障储备稻谷安全，稳定社会粮食安全情况。因此该项得分计23分。</w:t>
      </w:r>
    </w:p>
    <w:p>
      <w:pPr>
        <w:keepNext w:val="0"/>
        <w:keepLines w:val="0"/>
        <w:pageBreakBefore w:val="0"/>
        <w:widowControl w:val="0"/>
        <w:kinsoku/>
        <w:wordWrap/>
        <w:overflowPunct/>
        <w:topLinePunct w:val="0"/>
        <w:autoSpaceDE/>
        <w:autoSpaceDN/>
        <w:bidi w:val="0"/>
        <w:adjustRightInd/>
        <w:snapToGrid w:val="0"/>
        <w:spacing w:line="520" w:lineRule="atLeast"/>
        <w:ind w:firstLine="643" w:firstLineChars="2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2.公平性</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服务对象满意。因此该项得分计5分。</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黑体" w:eastAsia="黑体"/>
          <w:sz w:val="32"/>
          <w:szCs w:val="32"/>
        </w:rPr>
      </w:pPr>
      <w:r>
        <w:rPr>
          <w:rFonts w:hint="eastAsia" w:ascii="黑体" w:eastAsia="黑体"/>
          <w:sz w:val="32"/>
          <w:szCs w:val="32"/>
        </w:rPr>
        <w:t>五、主要绩效</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完成本年度补贴粮食轮换价差和轮换费用，及时归还了农发行储备粮贷款，确保了本年度县级储备粮如期轮换和足额储备。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存在问题</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1</w:t>
      </w:r>
      <w:r>
        <w:rPr>
          <w:rFonts w:hint="eastAsia"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项目提早谋划，制定切实可行的方案，对方案及活动细节进行认真分析，研判可能出现的问题，及时调整。</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2</w:t>
      </w:r>
      <w:r>
        <w:rPr>
          <w:rFonts w:hint="eastAsia" w:eastAsia="方正仿宋简体" w:cs="Times New Roman"/>
          <w:kern w:val="2"/>
          <w:sz w:val="32"/>
          <w:szCs w:val="32"/>
          <w:lang w:val="en-US" w:eastAsia="zh-CN" w:bidi="ar-SA"/>
        </w:rPr>
        <w:t>.</w:t>
      </w:r>
      <w:r>
        <w:rPr>
          <w:rFonts w:hint="eastAsia" w:ascii="Times New Roman" w:hAnsi="Times New Roman" w:eastAsia="方正仿宋简体" w:cs="Times New Roman"/>
          <w:kern w:val="2"/>
          <w:sz w:val="32"/>
          <w:szCs w:val="32"/>
          <w:lang w:val="en-US" w:eastAsia="zh-CN" w:bidi="ar-SA"/>
        </w:rPr>
        <w:t>内控管理制度不够完善，不够系统，需进一步完善和加强。</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atLeast"/>
        <w:ind w:firstLine="640" w:firstLineChars="200"/>
        <w:textAlignment w:val="auto"/>
        <w:rPr>
          <w:rFonts w:hint="eastAsia" w:ascii="黑体" w:eastAsia="黑体"/>
          <w:sz w:val="32"/>
          <w:szCs w:val="32"/>
          <w:lang w:val="en-US" w:eastAsia="zh-CN"/>
        </w:rPr>
      </w:pPr>
      <w:r>
        <w:rPr>
          <w:rFonts w:hint="eastAsia" w:ascii="黑体" w:eastAsia="黑体"/>
          <w:sz w:val="32"/>
          <w:szCs w:val="32"/>
          <w:lang w:eastAsia="zh-CN"/>
        </w:rPr>
        <w:t>七、</w:t>
      </w:r>
      <w:r>
        <w:rPr>
          <w:rFonts w:hint="eastAsia" w:ascii="黑体" w:eastAsia="黑体"/>
          <w:sz w:val="32"/>
          <w:szCs w:val="32"/>
        </w:rPr>
        <w:t>下一步工作计划</w:t>
      </w:r>
      <w:bookmarkStart w:id="0" w:name="bookmark115"/>
      <w:bookmarkEnd w:id="0"/>
      <w:bookmarkStart w:id="1" w:name="bookmark120"/>
      <w:bookmarkEnd w:id="1"/>
      <w:bookmarkStart w:id="2" w:name="bookmark122"/>
      <w:bookmarkEnd w:id="2"/>
      <w:bookmarkStart w:id="3" w:name="bookmark127"/>
      <w:bookmarkEnd w:id="3"/>
      <w:bookmarkStart w:id="4" w:name="bookmark112"/>
      <w:bookmarkEnd w:id="4"/>
      <w:bookmarkStart w:id="5" w:name="bookmark117"/>
      <w:bookmarkEnd w:id="5"/>
      <w:bookmarkStart w:id="6" w:name="bookmark107"/>
      <w:bookmarkEnd w:id="6"/>
      <w:bookmarkStart w:id="7" w:name="bookmark116"/>
      <w:bookmarkEnd w:id="7"/>
      <w:bookmarkStart w:id="8" w:name="bookmark125"/>
      <w:bookmarkEnd w:id="8"/>
      <w:bookmarkStart w:id="9" w:name="bookmark106"/>
      <w:bookmarkEnd w:id="9"/>
      <w:bookmarkStart w:id="10" w:name="bookmark123"/>
      <w:bookmarkEnd w:id="10"/>
      <w:bookmarkStart w:id="11" w:name="bookmark119"/>
      <w:bookmarkEnd w:id="11"/>
      <w:bookmarkStart w:id="12" w:name="bookmark118"/>
      <w:bookmarkEnd w:id="12"/>
      <w:bookmarkStart w:id="13" w:name="bookmark128"/>
      <w:bookmarkEnd w:id="13"/>
      <w:bookmarkStart w:id="14" w:name="bookmark113"/>
      <w:bookmarkEnd w:id="14"/>
      <w:bookmarkStart w:id="15" w:name="bookmark121"/>
      <w:bookmarkEnd w:id="15"/>
      <w:bookmarkStart w:id="16" w:name="bookmark126"/>
      <w:bookmarkEnd w:id="16"/>
      <w:bookmarkStart w:id="17" w:name="bookmark114"/>
      <w:bookmarkEnd w:id="17"/>
      <w:bookmarkStart w:id="18" w:name="bookmark108"/>
      <w:bookmarkEnd w:id="18"/>
      <w:bookmarkStart w:id="19" w:name="bookmark124"/>
      <w:bookmarkEnd w:id="19"/>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zh-CN" w:eastAsia="zh-CN" w:bidi="ar-SA"/>
        </w:rPr>
        <w:t>（一）完善绩效评价体系，加强对绩效管理工作的跟踪督查，做到绩效管理有依据、按程序，实现绩效管理的规范化、常态化。</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zh-CN" w:eastAsia="zh-CN" w:bidi="ar-SA"/>
        </w:rPr>
      </w:pPr>
      <w:r>
        <w:rPr>
          <w:rFonts w:hint="eastAsia" w:ascii="Times New Roman" w:hAnsi="Times New Roman" w:eastAsia="方正仿宋简体" w:cs="Times New Roman"/>
          <w:kern w:val="2"/>
          <w:sz w:val="32"/>
          <w:szCs w:val="32"/>
          <w:lang w:val="zh-CN" w:eastAsia="zh-CN" w:bidi="ar-SA"/>
        </w:rPr>
        <w:t>（二）推动相关制度建设，逐步建立以绩效为导向的预算编制模式。</w:t>
      </w:r>
    </w:p>
    <w:p>
      <w:pPr>
        <w:keepNext w:val="0"/>
        <w:keepLines w:val="0"/>
        <w:pageBreakBefore w:val="0"/>
        <w:widowControl w:val="0"/>
        <w:kinsoku/>
        <w:wordWrap/>
        <w:overflowPunct/>
        <w:topLinePunct w:val="0"/>
        <w:autoSpaceDE/>
        <w:autoSpaceDN/>
        <w:bidi w:val="0"/>
        <w:adjustRightInd/>
        <w:snapToGrid w:val="0"/>
        <w:spacing w:line="520" w:lineRule="atLeast"/>
        <w:ind w:firstLine="640" w:firstLineChars="200"/>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zh-CN" w:eastAsia="zh-CN" w:bidi="ar-SA"/>
        </w:rPr>
        <w:t>（三）统筹协调，提高资金使用绩效的关节点，切实提高资金使用效率。采取得力措施，科学编制和细化预算，做到预算有目标，执行有细则，控制专项支出，降低行政运行成本，提高资金使用效率和效益。</w:t>
      </w:r>
    </w:p>
    <w:p/>
    <w:sectPr>
      <w:footerReference r:id="rId3" w:type="default"/>
      <w:footerReference r:id="rId4" w:type="even"/>
      <w:pgSz w:w="11900" w:h="16840"/>
      <w:pgMar w:top="2041" w:right="1587" w:bottom="1701" w:left="1587"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382270" cy="2476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2270" cy="247650"/>
                      </a:xfrm>
                      <a:prstGeom prst="rect">
                        <a:avLst/>
                      </a:prstGeom>
                      <a:noFill/>
                      <a:ln>
                        <a:noFill/>
                      </a:ln>
                      <a:effectLst/>
                    </wps:spPr>
                    <wps:txbx>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4</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99.55pt;height:19.5pt;width:30.1pt;mso-position-horizontal:center;mso-position-horizontal-relative:margin;mso-position-vertical-relative:page;mso-wrap-style:none;z-index:251660288;mso-width-relative:page;mso-height-relative:page;" filled="f" stroked="f" coordsize="21600,21600" o:gfxdata="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bEebVAAAACQEAAA8AAAAAAAAAAQAgAAAA&#10;IgAAAGRycy9kb3ducmV2LnhtbFBLAQIUABQAAAAIAIdO4kARl7y1DgIAABAEAAAOAAAAAAAAAAEA&#10;IAAAACQBAABkcnMvZTJvRG9jLnhtbFBLBQYAAAAABgAGAFkBAACkBQAAAAA=&#10;">
              <v:fill on="f" focussize="0,0"/>
              <v:stroke on="f"/>
              <v:imagedata o:title=""/>
              <o:lock v:ext="edit" aspectratio="f"/>
              <v:textbox inset="0mm,0mm,0mm,0mm" style="mso-fit-shape-to-text:t;">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4</w:t>
                    </w:r>
                    <w:r>
                      <w:fldChar w:fldCharType="end"/>
                    </w:r>
                    <w:r>
                      <w:rPr>
                        <w:color w:val="0000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1270"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9915" cy="134620"/>
                      </a:xfrm>
                      <a:prstGeom prst="rect">
                        <a:avLst/>
                      </a:prstGeom>
                      <a:noFill/>
                      <a:ln>
                        <a:noFill/>
                      </a:ln>
                    </wps:spPr>
                    <wps:txbx>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2STp2QAAAA0BAAAPAAAAAAAAAAEAIAAA&#10;ACIAAABkcnMvZG93bnJldi54bWxQSwECFAAUAAAACACHTuJASbWZ2gsCAAACBAAADgAAAAAAAAAB&#10;ACAAAAAoAQAAZHJzL2Uyb0RvYy54bWxQSwUGAAAAAAYABgBZAQAApQUAAAAA&#10;">
              <v:fill on="f" focussize="0,0"/>
              <v:stroke on="f"/>
              <v:imagedata o:title=""/>
              <o:lock v:ext="edit" aspectratio="f"/>
              <v:textbox inset="0mm,0mm,0mm,0mm" style="mso-fit-shape-to-text:t;">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WNjYzllNjQzYjQ3YWJmMDZlZDNlMjJjZWExY2MifQ=="/>
  </w:docVars>
  <w:rsids>
    <w:rsidRoot w:val="00223CA7"/>
    <w:rsid w:val="000B60BA"/>
    <w:rsid w:val="001422B9"/>
    <w:rsid w:val="001F579F"/>
    <w:rsid w:val="00223CA7"/>
    <w:rsid w:val="003176DD"/>
    <w:rsid w:val="00852570"/>
    <w:rsid w:val="00C212CA"/>
    <w:rsid w:val="00C70596"/>
    <w:rsid w:val="00C91598"/>
    <w:rsid w:val="00E62D31"/>
    <w:rsid w:val="0817127E"/>
    <w:rsid w:val="0C7A6C03"/>
    <w:rsid w:val="114B56AF"/>
    <w:rsid w:val="137073A1"/>
    <w:rsid w:val="237F0D75"/>
    <w:rsid w:val="2D3C7E6D"/>
    <w:rsid w:val="320D446F"/>
    <w:rsid w:val="36CE34E6"/>
    <w:rsid w:val="3A184B1B"/>
    <w:rsid w:val="3B385F43"/>
    <w:rsid w:val="3C7A386B"/>
    <w:rsid w:val="50821C16"/>
    <w:rsid w:val="5B680F04"/>
    <w:rsid w:val="5E8E1597"/>
    <w:rsid w:val="65C644C0"/>
    <w:rsid w:val="77BD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Body text|1_"/>
    <w:basedOn w:val="6"/>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39" w:lineRule="auto"/>
      <w:ind w:firstLine="400"/>
      <w:jc w:val="left"/>
    </w:pPr>
    <w:rPr>
      <w:rFonts w:ascii="宋体" w:hAnsi="宋体" w:cs="宋体"/>
      <w:sz w:val="30"/>
      <w:szCs w:val="30"/>
      <w:lang w:val="zh-TW" w:eastAsia="zh-TW" w:bidi="zh-TW"/>
    </w:rPr>
  </w:style>
  <w:style w:type="character" w:customStyle="1" w:styleId="11">
    <w:name w:val="Header or footer|1_"/>
    <w:basedOn w:val="6"/>
    <w:link w:val="12"/>
    <w:qFormat/>
    <w:uiPriority w:val="0"/>
    <w:rPr>
      <w:rFonts w:ascii="宋体" w:hAnsi="宋体" w:eastAsia="宋体" w:cs="宋体"/>
      <w:b/>
      <w:bCs/>
      <w:sz w:val="30"/>
      <w:szCs w:val="30"/>
      <w:lang w:val="zh-TW" w:eastAsia="zh-TW" w:bidi="zh-TW"/>
    </w:rPr>
  </w:style>
  <w:style w:type="paragraph" w:customStyle="1" w:styleId="12">
    <w:name w:val="Header or footer|1"/>
    <w:basedOn w:val="1"/>
    <w:link w:val="11"/>
    <w:qFormat/>
    <w:uiPriority w:val="0"/>
    <w:pPr>
      <w:jc w:val="left"/>
    </w:pPr>
    <w:rPr>
      <w:rFonts w:ascii="宋体" w:hAnsi="宋体" w:cs="宋体"/>
      <w:b/>
      <w:bCs/>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1897</Words>
  <Characters>1960</Characters>
  <Lines>3</Lines>
  <Paragraphs>1</Paragraphs>
  <TotalTime>0</TotalTime>
  <ScaleCrop>false</ScaleCrop>
  <LinksUpToDate>false</LinksUpToDate>
  <CharactersWithSpaces>1960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Lenovo</dc:creator>
  <cp:lastModifiedBy>安秦天</cp:lastModifiedBy>
  <dcterms:modified xsi:type="dcterms:W3CDTF">2023-04-28T03:42:45Z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EAE37722A6234B91A67CE1B3962F625E_12</vt:lpwstr>
  </property>
</Properties>
</file>