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360" w:lineRule="auto"/>
        <w:ind w:firstLine="0" w:firstLineChars="0"/>
        <w:rPr>
          <w:rFonts w:hint="eastAsia" w:ascii="仿宋_GB2312" w:eastAsia="仿宋_GB2312"/>
          <w:sz w:val="32"/>
          <w:szCs w:val="32"/>
        </w:rPr>
      </w:pPr>
    </w:p>
    <w:p>
      <w:pPr>
        <w:spacing w:line="0" w:lineRule="atLeast"/>
        <w:ind w:firstLine="0"/>
        <w:jc w:val="center"/>
        <w:rPr>
          <w:rFonts w:hint="eastAsia" w:ascii="仿宋_GB2312" w:eastAsia="仿宋_GB231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横陂镇2022年度村(社区)基层干部补贴项目绩效自评报告</w:t>
      </w:r>
      <w:bookmarkEnd w:id="0"/>
    </w:p>
    <w:p>
      <w:pPr>
        <w:spacing w:line="360" w:lineRule="auto"/>
        <w:jc w:val="center"/>
        <w:rPr>
          <w:rFonts w:hint="eastAsia" w:ascii="楷体_GB2312" w:eastAsia="楷体_GB2312"/>
          <w:sz w:val="32"/>
          <w:szCs w:val="32"/>
        </w:rPr>
      </w:pP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pacing w:line="360" w:lineRule="auto"/>
        <w:ind w:firstLine="450" w:firstLineChars="150"/>
        <w:rPr>
          <w:rFonts w:hint="eastAsia" w:ascii="仿宋_GB2312" w:eastAsia="仿宋_GB2312"/>
          <w:sz w:val="30"/>
          <w:szCs w:val="30"/>
        </w:rPr>
      </w:pPr>
    </w:p>
    <w:p>
      <w:pPr>
        <w:snapToGrid w:val="0"/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项目名称：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村(社区)基层干部补贴项目</w:t>
      </w:r>
    </w:p>
    <w:p>
      <w:pPr>
        <w:snapToGrid w:val="0"/>
        <w:spacing w:line="36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项目主管部门：（公章）</w:t>
      </w:r>
    </w:p>
    <w:p>
      <w:pPr>
        <w:snapToGrid w:val="0"/>
        <w:spacing w:line="360" w:lineRule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填报人姓名：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黄威娜</w:t>
      </w:r>
    </w:p>
    <w:p>
      <w:pPr>
        <w:snapToGrid w:val="0"/>
        <w:spacing w:line="360" w:lineRule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18320260150</w:t>
      </w:r>
    </w:p>
    <w:p>
      <w:pPr>
        <w:snapToGrid w:val="0"/>
        <w:spacing w:line="360" w:lineRule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填报日期：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2023年4月23日</w:t>
      </w:r>
    </w:p>
    <w:p>
      <w:pPr>
        <w:snapToGrid w:val="0"/>
        <w:spacing w:line="360" w:lineRule="auto"/>
        <w:ind w:firstLine="0" w:firstLineChars="0"/>
        <w:rPr>
          <w:rFonts w:hint="eastAsia" w:ascii="黑体" w:eastAsia="黑体"/>
          <w:sz w:val="32"/>
          <w:szCs w:val="32"/>
        </w:rPr>
      </w:pPr>
    </w:p>
    <w:p>
      <w:pPr>
        <w:snapToGrid w:val="0"/>
        <w:spacing w:line="360" w:lineRule="auto"/>
        <w:rPr>
          <w:rFonts w:hint="eastAsia" w:ascii="黑体" w:eastAsia="黑体"/>
          <w:sz w:val="32"/>
          <w:szCs w:val="32"/>
        </w:rPr>
      </w:pPr>
    </w:p>
    <w:p>
      <w:pPr>
        <w:snapToGrid w:val="0"/>
        <w:spacing w:line="360" w:lineRule="auto"/>
        <w:ind w:firstLine="0" w:firstLineChars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   一、基本情况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（一）项目基本情况。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为建立稳定、完善的村级组织运转经费长效机制，规范财政补助村级组织运转保障资金管理，确保专款专用和运行高效，保障村级组织正常运转，横陂镇年度安排预算资金 644.18万元，用于对各个村级组织运转经费的补助，具体支出范围为村干部报酬、正常离任村干部生活补贴及其他必要支出。截止 2022年12月该资金已全部拨付各个村。该项目由县委组织部组织，镇经济发展办具体实施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ascii="仿宋_GB2312" w:eastAsia="仿宋_GB2312"/>
          <w:b w:val="0"/>
          <w:bCs w:val="0"/>
          <w:color w:val="auto"/>
          <w:sz w:val="32"/>
          <w:szCs w:val="32"/>
        </w:rPr>
        <w:t>项目决策情况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napToGrid w:val="0"/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该项目符合横陂镇经济社会发展规划和部门年度工作计划，并根据需要制定了中长期实施规划。项目申报条件、申报及批复的程序均符合相关管理办法。</w:t>
      </w:r>
    </w:p>
    <w:p>
      <w:pPr>
        <w:numPr>
          <w:ilvl w:val="-1"/>
          <w:numId w:val="0"/>
        </w:numPr>
        <w:snapToGrid w:val="0"/>
        <w:spacing w:line="360" w:lineRule="auto"/>
        <w:ind w:firstLine="640" w:firstLineChars="200"/>
        <w:rPr>
          <w:rFonts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ascii="仿宋_GB2312" w:eastAsia="仿宋_GB2312"/>
          <w:b w:val="0"/>
          <w:bCs w:val="0"/>
          <w:color w:val="auto"/>
          <w:sz w:val="32"/>
          <w:szCs w:val="32"/>
        </w:rPr>
        <w:t>绩效目标。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1、总目标。保障村级组织正常运转，加强村干部的领导能力建设，提高村干部的工作积极性，充分发挥基层党组织战斗堡垒作用和党员先锋模范作用，改善农村村民的生活环境，提高村民的生活水平。</w:t>
      </w:r>
    </w:p>
    <w:p>
      <w:pPr>
        <w:snapToGrid w:val="0"/>
        <w:spacing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2、产出目标。在 2022年投入财政资金644.18万元，结合省级、县(区)级资金，保障全镇范围内 38个村（居）村两委干部补助正常发放。</w:t>
      </w:r>
    </w:p>
    <w:p>
      <w:pPr>
        <w:numPr>
          <w:ilvl w:val="0"/>
          <w:numId w:val="1"/>
        </w:num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绩效自评工作组织情况</w:t>
      </w:r>
      <w:r>
        <w:rPr>
          <w:rFonts w:hint="eastAsia" w:ascii="黑体" w:eastAsia="黑体"/>
          <w:sz w:val="32"/>
          <w:szCs w:val="32"/>
          <w:lang w:val="en-US" w:eastAsia="zh-CN"/>
        </w:rPr>
        <w:t>: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(一) 绩效评价目的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了解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村两委相关补助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的使用和效益情况，为预算绩效管理和下年度预算安排提供重要依据。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(二)绩效评价原则及评价方法按照科学规范、公开公正、分级分类、绩效相关原则，采用比较法、因素法、成本法、公众评判法等方法开展绩效评价。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(三)绩效评价工作过程</w:t>
      </w:r>
    </w:p>
    <w:p>
      <w:pPr>
        <w:widowControl/>
        <w:numPr>
          <w:ilvl w:val="0"/>
          <w:numId w:val="0"/>
        </w:numPr>
        <w:snapToGrid w:val="0"/>
        <w:spacing w:line="360" w:lineRule="auto"/>
        <w:ind w:firstLine="640" w:firstLineChars="200"/>
        <w:jc w:val="left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1、前期准备。下发通知，单位自评。财政委托第三方中介机构成立绩效评价小组，制定绩效评价方案</w:t>
      </w:r>
    </w:p>
    <w:p>
      <w:pPr>
        <w:numPr>
          <w:ilvl w:val="-1"/>
          <w:numId w:val="0"/>
        </w:numPr>
        <w:snapToGrid w:val="0"/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2、组织实施。整理项目相关资料，细化项目绩效目标设计绩效评价指标体系，查阅财务会计资料，座谈了解项目实施情况。</w:t>
      </w:r>
    </w:p>
    <w:p>
      <w:pPr>
        <w:numPr>
          <w:ilvl w:val="-1"/>
          <w:numId w:val="0"/>
        </w:numPr>
        <w:snapToGrid w:val="0"/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3、分析评价。分析项目管理情况和资金效益，根据结果进行综合评价并提出建议。</w:t>
      </w:r>
    </w:p>
    <w:p>
      <w:pPr>
        <w:snapToGrid w:val="0"/>
        <w:spacing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三、绩效自评结论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本次绩效评价指标体系自评为99分。</w:t>
      </w:r>
    </w:p>
    <w:p>
      <w:pPr>
        <w:snapToGrid w:val="0"/>
        <w:spacing w:line="360" w:lineRule="auto"/>
        <w:ind w:firstLine="640" w:firstLineChars="200"/>
        <w:rPr>
          <w:rFonts w:hint="eastAsia" w:ascii="黑体" w:eastAsia="黑体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四、绩效指标分析</w:t>
      </w:r>
    </w:p>
    <w:p>
      <w:pPr>
        <w:snapToGrid w:val="0"/>
        <w:spacing w:line="360" w:lineRule="auto"/>
        <w:ind w:firstLine="640" w:firstLineChars="200"/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（一）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</w:rPr>
        <w:t>决策分析</w:t>
      </w:r>
    </w:p>
    <w:p>
      <w:pPr>
        <w:snapToGrid w:val="0"/>
        <w:spacing w:line="360" w:lineRule="auto"/>
        <w:ind w:firstLine="643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</w:rPr>
        <w:t>项目立项情况。</w:t>
      </w:r>
    </w:p>
    <w:p>
      <w:pPr>
        <w:widowControl/>
        <w:numPr>
          <w:ilvl w:val="0"/>
          <w:numId w:val="0"/>
        </w:numPr>
        <w:snapToGrid w:val="0"/>
        <w:spacing w:after="440" w:line="360" w:lineRule="auto"/>
        <w:ind w:left="619" w:leftChars="295" w:firstLine="640" w:firstLineChars="200"/>
        <w:jc w:val="left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1、绩效目标分析。该项目设置了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保障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村干部报酬、正常离任村干部生活补贴及其他必要支出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，但是未对目标按照时间和要求进行细化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widowControl/>
        <w:numPr>
          <w:ilvl w:val="0"/>
          <w:numId w:val="0"/>
        </w:numPr>
        <w:snapToGrid w:val="0"/>
        <w:spacing w:after="440" w:line="360" w:lineRule="auto"/>
        <w:ind w:left="619" w:leftChars="295" w:firstLine="640" w:firstLineChars="200"/>
        <w:jc w:val="left"/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2、项目决策过程分析。该项目符合经济社会发展规划和部门年度工作计划，并根据需要制定了中长期实施规划。项目申报条件、申报及批复的程序均符合相关管理办法</w:t>
      </w:r>
    </w:p>
    <w:p>
      <w:pPr>
        <w:widowControl/>
        <w:numPr>
          <w:ilvl w:val="0"/>
          <w:numId w:val="0"/>
        </w:numPr>
        <w:snapToGrid w:val="0"/>
        <w:spacing w:after="440" w:line="360" w:lineRule="auto"/>
        <w:ind w:left="619" w:leftChars="295" w:firstLine="640" w:firstLineChars="200"/>
        <w:jc w:val="left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yellow"/>
          <w:lang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3、资金分配情况。</w:t>
      </w:r>
      <w:r>
        <w:rPr>
          <w:rFonts w:hint="eastAsia" w:ascii="仿宋_GB2312" w:eastAsia="仿宋_GB2312" w:cs="Times New Roman"/>
          <w:color w:val="auto"/>
          <w:sz w:val="32"/>
          <w:szCs w:val="32"/>
          <w:highlight w:val="none"/>
          <w:lang w:val="en-US" w:eastAsia="zh-CN"/>
        </w:rPr>
        <w:t>根据上级文件标准，下发村干部工资及正常离任村干部生活补贴及其他必要支出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>
      <w:pPr>
        <w:pStyle w:val="13"/>
        <w:numPr>
          <w:ilvl w:val="0"/>
          <w:numId w:val="0"/>
        </w:numPr>
        <w:tabs>
          <w:tab w:val="left" w:pos="1029"/>
        </w:tabs>
        <w:spacing w:after="260" w:line="240" w:lineRule="auto"/>
        <w:ind w:firstLine="643" w:firstLineChars="200"/>
        <w:jc w:val="both"/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lang w:eastAsia="zh-CN"/>
        </w:rPr>
        <w:t>2.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</w:rPr>
        <w:t>资金落实情况。</w:t>
      </w:r>
    </w:p>
    <w:p>
      <w:pPr>
        <w:widowControl/>
        <w:numPr>
          <w:ilvl w:val="0"/>
          <w:numId w:val="0"/>
        </w:numPr>
        <w:snapToGrid w:val="0"/>
        <w:spacing w:after="0" w:line="360" w:lineRule="auto"/>
        <w:ind w:left="0" w:leftChars="0" w:firstLine="640" w:firstLineChars="200"/>
        <w:jc w:val="left"/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（1）</w:t>
      </w:r>
      <w:r>
        <w:rPr>
          <w:rFonts w:hint="eastAsia" w:ascii="仿宋_GB2312" w:eastAsia="仿宋_GB2312"/>
          <w:color w:val="000000"/>
          <w:sz w:val="32"/>
          <w:szCs w:val="32"/>
        </w:rPr>
        <w:t>资金到位。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按照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财政局年度预算安排，20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年度计划到位资金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644.18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万元，现已全部下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拨到村干部及正常离任村干部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到位率100%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0"/>
        </w:numPr>
        <w:snapToGrid w:val="0"/>
        <w:spacing w:after="0" w:line="360" w:lineRule="auto"/>
        <w:ind w:left="0" w:leftChars="0" w:firstLine="640" w:firstLineChars="200"/>
        <w:jc w:val="left"/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b w:val="0"/>
          <w:bCs w:val="0"/>
          <w:color w:val="000000"/>
          <w:sz w:val="32"/>
          <w:szCs w:val="32"/>
          <w:highlight w:val="none"/>
          <w:lang w:val="en-US" w:eastAsia="zh-CN"/>
        </w:rPr>
        <w:t>（2）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highlight w:val="none"/>
        </w:rPr>
        <w:t>资金分配。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按照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县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财政局年度预算安排，20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年度计划到位资金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644.18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万元，现已全部下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拨到村干部及正常离任村干部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CN"/>
        </w:rPr>
        <w:t>到位率100%</w:t>
      </w: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pStyle w:val="13"/>
        <w:numPr>
          <w:ilvl w:val="0"/>
          <w:numId w:val="0"/>
        </w:numPr>
        <w:tabs>
          <w:tab w:val="left" w:pos="1612"/>
        </w:tabs>
        <w:spacing w:after="260" w:line="240" w:lineRule="auto"/>
        <w:ind w:firstLine="0" w:firstLineChars="0"/>
        <w:jc w:val="both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 w:cs="宋体"/>
          <w:b w:val="0"/>
          <w:bCs w:val="0"/>
          <w:color w:val="00000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</w:rPr>
        <w:t>管理分析</w:t>
      </w:r>
    </w:p>
    <w:p>
      <w:pPr>
        <w:pStyle w:val="13"/>
        <w:numPr>
          <w:ilvl w:val="0"/>
          <w:numId w:val="0"/>
        </w:numPr>
        <w:spacing w:after="260" w:line="240" w:lineRule="auto"/>
        <w:ind w:firstLine="643" w:firstLineChars="200"/>
        <w:jc w:val="both"/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  <w:lang w:eastAsia="zh-CN"/>
        </w:rPr>
        <w:t>1.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highlight w:val="none"/>
        </w:rPr>
        <w:t>资金管理。</w:t>
      </w:r>
    </w:p>
    <w:p>
      <w:pPr>
        <w:widowControl/>
        <w:numPr>
          <w:ilvl w:val="0"/>
          <w:numId w:val="2"/>
        </w:numPr>
        <w:tabs>
          <w:tab w:val="left" w:pos="1508"/>
        </w:tabs>
        <w:snapToGrid w:val="0"/>
        <w:spacing w:after="260" w:line="360" w:lineRule="auto"/>
        <w:ind w:firstLine="640" w:firstLineChars="200"/>
        <w:jc w:val="left"/>
        <w:rPr>
          <w:rFonts w:hint="eastAsia" w:ascii="仿宋_GB2312" w:eastAsia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highlight w:val="none"/>
          <w:lang w:val="en-US" w:eastAsia="zh-CN" w:bidi="ar-SA"/>
        </w:rPr>
        <w:t>资金使用情况。通过对资金使用情况的抽查，未发现各项目实施中存在虚列、截留、挤占、挪用补助经费及超标准开支的情况。</w:t>
      </w:r>
    </w:p>
    <w:p>
      <w:pPr>
        <w:widowControl/>
        <w:numPr>
          <w:ilvl w:val="0"/>
          <w:numId w:val="0"/>
        </w:numPr>
        <w:tabs>
          <w:tab w:val="left" w:pos="1508"/>
        </w:tabs>
        <w:snapToGrid w:val="0"/>
        <w:spacing w:after="260" w:line="360" w:lineRule="auto"/>
        <w:ind w:firstLine="640" w:firstLineChars="200"/>
        <w:jc w:val="left"/>
        <w:rPr>
          <w:rFonts w:hint="eastAsia" w:ascii="仿宋_GB2312" w:hAnsi="Times New Roman" w:eastAsia="仿宋_GB2312" w:cs="Times New Roman"/>
          <w:color w:val="000000"/>
          <w:sz w:val="32"/>
          <w:szCs w:val="32"/>
          <w:highlight w:val="yellow"/>
        </w:rPr>
      </w:pPr>
      <w:r>
        <w:rPr>
          <w:rFonts w:hint="eastAsia" w:ascii="仿宋_GB2312" w:hAnsi="Times New Roman" w:eastAsia="仿宋_GB2312" w:cs="Times New Roman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(2)财务管理情况。均制定了相对完善财务管理制度。</w:t>
      </w:r>
    </w:p>
    <w:p>
      <w:pPr>
        <w:widowControl/>
        <w:numPr>
          <w:ilvl w:val="0"/>
          <w:numId w:val="3"/>
        </w:numPr>
        <w:tabs>
          <w:tab w:val="left" w:pos="1508"/>
        </w:tabs>
        <w:snapToGrid w:val="0"/>
        <w:spacing w:after="120" w:line="360" w:lineRule="auto"/>
        <w:ind w:firstLine="643" w:firstLineChars="200"/>
        <w:rPr>
          <w:rFonts w:hint="default" w:ascii="仿宋_GB2312" w:eastAsia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产出分析</w:t>
      </w:r>
    </w:p>
    <w:p>
      <w:pPr>
        <w:widowControl/>
        <w:numPr>
          <w:ilvl w:val="0"/>
          <w:numId w:val="4"/>
        </w:numPr>
        <w:tabs>
          <w:tab w:val="left" w:pos="1508"/>
        </w:tabs>
        <w:snapToGrid w:val="0"/>
        <w:spacing w:after="180" w:line="360" w:lineRule="auto"/>
        <w:ind w:firstLine="640" w:firstLineChars="200"/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项目产出情况。</w:t>
      </w:r>
    </w:p>
    <w:p>
      <w:pPr>
        <w:widowControl/>
        <w:numPr>
          <w:ilvl w:val="-1"/>
          <w:numId w:val="0"/>
        </w:numPr>
        <w:tabs>
          <w:tab w:val="left" w:pos="1508"/>
        </w:tabs>
        <w:snapToGrid w:val="0"/>
        <w:spacing w:after="180" w:line="360" w:lineRule="auto"/>
        <w:ind w:firstLine="640" w:firstLineChars="200"/>
        <w:rPr>
          <w:rFonts w:hint="default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（1）产出数量。全镇38个村（居）村干部及正常离任村干部相关补助按时发放。</w:t>
      </w:r>
    </w:p>
    <w:p>
      <w:pPr>
        <w:widowControl/>
        <w:numPr>
          <w:ilvl w:val="-1"/>
          <w:numId w:val="0"/>
        </w:numPr>
        <w:tabs>
          <w:tab w:val="left" w:pos="1508"/>
        </w:tabs>
        <w:snapToGrid w:val="0"/>
        <w:spacing w:after="180" w:line="360" w:lineRule="auto"/>
        <w:ind w:firstLine="640" w:firstLineChars="200"/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(2)产出质量。通过现场调查访谈，所有抽查的村组织运转正常，两委均能正常开展工作。</w:t>
      </w:r>
    </w:p>
    <w:p>
      <w:pPr>
        <w:widowControl/>
        <w:numPr>
          <w:ilvl w:val="-1"/>
          <w:numId w:val="0"/>
        </w:numPr>
        <w:tabs>
          <w:tab w:val="left" w:pos="1508"/>
        </w:tabs>
        <w:snapToGrid w:val="0"/>
        <w:spacing w:after="180" w:line="360" w:lineRule="auto"/>
        <w:ind w:firstLine="640" w:firstLineChars="200"/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(3)产出时效。村干部基本报酬，要通过财政直接支付，按月足额发放。</w:t>
      </w:r>
    </w:p>
    <w:p>
      <w:pPr>
        <w:widowControl/>
        <w:numPr>
          <w:ilvl w:val="0"/>
          <w:numId w:val="0"/>
        </w:numPr>
        <w:tabs>
          <w:tab w:val="left" w:pos="1508"/>
        </w:tabs>
        <w:snapToGrid w:val="0"/>
        <w:spacing w:after="120" w:line="360" w:lineRule="auto"/>
        <w:ind w:firstLine="643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（四）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效益实现度分析</w:t>
      </w:r>
    </w:p>
    <w:p>
      <w:pPr>
        <w:widowControl/>
        <w:numPr>
          <w:ilvl w:val="-1"/>
          <w:numId w:val="0"/>
        </w:numPr>
        <w:tabs>
          <w:tab w:val="left" w:pos="1508"/>
        </w:tabs>
        <w:snapToGrid w:val="0"/>
        <w:spacing w:after="180" w:line="360" w:lineRule="auto"/>
        <w:ind w:left="0" w:leftChars="0" w:firstLine="640" w:firstLineChars="200"/>
        <w:jc w:val="left"/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(1) 经济效益。该补助经费旨在保障村级组织正常运转，提高村干部的工作积极性，间接提升村集体的收入，但评价中发现，村集体的收入提高幅度不大。</w:t>
      </w:r>
    </w:p>
    <w:p>
      <w:pPr>
        <w:widowControl/>
        <w:numPr>
          <w:ilvl w:val="-1"/>
          <w:numId w:val="0"/>
        </w:numPr>
        <w:tabs>
          <w:tab w:val="left" w:pos="1508"/>
        </w:tabs>
        <w:snapToGrid w:val="0"/>
        <w:spacing w:after="180" w:line="360" w:lineRule="auto"/>
        <w:ind w:left="0" w:leftChars="0" w:firstLine="640" w:firstLineChars="200"/>
        <w:jc w:val="left"/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(2)社会效益。该补助经费对于保障村级组织正常运转发挥了重要作用，发挥了村两委基层党组织战斗堡垒作用，村干部工资与 2022 年相比有较大提高，调动了村干部的工作积极性。</w:t>
      </w:r>
    </w:p>
    <w:p>
      <w:pPr>
        <w:widowControl/>
        <w:numPr>
          <w:ilvl w:val="-1"/>
          <w:numId w:val="0"/>
        </w:numPr>
        <w:tabs>
          <w:tab w:val="left" w:pos="1508"/>
        </w:tabs>
        <w:snapToGrid w:val="0"/>
        <w:spacing w:after="180" w:line="360" w:lineRule="auto"/>
        <w:ind w:left="0" w:leftChars="0" w:firstLine="640" w:firstLineChars="200"/>
        <w:jc w:val="left"/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(3)环境效益。统一购买环卫服务，由专人对村庄的生活垃圾进行清理，提升了村民生活居住环境。</w:t>
      </w:r>
    </w:p>
    <w:p>
      <w:pPr>
        <w:widowControl/>
        <w:numPr>
          <w:ilvl w:val="-1"/>
          <w:numId w:val="0"/>
        </w:numPr>
        <w:tabs>
          <w:tab w:val="left" w:pos="1508"/>
        </w:tabs>
        <w:snapToGrid w:val="0"/>
        <w:spacing w:after="180" w:line="360" w:lineRule="auto"/>
        <w:ind w:left="0" w:leftChars="0" w:firstLine="640" w:firstLineChars="200"/>
        <w:jc w:val="left"/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(4)可持续影响。虽然在实施办法中对资金来源和经费保障做出了相应的规定，但财政收入不高的我县，在经费保障上仍有一定的难度。</w:t>
      </w:r>
    </w:p>
    <w:p>
      <w:pPr>
        <w:widowControl/>
        <w:numPr>
          <w:ilvl w:val="-1"/>
          <w:numId w:val="0"/>
        </w:numPr>
        <w:tabs>
          <w:tab w:val="left" w:pos="1508"/>
        </w:tabs>
        <w:snapToGrid w:val="0"/>
        <w:spacing w:after="180" w:line="360" w:lineRule="auto"/>
        <w:ind w:left="0" w:leftChars="0" w:firstLine="640" w:firstLineChars="200"/>
        <w:jc w:val="left"/>
        <w:rPr>
          <w:rFonts w:hint="eastAsia" w:ascii="仿宋_GB2312" w:eastAsia="仿宋_GB2312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lang w:val="en-US" w:eastAsia="zh-CN"/>
        </w:rPr>
        <w:t>(5)服务对象满意度。通过对村干部的调查访谈，满意度较高。</w:t>
      </w:r>
    </w:p>
    <w:p>
      <w:pPr>
        <w:snapToGrid w:val="0"/>
        <w:spacing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五、主要绩效。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bidi="zh-TW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lang w:bidi="zh-TW"/>
        </w:rPr>
        <w:t>村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zh-TW"/>
        </w:rPr>
        <w:t>两委相关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lang w:bidi="zh-TW"/>
        </w:rPr>
        <w:t>补助经费项目财政资金使用绩效基本达到既定目标，政策实施效果、资金使用绩效较好。</w:t>
      </w:r>
    </w:p>
    <w:p>
      <w:pPr>
        <w:numPr>
          <w:ilvl w:val="0"/>
          <w:numId w:val="5"/>
        </w:numPr>
        <w:snapToGrid w:val="0"/>
        <w:spacing w:line="360" w:lineRule="auto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存在问题。</w:t>
      </w:r>
    </w:p>
    <w:p>
      <w:pPr>
        <w:snapToGrid w:val="0"/>
        <w:spacing w:line="360" w:lineRule="auto"/>
        <w:ind w:firstLine="640" w:firstLineChars="200"/>
        <w:rPr>
          <w:rFonts w:hint="eastAsia" w:ascii="仿宋" w:hAnsi="仿宋" w:eastAsia="仿宋" w:cs="仿宋"/>
          <w:kern w:val="0"/>
          <w:sz w:val="32"/>
          <w:szCs w:val="32"/>
          <w:lang w:bidi="zh-TW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lang w:bidi="zh-TW"/>
        </w:rPr>
        <w:t>(一)建议县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zh-TW"/>
        </w:rPr>
        <w:t>级部门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lang w:bidi="zh-TW"/>
        </w:rPr>
        <w:t>综合考虑村组织大小、收入情况、两委成员人数等因素，制定资金分配办法，并严格按照办法分配资金。</w:t>
      </w:r>
    </w:p>
    <w:p>
      <w:pPr>
        <w:numPr>
          <w:ilvl w:val="0"/>
          <w:numId w:val="0"/>
        </w:numPr>
        <w:snapToGrid w:val="0"/>
        <w:spacing w:line="360" w:lineRule="auto"/>
        <w:ind w:firstLine="0" w:firstLineChars="0"/>
        <w:rPr>
          <w:rFonts w:hint="eastAsia" w:ascii="黑体" w:eastAsia="黑体"/>
          <w:sz w:val="32"/>
          <w:szCs w:val="32"/>
        </w:rPr>
      </w:pPr>
    </w:p>
    <w:sectPr>
      <w:footerReference r:id="rId3" w:type="default"/>
      <w:footerReference r:id="rId4" w:type="even"/>
      <w:pgSz w:w="11900" w:h="16840"/>
      <w:pgMar w:top="1899" w:right="1401" w:bottom="1619" w:left="1520" w:header="0" w:footer="3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0AFF" w:usb1="00007843" w:usb2="00000001" w:usb3="00000000" w:csb0="400001BF" w:csb1="DFF7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en-US" w:bidi="en-US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10154285</wp:posOffset>
              </wp:positionV>
              <wp:extent cx="589915" cy="13462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91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rPr>
                              <w:color w:val="00000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 xml:space="preserve"> -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799.55pt;height:10.6pt;width:46.45pt;mso-position-horizontal:center;mso-position-horizontal-relative:margin;mso-position-vertical-relative:page;mso-wrap-style:none;z-index:251660288;mso-width-relative:page;mso-height-relative:page;" filled="f" stroked="f" coordsize="21600,21600" o:gfxdata="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Z8ObzVAAAACQEA&#10;AA8AAAAAAAAAAQAgAAAAIgAAAGRycy9kb3ducmV2LnhtbFBLAQIUABQAAAAIAIdO4kAIsMN45AEA&#10;ALwDAAAOAAAAAAAAAAEAIAAAACQ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rPr>
                        <w:color w:val="00000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lang w:eastAsia="en-US" w:bidi="en-US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694690</wp:posOffset>
              </wp:positionH>
              <wp:positionV relativeFrom="page">
                <wp:posOffset>10151745</wp:posOffset>
              </wp:positionV>
              <wp:extent cx="589915" cy="13462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915" cy="134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5"/>
                          </w:pPr>
                          <w:r>
                            <w:rPr>
                              <w:color w:val="000000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000000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54.7pt;margin-top:799.35pt;height:10.6pt;width:46.4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c2STp2QAAAA0BAAAPAAAAAAAAAAEAIAAAACIA&#10;AABkcnMvZG93bnJldi54bWxQSwECFAAUAAAACACHTuJACc4eq88BAACXAwAADgAAAAAAAAABACAA&#10;AAAo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5"/>
                    </w:pPr>
                    <w:r>
                      <w:rPr>
                        <w:color w:val="000000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rPr>
                        <w:color w:val="000000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5F2EDB"/>
    <w:multiLevelType w:val="singleLevel"/>
    <w:tmpl w:val="295F2ED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A64CEB4"/>
    <w:multiLevelType w:val="singleLevel"/>
    <w:tmpl w:val="3A64CEB4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48CAA267"/>
    <w:multiLevelType w:val="singleLevel"/>
    <w:tmpl w:val="48CAA26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248D105"/>
    <w:multiLevelType w:val="singleLevel"/>
    <w:tmpl w:val="5248D105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75219F4C"/>
    <w:multiLevelType w:val="singleLevel"/>
    <w:tmpl w:val="75219F4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YmQ5OTRmN2FhYTg1NjA4MDhiZWRjNzk1MGEwY2UifQ=="/>
  </w:docVars>
  <w:rsids>
    <w:rsidRoot w:val="00D52AF0"/>
    <w:rsid w:val="000103F0"/>
    <w:rsid w:val="0005144A"/>
    <w:rsid w:val="001759AF"/>
    <w:rsid w:val="001C522A"/>
    <w:rsid w:val="00250902"/>
    <w:rsid w:val="00281FE6"/>
    <w:rsid w:val="002C3199"/>
    <w:rsid w:val="00477A27"/>
    <w:rsid w:val="004D1FF3"/>
    <w:rsid w:val="0058776C"/>
    <w:rsid w:val="00694323"/>
    <w:rsid w:val="007066DF"/>
    <w:rsid w:val="00797B43"/>
    <w:rsid w:val="007A73E4"/>
    <w:rsid w:val="0086303F"/>
    <w:rsid w:val="00900C88"/>
    <w:rsid w:val="0092789E"/>
    <w:rsid w:val="009809B2"/>
    <w:rsid w:val="009D01C6"/>
    <w:rsid w:val="00A26E8D"/>
    <w:rsid w:val="00A7227F"/>
    <w:rsid w:val="00A95171"/>
    <w:rsid w:val="00B052F9"/>
    <w:rsid w:val="00B549D8"/>
    <w:rsid w:val="00C46E8A"/>
    <w:rsid w:val="00D52AF0"/>
    <w:rsid w:val="00E56FC8"/>
    <w:rsid w:val="00FE1F67"/>
    <w:rsid w:val="02E9596D"/>
    <w:rsid w:val="03821B27"/>
    <w:rsid w:val="0B0C4E8F"/>
    <w:rsid w:val="0B1D258A"/>
    <w:rsid w:val="0D3117F7"/>
    <w:rsid w:val="0D3417CA"/>
    <w:rsid w:val="1087170E"/>
    <w:rsid w:val="140E7EF3"/>
    <w:rsid w:val="1AB8354F"/>
    <w:rsid w:val="1AE87641"/>
    <w:rsid w:val="1C026D4F"/>
    <w:rsid w:val="1FDE7DE1"/>
    <w:rsid w:val="1FF91CEB"/>
    <w:rsid w:val="20411ADE"/>
    <w:rsid w:val="22347421"/>
    <w:rsid w:val="268D501A"/>
    <w:rsid w:val="273F0E65"/>
    <w:rsid w:val="28A4722F"/>
    <w:rsid w:val="29713EED"/>
    <w:rsid w:val="30B42115"/>
    <w:rsid w:val="3CBE5EB1"/>
    <w:rsid w:val="3CC71A46"/>
    <w:rsid w:val="422C3B46"/>
    <w:rsid w:val="431E2CD1"/>
    <w:rsid w:val="43F6411F"/>
    <w:rsid w:val="45A711DF"/>
    <w:rsid w:val="4723555E"/>
    <w:rsid w:val="4ADA454B"/>
    <w:rsid w:val="4BA65681"/>
    <w:rsid w:val="4E7A342D"/>
    <w:rsid w:val="50AC7EFE"/>
    <w:rsid w:val="527620E7"/>
    <w:rsid w:val="542E012A"/>
    <w:rsid w:val="56210B17"/>
    <w:rsid w:val="568E6C57"/>
    <w:rsid w:val="575035BF"/>
    <w:rsid w:val="59BF7FF4"/>
    <w:rsid w:val="5BBE588F"/>
    <w:rsid w:val="5C473BE0"/>
    <w:rsid w:val="6019017A"/>
    <w:rsid w:val="62B10A90"/>
    <w:rsid w:val="65E257BB"/>
    <w:rsid w:val="6B6E2F32"/>
    <w:rsid w:val="6CEF1588"/>
    <w:rsid w:val="6EBF7D85"/>
    <w:rsid w:val="6ECD1C4E"/>
    <w:rsid w:val="74BB4393"/>
    <w:rsid w:val="76793722"/>
    <w:rsid w:val="7858415F"/>
    <w:rsid w:val="789D7348"/>
    <w:rsid w:val="7B5B1F8A"/>
    <w:rsid w:val="7BCD654A"/>
    <w:rsid w:val="7C4E1EEA"/>
    <w:rsid w:val="7F3121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1">
    <w:name w:val=" Char Char"/>
    <w:basedOn w:val="1"/>
    <w:qFormat/>
    <w:uiPriority w:val="0"/>
    <w:pPr>
      <w:widowControl/>
      <w:adjustRightInd w:val="0"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2">
    <w:name w:val="Body text|1_"/>
    <w:basedOn w:val="7"/>
    <w:link w:val="13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3">
    <w:name w:val="Body text|1"/>
    <w:basedOn w:val="1"/>
    <w:link w:val="12"/>
    <w:qFormat/>
    <w:uiPriority w:val="0"/>
    <w:pPr>
      <w:spacing w:line="439" w:lineRule="auto"/>
      <w:ind w:firstLine="400"/>
      <w:jc w:val="left"/>
    </w:pPr>
    <w:rPr>
      <w:rFonts w:ascii="宋体" w:hAnsi="宋体" w:eastAsia="宋体" w:cs="宋体"/>
      <w:kern w:val="0"/>
      <w:sz w:val="30"/>
      <w:szCs w:val="30"/>
      <w:lang w:val="zh-TW" w:eastAsia="zh-TW" w:bidi="zh-TW"/>
    </w:rPr>
  </w:style>
  <w:style w:type="character" w:customStyle="1" w:styleId="14">
    <w:name w:val="Header or footer|1_"/>
    <w:basedOn w:val="7"/>
    <w:link w:val="15"/>
    <w:qFormat/>
    <w:uiPriority w:val="0"/>
    <w:rPr>
      <w:rFonts w:ascii="宋体" w:hAnsi="宋体" w:eastAsia="宋体" w:cs="宋体"/>
      <w:b/>
      <w:bCs/>
      <w:sz w:val="30"/>
      <w:szCs w:val="30"/>
      <w:lang w:val="zh-TW" w:eastAsia="zh-TW" w:bidi="zh-TW"/>
    </w:rPr>
  </w:style>
  <w:style w:type="paragraph" w:customStyle="1" w:styleId="15">
    <w:name w:val="Header or footer|1"/>
    <w:basedOn w:val="1"/>
    <w:link w:val="14"/>
    <w:qFormat/>
    <w:uiPriority w:val="0"/>
    <w:pPr>
      <w:jc w:val="left"/>
    </w:pPr>
    <w:rPr>
      <w:rFonts w:ascii="宋体" w:hAnsi="宋体" w:eastAsia="宋体" w:cs="宋体"/>
      <w:b/>
      <w:bCs/>
      <w:kern w:val="0"/>
      <w:sz w:val="30"/>
      <w:szCs w:val="30"/>
      <w:lang w:val="zh-TW" w:eastAsia="zh-TW" w:bidi="zh-TW"/>
    </w:rPr>
  </w:style>
  <w:style w:type="character" w:customStyle="1" w:styleId="16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6</Pages>
  <Words>1726</Words>
  <Characters>1806</Characters>
  <Lines>4</Lines>
  <Paragraphs>1</Paragraphs>
  <TotalTime>11</TotalTime>
  <ScaleCrop>false</ScaleCrop>
  <LinksUpToDate>false</LinksUpToDate>
  <CharactersWithSpaces>1822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2017-02-28T01:12:00Z</dcterms:created>
  <dc:creator>崔竹英</dc:creator>
  <cp:lastModifiedBy>Leerdor</cp:lastModifiedBy>
  <cp:lastPrinted>2023-04-04T07:29:00Z</cp:lastPrinted>
  <dcterms:modified xsi:type="dcterms:W3CDTF">2023-05-06T07:23:28Z</dcterms:modified>
  <dc:title>《规程》附件3-2：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30A724F3C10C4BB99753EE99F1218E0B_13</vt:lpwstr>
  </property>
</Properties>
</file>