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方正小标宋简体" w:hAnsi="仿宋" w:eastAsia="方正小标宋简体" w:cs="仿宋"/>
          <w:bCs/>
          <w:color w:val="000000" w:themeColor="text1"/>
          <w:kern w:val="2"/>
          <w:sz w:val="21"/>
          <w:szCs w:val="21"/>
        </w:rPr>
      </w:pPr>
      <w:bookmarkStart w:id="0" w:name="OLE_LINK2"/>
      <w:bookmarkStart w:id="1" w:name="OLE_LINK1"/>
      <w:r>
        <w:rPr>
          <w:rFonts w:ascii="方正小标宋简体" w:hAnsi="仿宋" w:eastAsia="方正小标宋简体" w:cs="仿宋"/>
          <w:bCs/>
          <w:color w:val="000000" w:themeColor="text1"/>
          <w:kern w:val="2"/>
          <w:sz w:val="21"/>
          <w:szCs w:val="21"/>
        </w:rPr>
        <w:t>附件</w:t>
      </w:r>
      <w:r>
        <w:rPr>
          <w:rFonts w:hint="eastAsia" w:ascii="方正小标宋简体" w:hAnsi="仿宋" w:eastAsia="方正小标宋简体" w:cs="仿宋"/>
          <w:bCs/>
          <w:color w:val="000000" w:themeColor="text1"/>
          <w:kern w:val="2"/>
          <w:sz w:val="21"/>
          <w:szCs w:val="21"/>
        </w:rPr>
        <w:t>2：</w:t>
      </w:r>
    </w:p>
    <w:p>
      <w:pPr>
        <w:pStyle w:val="2"/>
        <w:jc w:val="center"/>
        <w:rPr>
          <w:rFonts w:ascii="方正小标宋简体" w:hAnsi="仿宋" w:eastAsia="方正小标宋简体" w:cs="仿宋"/>
          <w:bCs/>
          <w:color w:val="000000" w:themeColor="text1"/>
          <w:kern w:val="2"/>
          <w:sz w:val="36"/>
          <w:szCs w:val="36"/>
        </w:rPr>
      </w:pPr>
      <w:r>
        <w:rPr>
          <w:rFonts w:hint="eastAsia" w:ascii="方正小标宋简体" w:hAnsi="仿宋" w:eastAsia="方正小标宋简体" w:cs="仿宋"/>
          <w:bCs/>
          <w:color w:val="000000" w:themeColor="text1"/>
          <w:kern w:val="2"/>
          <w:sz w:val="36"/>
          <w:szCs w:val="36"/>
        </w:rPr>
        <w:t>整体支出绩效自评信息指标评分表</w:t>
      </w:r>
    </w:p>
    <w:p>
      <w:pPr>
        <w:pStyle w:val="2"/>
        <w:rPr>
          <w:rFonts w:ascii="方正小标宋简体" w:hAnsi="仿宋" w:eastAsia="方正小标宋简体" w:cs="仿宋"/>
          <w:bCs/>
          <w:color w:val="000000" w:themeColor="text1"/>
          <w:kern w:val="2"/>
          <w:sz w:val="36"/>
          <w:szCs w:val="36"/>
        </w:rPr>
      </w:pPr>
      <w:r>
        <w:rPr>
          <w:rFonts w:hint="eastAsia" w:ascii="仿宋_GB2312" w:hAnsi="仿宋" w:eastAsia="仿宋_GB2312" w:cs="仿宋"/>
          <w:bCs/>
          <w:color w:val="000000" w:themeColor="text1"/>
          <w:kern w:val="2"/>
          <w:sz w:val="21"/>
          <w:szCs w:val="21"/>
          <w:lang w:eastAsia="zh-CN"/>
        </w:rPr>
        <w:t>五华县征地和土地储备中心</w:t>
      </w:r>
      <w:r>
        <w:rPr>
          <w:rFonts w:hint="eastAsia" w:ascii="仿宋_GB2312" w:hAnsi="仿宋" w:eastAsia="仿宋_GB2312" w:cs="仿宋"/>
          <w:bCs/>
          <w:color w:val="000000" w:themeColor="text1"/>
          <w:kern w:val="2"/>
          <w:sz w:val="21"/>
          <w:szCs w:val="21"/>
        </w:rPr>
        <w:t>：（盖章）</w:t>
      </w:r>
    </w:p>
    <w:tbl>
      <w:tblPr>
        <w:tblStyle w:val="6"/>
        <w:tblW w:w="149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3"/>
        <w:gridCol w:w="666"/>
        <w:gridCol w:w="707"/>
        <w:gridCol w:w="708"/>
        <w:gridCol w:w="708"/>
        <w:gridCol w:w="713"/>
        <w:gridCol w:w="715"/>
        <w:gridCol w:w="2125"/>
        <w:gridCol w:w="6165"/>
        <w:gridCol w:w="16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4355" w:type="dxa"/>
            <w:gridSpan w:val="6"/>
          </w:tcPr>
          <w:p>
            <w:pPr>
              <w:pStyle w:val="10"/>
              <w:spacing w:line="200"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15" w:type="dxa"/>
            <w:vMerge w:val="restart"/>
            <w:vAlign w:val="center"/>
          </w:tcPr>
          <w:p>
            <w:pPr>
              <w:jc w:val="center"/>
              <w:rPr>
                <w:rFonts w:ascii="黑体" w:hAnsi="黑体" w:eastAsia="黑体"/>
              </w:rPr>
            </w:pPr>
            <w:r>
              <w:rPr>
                <w:rFonts w:hint="eastAsia" w:ascii="黑体" w:hAnsi="黑体" w:eastAsia="黑体"/>
              </w:rPr>
              <w:t>自评</w:t>
            </w:r>
          </w:p>
          <w:p>
            <w:pPr>
              <w:jc w:val="center"/>
            </w:pPr>
            <w:r>
              <w:rPr>
                <w:rFonts w:hint="eastAsia" w:ascii="黑体" w:hAnsi="黑体" w:eastAsia="黑体"/>
              </w:rPr>
              <w:t>分数</w:t>
            </w:r>
          </w:p>
        </w:tc>
        <w:tc>
          <w:tcPr>
            <w:tcW w:w="2125" w:type="dxa"/>
            <w:vMerge w:val="restart"/>
            <w:vAlign w:val="center"/>
          </w:tcPr>
          <w:p>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65" w:type="dxa"/>
            <w:vMerge w:val="restart"/>
            <w:vAlign w:val="center"/>
          </w:tcPr>
          <w:p>
            <w:pPr>
              <w:pStyle w:val="10"/>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17" w:type="dxa"/>
            <w:vMerge w:val="restart"/>
          </w:tcPr>
          <w:p>
            <w:pPr>
              <w:pStyle w:val="10"/>
              <w:spacing w:before="9"/>
              <w:rPr>
                <w:rFonts w:ascii="Times New Roman"/>
                <w:color w:val="000000" w:themeColor="text1"/>
                <w:kern w:val="2"/>
                <w:sz w:val="14"/>
                <w:szCs w:val="14"/>
              </w:rPr>
            </w:pPr>
          </w:p>
          <w:p>
            <w:pPr>
              <w:pStyle w:val="10"/>
              <w:spacing w:before="1"/>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66" w:type="dxa"/>
            <w:vAlign w:val="center"/>
          </w:tcPr>
          <w:p>
            <w:pPr>
              <w:pStyle w:val="10"/>
              <w:jc w:val="center"/>
              <w:rPr>
                <w:rFonts w:ascii="Times New Roman"/>
                <w:color w:val="000000" w:themeColor="text1"/>
                <w:kern w:val="2"/>
                <w:sz w:val="14"/>
                <w:szCs w:val="14"/>
              </w:rPr>
            </w:pPr>
          </w:p>
        </w:tc>
        <w:tc>
          <w:tcPr>
            <w:tcW w:w="707" w:type="dxa"/>
            <w:vAlign w:val="center"/>
          </w:tcPr>
          <w:p>
            <w:pPr>
              <w:pStyle w:val="10"/>
              <w:spacing w:before="14" w:line="116" w:lineRule="exact"/>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二级指标</w:t>
            </w:r>
          </w:p>
        </w:tc>
        <w:tc>
          <w:tcPr>
            <w:tcW w:w="708" w:type="dxa"/>
            <w:vAlign w:val="center"/>
          </w:tcPr>
          <w:p>
            <w:pPr>
              <w:pStyle w:val="10"/>
              <w:jc w:val="center"/>
              <w:rPr>
                <w:rFonts w:ascii="Times New Roman"/>
                <w:color w:val="000000" w:themeColor="text1"/>
                <w:kern w:val="2"/>
                <w:sz w:val="14"/>
                <w:szCs w:val="14"/>
              </w:rPr>
            </w:pPr>
          </w:p>
        </w:tc>
        <w:tc>
          <w:tcPr>
            <w:tcW w:w="708" w:type="dxa"/>
            <w:vAlign w:val="center"/>
          </w:tcPr>
          <w:p>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713" w:type="dxa"/>
            <w:vAlign w:val="center"/>
          </w:tcPr>
          <w:p>
            <w:pPr>
              <w:pStyle w:val="10"/>
              <w:jc w:val="center"/>
              <w:rPr>
                <w:rFonts w:ascii="Times New Roman"/>
                <w:color w:val="000000" w:themeColor="text1"/>
                <w:kern w:val="2"/>
                <w:sz w:val="14"/>
                <w:szCs w:val="14"/>
              </w:rPr>
            </w:pPr>
          </w:p>
        </w:tc>
        <w:tc>
          <w:tcPr>
            <w:tcW w:w="715" w:type="dxa"/>
            <w:vMerge w:val="continue"/>
          </w:tcPr>
          <w:p>
            <w:pPr>
              <w:pStyle w:val="10"/>
              <w:rPr>
                <w:rFonts w:ascii="Times New Roman"/>
                <w:color w:val="000000" w:themeColor="text1"/>
                <w:kern w:val="2"/>
                <w:sz w:val="14"/>
                <w:szCs w:val="14"/>
              </w:rPr>
            </w:pPr>
          </w:p>
        </w:tc>
        <w:tc>
          <w:tcPr>
            <w:tcW w:w="2125" w:type="dxa"/>
            <w:vMerge w:val="continue"/>
          </w:tcPr>
          <w:p>
            <w:pPr>
              <w:pStyle w:val="10"/>
              <w:rPr>
                <w:rFonts w:ascii="Times New Roman"/>
                <w:color w:val="000000" w:themeColor="text1"/>
                <w:kern w:val="2"/>
                <w:sz w:val="14"/>
                <w:szCs w:val="14"/>
              </w:rPr>
            </w:pPr>
          </w:p>
        </w:tc>
        <w:tc>
          <w:tcPr>
            <w:tcW w:w="6165" w:type="dxa"/>
            <w:vMerge w:val="continue"/>
          </w:tcPr>
          <w:p>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exact"/>
          <w:jc w:val="center"/>
        </w:trPr>
        <w:tc>
          <w:tcPr>
            <w:tcW w:w="853"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66"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7" w:type="dxa"/>
            <w:vAlign w:val="center"/>
          </w:tcPr>
          <w:p>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8"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08"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13"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15" w:type="dxa"/>
            <w:vMerge w:val="continue"/>
          </w:tcPr>
          <w:p>
            <w:pPr>
              <w:pStyle w:val="10"/>
              <w:rPr>
                <w:rFonts w:ascii="Times New Roman"/>
                <w:color w:val="000000" w:themeColor="text1"/>
                <w:kern w:val="2"/>
                <w:sz w:val="14"/>
                <w:szCs w:val="14"/>
              </w:rPr>
            </w:pPr>
          </w:p>
        </w:tc>
        <w:tc>
          <w:tcPr>
            <w:tcW w:w="2125" w:type="dxa"/>
            <w:vMerge w:val="continue"/>
          </w:tcPr>
          <w:p>
            <w:pPr>
              <w:pStyle w:val="10"/>
              <w:rPr>
                <w:rFonts w:ascii="Times New Roman"/>
                <w:color w:val="000000" w:themeColor="text1"/>
                <w:kern w:val="2"/>
                <w:sz w:val="14"/>
                <w:szCs w:val="14"/>
              </w:rPr>
            </w:pPr>
          </w:p>
        </w:tc>
        <w:tc>
          <w:tcPr>
            <w:tcW w:w="6165" w:type="dxa"/>
            <w:vMerge w:val="continue"/>
          </w:tcPr>
          <w:p>
            <w:pPr>
              <w:pStyle w:val="10"/>
              <w:spacing w:line="131" w:lineRule="exact"/>
              <w:jc w:val="center"/>
              <w:rPr>
                <w:rFonts w:ascii="黑体" w:eastAsia="黑体"/>
                <w:color w:val="000000" w:themeColor="text1"/>
                <w:kern w:val="2"/>
                <w:sz w:val="14"/>
                <w:szCs w:val="14"/>
              </w:rPr>
            </w:pPr>
          </w:p>
        </w:tc>
        <w:tc>
          <w:tcPr>
            <w:tcW w:w="1617"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853" w:type="dxa"/>
            <w:vMerge w:val="restart"/>
            <w:vAlign w:val="center"/>
          </w:tcPr>
          <w:p>
            <w:pPr>
              <w:pStyle w:val="10"/>
              <w:spacing w:line="232" w:lineRule="auto"/>
              <w:ind w:right="9"/>
              <w:jc w:val="center"/>
              <w:rPr>
                <w:color w:val="000000" w:themeColor="text1"/>
                <w:spacing w:val="-2"/>
                <w:kern w:val="2"/>
                <w:sz w:val="14"/>
                <w:szCs w:val="14"/>
              </w:rPr>
            </w:pPr>
            <w:r>
              <w:rPr>
                <w:color w:val="000000" w:themeColor="text1"/>
                <w:spacing w:val="-2"/>
                <w:kern w:val="2"/>
                <w:sz w:val="14"/>
                <w:szCs w:val="14"/>
              </w:rPr>
              <w:t>预算编制情况</w:t>
            </w:r>
          </w:p>
        </w:tc>
        <w:tc>
          <w:tcPr>
            <w:tcW w:w="666" w:type="dxa"/>
            <w:vMerge w:val="restart"/>
            <w:vAlign w:val="center"/>
          </w:tcPr>
          <w:p>
            <w:pPr>
              <w:pStyle w:val="10"/>
              <w:jc w:val="center"/>
              <w:rPr>
                <w:color w:val="000000" w:themeColor="text1"/>
                <w:kern w:val="2"/>
                <w:sz w:val="14"/>
                <w:szCs w:val="14"/>
              </w:rPr>
            </w:pPr>
            <w:r>
              <w:rPr>
                <w:color w:val="000000" w:themeColor="text1"/>
                <w:kern w:val="2"/>
                <w:sz w:val="14"/>
                <w:szCs w:val="14"/>
              </w:rPr>
              <w:t>28</w:t>
            </w:r>
          </w:p>
        </w:tc>
        <w:tc>
          <w:tcPr>
            <w:tcW w:w="707" w:type="dxa"/>
            <w:vMerge w:val="restart"/>
            <w:vAlign w:val="center"/>
          </w:tcPr>
          <w:p>
            <w:pPr>
              <w:pStyle w:val="10"/>
              <w:jc w:val="center"/>
              <w:rPr>
                <w:color w:val="000000" w:themeColor="text1"/>
                <w:kern w:val="2"/>
                <w:sz w:val="14"/>
                <w:szCs w:val="14"/>
              </w:rPr>
            </w:pPr>
            <w:r>
              <w:rPr>
                <w:color w:val="000000" w:themeColor="text1"/>
                <w:kern w:val="2"/>
                <w:sz w:val="14"/>
                <w:szCs w:val="14"/>
              </w:rPr>
              <w:t>预算编制</w:t>
            </w:r>
          </w:p>
        </w:tc>
        <w:tc>
          <w:tcPr>
            <w:tcW w:w="708" w:type="dxa"/>
            <w:vMerge w:val="restart"/>
            <w:vAlign w:val="center"/>
          </w:tcPr>
          <w:p>
            <w:pPr>
              <w:pStyle w:val="10"/>
              <w:ind w:right="60"/>
              <w:jc w:val="center"/>
              <w:rPr>
                <w:color w:val="000000" w:themeColor="text1"/>
                <w:kern w:val="2"/>
                <w:sz w:val="14"/>
                <w:szCs w:val="14"/>
              </w:rPr>
            </w:pPr>
            <w:r>
              <w:rPr>
                <w:color w:val="000000" w:themeColor="text1"/>
                <w:kern w:val="2"/>
                <w:sz w:val="14"/>
                <w:szCs w:val="14"/>
              </w:rPr>
              <w:t>18</w:t>
            </w:r>
          </w:p>
        </w:tc>
        <w:tc>
          <w:tcPr>
            <w:tcW w:w="708" w:type="dxa"/>
            <w:vAlign w:val="center"/>
          </w:tcPr>
          <w:p>
            <w:pPr>
              <w:pStyle w:val="10"/>
              <w:spacing w:before="1"/>
              <w:jc w:val="center"/>
              <w:rPr>
                <w:color w:val="000000" w:themeColor="text1"/>
                <w:kern w:val="2"/>
                <w:sz w:val="14"/>
                <w:szCs w:val="14"/>
              </w:rPr>
            </w:pPr>
            <w:r>
              <w:rPr>
                <w:color w:val="000000" w:themeColor="text1"/>
                <w:kern w:val="2"/>
                <w:sz w:val="14"/>
                <w:szCs w:val="14"/>
              </w:rPr>
              <w:t>预算编制合理性</w:t>
            </w:r>
          </w:p>
        </w:tc>
        <w:tc>
          <w:tcPr>
            <w:tcW w:w="713" w:type="dxa"/>
            <w:vAlign w:val="center"/>
          </w:tcPr>
          <w:p>
            <w:pPr>
              <w:pStyle w:val="10"/>
              <w:spacing w:before="1"/>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spacing w:before="71" w:line="232" w:lineRule="auto"/>
              <w:ind w:right="26"/>
              <w:jc w:val="center"/>
              <w:rPr>
                <w:rFonts w:hint="eastAsia" w:eastAsia="宋体"/>
                <w:color w:val="000000" w:themeColor="text1"/>
                <w:kern w:val="2"/>
                <w:sz w:val="14"/>
                <w:szCs w:val="14"/>
                <w:lang w:val="en-US" w:eastAsia="zh-CN"/>
              </w:rPr>
            </w:pPr>
            <w:r>
              <w:rPr>
                <w:rFonts w:hint="eastAsia"/>
                <w:color w:val="000000" w:themeColor="text1"/>
                <w:kern w:val="2"/>
                <w:sz w:val="14"/>
                <w:szCs w:val="14"/>
                <w:lang w:val="en-US" w:eastAsia="zh-CN"/>
              </w:rPr>
              <w:t>5</w:t>
            </w:r>
          </w:p>
        </w:tc>
        <w:tc>
          <w:tcPr>
            <w:tcW w:w="2125" w:type="dxa"/>
            <w:vAlign w:val="center"/>
          </w:tcPr>
          <w:p>
            <w:pPr>
              <w:pStyle w:val="10"/>
              <w:spacing w:before="71" w:line="232" w:lineRule="auto"/>
              <w:ind w:right="26"/>
              <w:jc w:val="both"/>
              <w:rPr>
                <w:color w:val="000000" w:themeColor="text1"/>
                <w:kern w:val="2"/>
                <w:sz w:val="14"/>
                <w:szCs w:val="14"/>
              </w:rPr>
            </w:pPr>
            <w:r>
              <w:rPr>
                <w:color w:val="000000" w:themeColor="text1"/>
                <w:kern w:val="2"/>
                <w:sz w:val="14"/>
                <w:szCs w:val="14"/>
              </w:rPr>
              <w:t>考核部门（单位）预算的合理性，即是否符合本部门职责、是否符合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政府的方针政策和工作要求，资金有无根据项目的轻重缓急进行分配。</w:t>
            </w:r>
          </w:p>
        </w:tc>
        <w:tc>
          <w:tcPr>
            <w:tcW w:w="6165" w:type="dxa"/>
            <w:vAlign w:val="center"/>
          </w:tcPr>
          <w:p>
            <w:pPr>
              <w:pStyle w:val="10"/>
              <w:tabs>
                <w:tab w:val="left" w:pos="268"/>
              </w:tabs>
              <w:spacing w:before="57"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部门预算编制、分配符合本部门职责、符合</w:t>
            </w:r>
            <w:r>
              <w:rPr>
                <w:rFonts w:hint="eastAsia"/>
                <w:color w:val="000000" w:themeColor="text1"/>
                <w:kern w:val="2"/>
                <w:sz w:val="14"/>
                <w:szCs w:val="14"/>
                <w:lang w:val="en-US" w:eastAsia="zh-CN"/>
              </w:rPr>
              <w:t>县</w:t>
            </w:r>
            <w:r>
              <w:rPr>
                <w:color w:val="000000" w:themeColor="text1"/>
                <w:kern w:val="2"/>
                <w:sz w:val="14"/>
                <w:szCs w:val="14"/>
              </w:rPr>
              <w:t>委</w:t>
            </w:r>
            <w:r>
              <w:rPr>
                <w:rFonts w:hint="eastAsia"/>
                <w:color w:val="000000" w:themeColor="text1"/>
                <w:kern w:val="2"/>
                <w:sz w:val="14"/>
                <w:szCs w:val="14"/>
                <w:lang w:val="en-US" w:eastAsia="zh-CN"/>
              </w:rPr>
              <w:t>县</w:t>
            </w:r>
            <w:r>
              <w:rPr>
                <w:color w:val="000000" w:themeColor="text1"/>
                <w:kern w:val="2"/>
                <w:sz w:val="14"/>
                <w:szCs w:val="14"/>
              </w:rPr>
              <w:t>政府方针政策和工作要求的，得1分；</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部门预算资金能根据年度工作重点，在不同项目、不同用途之间分配合理的，得1分；</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专项资金编制细化程度合理，未出现因年中调剂导致部门预决算差异过大的问题；</w:t>
            </w:r>
          </w:p>
          <w:p>
            <w:pPr>
              <w:pStyle w:val="10"/>
              <w:tabs>
                <w:tab w:val="left" w:pos="268"/>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功能分类和经济分类编制准确，年度中间无大量调剂，项目之间未频繁调剂的，得1分；</w:t>
            </w:r>
          </w:p>
          <w:p>
            <w:pPr>
              <w:pStyle w:val="10"/>
              <w:tabs>
                <w:tab w:val="left" w:pos="268"/>
              </w:tabs>
              <w:spacing w:before="1"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部门预算分配不固化，能根据实际情况合理调整（如不存在项目支出完成不理想但连年持续安排预算的情况等），得1分。</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rPr>
            </w:pPr>
            <w:r>
              <w:rPr>
                <w:color w:val="000000" w:themeColor="text1"/>
                <w:kern w:val="2"/>
                <w:sz w:val="14"/>
                <w:szCs w:val="14"/>
              </w:rPr>
              <w:t>预算编制规范性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5</w:t>
            </w:r>
          </w:p>
        </w:tc>
        <w:tc>
          <w:tcPr>
            <w:tcW w:w="2125" w:type="dxa"/>
            <w:vAlign w:val="center"/>
          </w:tcPr>
          <w:p>
            <w:pPr>
              <w:pStyle w:val="10"/>
              <w:spacing w:line="232" w:lineRule="auto"/>
              <w:ind w:right="84"/>
              <w:jc w:val="both"/>
              <w:rPr>
                <w:color w:val="000000" w:themeColor="text1"/>
                <w:kern w:val="2"/>
                <w:sz w:val="14"/>
                <w:szCs w:val="14"/>
              </w:rPr>
            </w:pPr>
            <w:r>
              <w:rPr>
                <w:color w:val="000000" w:themeColor="text1"/>
                <w:kern w:val="2"/>
                <w:sz w:val="14"/>
                <w:szCs w:val="14"/>
              </w:rPr>
              <w:t>考核部门（单位）预算编制是否符合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财政当年度有关预算编制的原则，例如在规范性和细致程度方面是否符合要求等。</w:t>
            </w:r>
          </w:p>
        </w:tc>
        <w:tc>
          <w:tcPr>
            <w:tcW w:w="6165" w:type="dxa"/>
            <w:vAlign w:val="center"/>
          </w:tcPr>
          <w:p>
            <w:pPr>
              <w:pStyle w:val="10"/>
              <w:spacing w:line="232" w:lineRule="auto"/>
              <w:ind w:firstLine="280" w:firstLineChars="200"/>
              <w:jc w:val="both"/>
              <w:rPr>
                <w:color w:val="000000" w:themeColor="text1"/>
                <w:kern w:val="2"/>
                <w:sz w:val="14"/>
                <w:szCs w:val="14"/>
              </w:rPr>
            </w:pPr>
            <w:r>
              <w:rPr>
                <w:color w:val="000000" w:themeColor="text1"/>
                <w:kern w:val="2"/>
                <w:sz w:val="14"/>
                <w:szCs w:val="14"/>
              </w:rPr>
              <w:t>符合</w:t>
            </w:r>
            <w:r>
              <w:rPr>
                <w:rFonts w:hint="eastAsia"/>
                <w:color w:val="000000" w:themeColor="text1"/>
                <w:kern w:val="2"/>
                <w:sz w:val="14"/>
                <w:szCs w:val="14"/>
                <w:lang w:val="en-US" w:eastAsia="zh-CN"/>
              </w:rPr>
              <w:t>县</w:t>
            </w:r>
            <w:r>
              <w:rPr>
                <w:color w:val="000000" w:themeColor="text1"/>
                <w:kern w:val="2"/>
                <w:sz w:val="14"/>
                <w:szCs w:val="14"/>
              </w:rPr>
              <w:t>财政当年度有关预算编制的原则和要求的，符合专项资金预算编制和项目库管理要求的，得5分；发现一项没有满足的扣1分，扣完为止。本指标由评价组对照相应年度的</w:t>
            </w:r>
            <w:r>
              <w:rPr>
                <w:rFonts w:hint="eastAsia"/>
                <w:color w:val="000000" w:themeColor="text1"/>
                <w:kern w:val="2"/>
                <w:sz w:val="14"/>
                <w:szCs w:val="14"/>
                <w:lang w:val="en-US" w:eastAsia="zh-CN"/>
              </w:rPr>
              <w:t>县</w:t>
            </w:r>
            <w:r>
              <w:rPr>
                <w:color w:val="000000" w:themeColor="text1"/>
                <w:kern w:val="2"/>
                <w:sz w:val="14"/>
                <w:szCs w:val="14"/>
              </w:rPr>
              <w:t>级预算编制文件和部门（单位）的部门预算，根据实际情况评定。</w:t>
            </w:r>
            <w:r>
              <w:rPr>
                <w:rFonts w:hint="eastAsia"/>
                <w:color w:val="000000" w:themeColor="text1"/>
                <w:kern w:val="2"/>
                <w:sz w:val="14"/>
                <w:szCs w:val="14"/>
                <w:lang w:val="en-US" w:eastAsia="zh-CN"/>
              </w:rPr>
              <w:t>县</w:t>
            </w:r>
            <w:r>
              <w:rPr>
                <w:color w:val="000000" w:themeColor="text1"/>
                <w:kern w:val="2"/>
                <w:sz w:val="14"/>
                <w:szCs w:val="14"/>
              </w:rPr>
              <w:t>级部门预算编制文件是指由</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印发的</w:t>
            </w:r>
            <w:r>
              <w:rPr>
                <w:rFonts w:hint="eastAsia"/>
                <w:color w:val="000000" w:themeColor="text1"/>
                <w:kern w:val="2"/>
                <w:sz w:val="14"/>
                <w:szCs w:val="14"/>
                <w:lang w:val="en-US" w:eastAsia="zh-CN"/>
              </w:rPr>
              <w:t>县</w:t>
            </w:r>
            <w:r>
              <w:rPr>
                <w:color w:val="000000" w:themeColor="text1"/>
                <w:kern w:val="2"/>
                <w:sz w:val="14"/>
                <w:szCs w:val="14"/>
              </w:rPr>
              <w:t>级预算编制工作方案和年度</w:t>
            </w:r>
            <w:r>
              <w:rPr>
                <w:rFonts w:hint="eastAsia"/>
                <w:color w:val="000000" w:themeColor="text1"/>
                <w:kern w:val="2"/>
                <w:sz w:val="14"/>
                <w:szCs w:val="14"/>
                <w:lang w:val="en-US" w:eastAsia="zh-CN"/>
              </w:rPr>
              <w:t>县</w:t>
            </w:r>
            <w:r>
              <w:rPr>
                <w:color w:val="000000" w:themeColor="text1"/>
                <w:kern w:val="2"/>
                <w:sz w:val="14"/>
                <w:szCs w:val="14"/>
              </w:rPr>
              <w:t>级部门预算编制 工作通知，以及其他与部门预算编制相关的文件和制度。</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1"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spacing w:before="93" w:line="232" w:lineRule="auto"/>
              <w:jc w:val="center"/>
              <w:rPr>
                <w:color w:val="000000" w:themeColor="text1"/>
                <w:kern w:val="2"/>
                <w:sz w:val="14"/>
                <w:szCs w:val="14"/>
              </w:rPr>
            </w:pPr>
            <w:r>
              <w:rPr>
                <w:color w:val="000000" w:themeColor="text1"/>
                <w:kern w:val="2"/>
                <w:sz w:val="14"/>
                <w:szCs w:val="14"/>
              </w:rPr>
              <w:t>财政拨款收入预决算差异率</w:t>
            </w:r>
          </w:p>
        </w:tc>
        <w:tc>
          <w:tcPr>
            <w:tcW w:w="713" w:type="dxa"/>
            <w:vAlign w:val="center"/>
          </w:tcPr>
          <w:p>
            <w:pPr>
              <w:pStyle w:val="10"/>
              <w:jc w:val="center"/>
              <w:rPr>
                <w:color w:val="000000" w:themeColor="text1"/>
                <w:kern w:val="2"/>
                <w:sz w:val="14"/>
                <w:szCs w:val="14"/>
              </w:rPr>
            </w:pPr>
            <w:r>
              <w:rPr>
                <w:color w:val="000000" w:themeColor="text1"/>
                <w:kern w:val="2"/>
                <w:sz w:val="14"/>
                <w:szCs w:val="14"/>
              </w:rPr>
              <w:t>4</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125" w:type="dxa"/>
            <w:vAlign w:val="center"/>
          </w:tcPr>
          <w:p>
            <w:pPr>
              <w:pStyle w:val="10"/>
              <w:jc w:val="both"/>
              <w:rPr>
                <w:color w:val="000000" w:themeColor="text1"/>
                <w:kern w:val="2"/>
                <w:sz w:val="14"/>
                <w:szCs w:val="14"/>
              </w:rPr>
            </w:pPr>
            <w:r>
              <w:rPr>
                <w:color w:val="000000" w:themeColor="text1"/>
                <w:kern w:val="2"/>
                <w:sz w:val="14"/>
                <w:szCs w:val="14"/>
              </w:rPr>
              <w:t>反映部门（单位）收入预算编制的准确性。</w:t>
            </w:r>
          </w:p>
        </w:tc>
        <w:tc>
          <w:tcPr>
            <w:tcW w:w="6165" w:type="dxa"/>
            <w:vAlign w:val="center"/>
          </w:tcPr>
          <w:p>
            <w:pPr>
              <w:pStyle w:val="10"/>
              <w:spacing w:before="85"/>
              <w:ind w:firstLine="280" w:firstLineChars="200"/>
              <w:jc w:val="both"/>
              <w:rPr>
                <w:color w:val="000000" w:themeColor="text1"/>
                <w:kern w:val="2"/>
                <w:sz w:val="14"/>
                <w:szCs w:val="14"/>
              </w:rPr>
            </w:pPr>
            <w:r>
              <w:rPr>
                <w:color w:val="000000" w:themeColor="text1"/>
                <w:kern w:val="2"/>
                <w:sz w:val="14"/>
                <w:szCs w:val="14"/>
              </w:rPr>
              <w:t>财政拨款收入预决算差异率=（收入决算数-收入调整预算数）/收入调整预算数*100</w:t>
            </w:r>
            <w:r>
              <w:rPr>
                <w:rFonts w:hint="eastAsia"/>
                <w:color w:val="000000" w:themeColor="text1"/>
                <w:kern w:val="2"/>
                <w:sz w:val="14"/>
                <w:szCs w:val="14"/>
              </w:rPr>
              <w:t>%</w:t>
            </w:r>
            <w:r>
              <w:rPr>
                <w:color w:val="000000" w:themeColor="text1"/>
                <w:kern w:val="2"/>
                <w:sz w:val="14"/>
                <w:szCs w:val="14"/>
              </w:rPr>
              <w:t>（取绝对值）</w:t>
            </w:r>
            <w:r>
              <w:rPr>
                <w:rFonts w:hint="eastAsia"/>
                <w:color w:val="000000" w:themeColor="text1"/>
                <w:kern w:val="2"/>
                <w:sz w:val="14"/>
                <w:szCs w:val="14"/>
              </w:rPr>
              <w:t>。</w:t>
            </w:r>
            <w:r>
              <w:rPr>
                <w:color w:val="000000" w:themeColor="text1"/>
                <w:kern w:val="2"/>
                <w:sz w:val="14"/>
                <w:szCs w:val="14"/>
              </w:rPr>
              <w:t>差异率=0，本项指标得满分；每增加5（含）扣减0.5分，直至扣完为止。</w:t>
            </w:r>
          </w:p>
        </w:tc>
        <w:tc>
          <w:tcPr>
            <w:tcW w:w="1617" w:type="dxa"/>
            <w:vAlign w:val="center"/>
          </w:tcPr>
          <w:p>
            <w:pPr>
              <w:pStyle w:val="10"/>
              <w:spacing w:before="83" w:line="232" w:lineRule="auto"/>
              <w:ind w:left="23"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4" w:hRule="atLeast"/>
          <w:jc w:val="center"/>
        </w:trPr>
        <w:tc>
          <w:tcPr>
            <w:tcW w:w="853" w:type="dxa"/>
            <w:vMerge w:val="continue"/>
            <w:tcBorders>
              <w:top w:val="nil"/>
            </w:tcBorders>
            <w:vAlign w:val="center"/>
          </w:tcPr>
          <w:p>
            <w:pPr>
              <w:jc w:val="center"/>
              <w:rPr>
                <w:color w:val="000000" w:themeColor="text1"/>
                <w:kern w:val="2"/>
                <w:sz w:val="14"/>
                <w:szCs w:val="14"/>
              </w:rPr>
            </w:pPr>
          </w:p>
        </w:tc>
        <w:tc>
          <w:tcPr>
            <w:tcW w:w="666" w:type="dxa"/>
            <w:vMerge w:val="continue"/>
            <w:tcBorders>
              <w:top w:val="nil"/>
            </w:tcBorders>
            <w:vAlign w:val="center"/>
          </w:tcPr>
          <w:p>
            <w:pPr>
              <w:jc w:val="cente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lang w:val="en-US"/>
              </w:rPr>
            </w:pPr>
            <w:r>
              <w:rPr>
                <w:rFonts w:hint="eastAsia"/>
                <w:color w:val="000000" w:themeColor="text1"/>
                <w:kern w:val="2"/>
                <w:sz w:val="14"/>
                <w:szCs w:val="14"/>
                <w:lang w:val="en-US"/>
              </w:rPr>
              <w:t>预算编制的及时性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4</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125"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反映部门是否</w:t>
            </w:r>
            <w:r>
              <w:rPr>
                <w:rFonts w:hint="eastAsia"/>
                <w:color w:val="000000" w:themeColor="text1"/>
                <w:kern w:val="2"/>
                <w:sz w:val="14"/>
                <w:szCs w:val="14"/>
                <w:lang w:val="en-US"/>
              </w:rPr>
              <w:t>在规定时间内</w:t>
            </w:r>
            <w:r>
              <w:rPr>
                <w:color w:val="000000" w:themeColor="text1"/>
                <w:kern w:val="2"/>
                <w:sz w:val="14"/>
                <w:szCs w:val="14"/>
              </w:rPr>
              <w:t>按要求</w:t>
            </w:r>
            <w:r>
              <w:rPr>
                <w:rFonts w:hint="eastAsia"/>
                <w:color w:val="000000" w:themeColor="text1"/>
                <w:kern w:val="2"/>
                <w:sz w:val="14"/>
                <w:szCs w:val="14"/>
                <w:lang w:val="en-US"/>
              </w:rPr>
              <w:t>报送年度部门预算编制</w:t>
            </w:r>
            <w:r>
              <w:rPr>
                <w:color w:val="000000" w:themeColor="text1"/>
                <w:kern w:val="2"/>
                <w:sz w:val="14"/>
                <w:szCs w:val="14"/>
              </w:rPr>
              <w:t>。</w:t>
            </w:r>
          </w:p>
        </w:tc>
        <w:tc>
          <w:tcPr>
            <w:tcW w:w="6165" w:type="dxa"/>
            <w:vAlign w:val="center"/>
          </w:tcPr>
          <w:p>
            <w:pPr>
              <w:pStyle w:val="10"/>
              <w:spacing w:line="232" w:lineRule="auto"/>
              <w:ind w:left="24" w:firstLine="280" w:firstLineChars="200"/>
              <w:jc w:val="both"/>
              <w:rPr>
                <w:color w:val="000000" w:themeColor="text1"/>
                <w:kern w:val="2"/>
                <w:sz w:val="14"/>
                <w:szCs w:val="14"/>
                <w:lang w:val="en-US"/>
              </w:rPr>
            </w:pPr>
            <w:r>
              <w:rPr>
                <w:rFonts w:hint="eastAsia"/>
                <w:color w:val="000000" w:themeColor="text1"/>
                <w:kern w:val="2"/>
                <w:sz w:val="14"/>
                <w:szCs w:val="14"/>
                <w:lang w:val="en-US"/>
              </w:rPr>
              <w:t>考核部门预算编制的及时性，在财政部门规定的时间内报送得满分，超过1天扣减1分，以此计算，扣完4分为止。</w:t>
            </w:r>
          </w:p>
        </w:tc>
        <w:tc>
          <w:tcPr>
            <w:tcW w:w="1617"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jc w:val="center"/>
        </w:trPr>
        <w:tc>
          <w:tcPr>
            <w:tcW w:w="853" w:type="dxa"/>
            <w:vMerge w:val="continue"/>
            <w:tcBorders>
              <w:top w:val="nil"/>
            </w:tcBorders>
          </w:tcPr>
          <w:p>
            <w:pPr>
              <w:rPr>
                <w:color w:val="000000" w:themeColor="text1"/>
                <w:kern w:val="2"/>
                <w:sz w:val="14"/>
                <w:szCs w:val="14"/>
              </w:rPr>
            </w:pPr>
          </w:p>
        </w:tc>
        <w:tc>
          <w:tcPr>
            <w:tcW w:w="666" w:type="dxa"/>
            <w:vMerge w:val="continue"/>
            <w:tcBorders>
              <w:top w:val="nil"/>
            </w:tcBorders>
          </w:tcPr>
          <w:p>
            <w:pPr>
              <w:rPr>
                <w:color w:val="000000" w:themeColor="text1"/>
                <w:kern w:val="2"/>
                <w:sz w:val="14"/>
                <w:szCs w:val="14"/>
              </w:rPr>
            </w:pPr>
          </w:p>
        </w:tc>
        <w:tc>
          <w:tcPr>
            <w:tcW w:w="707" w:type="dxa"/>
            <w:vMerge w:val="restart"/>
            <w:vAlign w:val="center"/>
          </w:tcPr>
          <w:p>
            <w:pPr>
              <w:pStyle w:val="10"/>
              <w:jc w:val="center"/>
              <w:rPr>
                <w:color w:val="000000" w:themeColor="text1"/>
                <w:kern w:val="2"/>
                <w:sz w:val="14"/>
                <w:szCs w:val="14"/>
              </w:rPr>
            </w:pPr>
            <w:r>
              <w:rPr>
                <w:color w:val="000000" w:themeColor="text1"/>
                <w:kern w:val="2"/>
                <w:sz w:val="14"/>
                <w:szCs w:val="14"/>
              </w:rPr>
              <w:t>目标设置</w:t>
            </w:r>
          </w:p>
        </w:tc>
        <w:tc>
          <w:tcPr>
            <w:tcW w:w="708" w:type="dxa"/>
            <w:vMerge w:val="restart"/>
            <w:vAlign w:val="center"/>
          </w:tcPr>
          <w:p>
            <w:pPr>
              <w:pStyle w:val="10"/>
              <w:jc w:val="center"/>
              <w:rPr>
                <w:color w:val="000000" w:themeColor="text1"/>
                <w:kern w:val="2"/>
                <w:sz w:val="14"/>
                <w:szCs w:val="14"/>
              </w:rPr>
            </w:pPr>
            <w:r>
              <w:rPr>
                <w:color w:val="000000" w:themeColor="text1"/>
                <w:kern w:val="2"/>
                <w:sz w:val="14"/>
                <w:szCs w:val="14"/>
              </w:rPr>
              <w:t>10</w:t>
            </w:r>
          </w:p>
        </w:tc>
        <w:tc>
          <w:tcPr>
            <w:tcW w:w="708" w:type="dxa"/>
            <w:vAlign w:val="center"/>
          </w:tcPr>
          <w:p>
            <w:pPr>
              <w:pStyle w:val="10"/>
              <w:jc w:val="center"/>
              <w:rPr>
                <w:color w:val="000000" w:themeColor="text1"/>
                <w:kern w:val="2"/>
                <w:sz w:val="14"/>
                <w:szCs w:val="14"/>
              </w:rPr>
            </w:pPr>
            <w:r>
              <w:rPr>
                <w:color w:val="000000" w:themeColor="text1"/>
                <w:kern w:val="2"/>
                <w:sz w:val="14"/>
                <w:szCs w:val="14"/>
              </w:rPr>
              <w:t>绩效目标合理性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5</w:t>
            </w:r>
          </w:p>
        </w:tc>
        <w:tc>
          <w:tcPr>
            <w:tcW w:w="2125"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部门（单位）所设立的整体绩效目标是否依据充分，是否符合客观实际，用以反映和评价部门（单位）设立的绩效目标与部门履职和年度工作任务的相符性。</w:t>
            </w:r>
          </w:p>
        </w:tc>
        <w:tc>
          <w:tcPr>
            <w:tcW w:w="6165" w:type="dxa"/>
            <w:vAlign w:val="center"/>
          </w:tcPr>
          <w:p>
            <w:pPr>
              <w:pStyle w:val="10"/>
              <w:tabs>
                <w:tab w:val="left" w:pos="389"/>
              </w:tabs>
              <w:spacing w:before="93" w:line="152"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整体绩效目标能体现部门（单位）“三定”方案规定的部门职能的，得1分；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整体绩效目标能体现部门（单位）中长期规划和年度工作计划的，得1分；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整体绩效目标能分解成具体工作任务的，得1分；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整体绩效目标与本年度部门预算资金相匹配的，得1分；</w:t>
            </w:r>
          </w:p>
          <w:p>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5.</w:t>
            </w:r>
            <w:r>
              <w:rPr>
                <w:color w:val="000000" w:themeColor="text1"/>
                <w:kern w:val="2"/>
                <w:sz w:val="14"/>
                <w:szCs w:val="14"/>
              </w:rPr>
              <w:t>部门申报的项目有进行可行性研究和充分论证的，得1分；对上述5项标准，没有完全符合的，可酌情扣分。</w:t>
            </w:r>
          </w:p>
        </w:tc>
        <w:tc>
          <w:tcPr>
            <w:tcW w:w="1617" w:type="dxa"/>
          </w:tcPr>
          <w:p>
            <w:pPr>
              <w:pStyle w:val="10"/>
              <w:rPr>
                <w:rFonts w:ascii="Times New Roman"/>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2" w:hRule="atLeast"/>
          <w:jc w:val="center"/>
        </w:trPr>
        <w:tc>
          <w:tcPr>
            <w:tcW w:w="853" w:type="dxa"/>
            <w:vMerge w:val="continue"/>
            <w:tcBorders>
              <w:top w:val="nil"/>
            </w:tcBorders>
          </w:tcPr>
          <w:p>
            <w:pPr>
              <w:rPr>
                <w:color w:val="000000" w:themeColor="text1"/>
                <w:kern w:val="2"/>
                <w:sz w:val="14"/>
                <w:szCs w:val="14"/>
              </w:rPr>
            </w:pPr>
          </w:p>
        </w:tc>
        <w:tc>
          <w:tcPr>
            <w:tcW w:w="666" w:type="dxa"/>
            <w:vMerge w:val="continue"/>
            <w:tcBorders>
              <w:top w:val="nil"/>
            </w:tcBorders>
          </w:tcPr>
          <w:p>
            <w:pPr>
              <w:rPr>
                <w:color w:val="000000" w:themeColor="text1"/>
                <w:kern w:val="2"/>
                <w:sz w:val="14"/>
                <w:szCs w:val="14"/>
              </w:rPr>
            </w:pPr>
          </w:p>
        </w:tc>
        <w:tc>
          <w:tcPr>
            <w:tcW w:w="707" w:type="dxa"/>
            <w:vMerge w:val="continue"/>
            <w:tcBorders>
              <w:top w:val="nil"/>
            </w:tcBorders>
            <w:vAlign w:val="center"/>
          </w:tcPr>
          <w:p>
            <w:pPr>
              <w:jc w:val="center"/>
              <w:rPr>
                <w:color w:val="000000" w:themeColor="text1"/>
                <w:kern w:val="2"/>
                <w:sz w:val="14"/>
                <w:szCs w:val="14"/>
              </w:rPr>
            </w:pPr>
          </w:p>
        </w:tc>
        <w:tc>
          <w:tcPr>
            <w:tcW w:w="708" w:type="dxa"/>
            <w:vMerge w:val="continue"/>
            <w:tcBorders>
              <w:top w:val="nil"/>
            </w:tcBorders>
            <w:vAlign w:val="center"/>
          </w:tcPr>
          <w:p>
            <w:pPr>
              <w:jc w:val="center"/>
              <w:rPr>
                <w:color w:val="000000" w:themeColor="text1"/>
                <w:kern w:val="2"/>
                <w:sz w:val="14"/>
                <w:szCs w:val="14"/>
              </w:rPr>
            </w:pPr>
          </w:p>
        </w:tc>
        <w:tc>
          <w:tcPr>
            <w:tcW w:w="708" w:type="dxa"/>
            <w:vAlign w:val="center"/>
          </w:tcPr>
          <w:p>
            <w:pPr>
              <w:pStyle w:val="10"/>
              <w:jc w:val="center"/>
              <w:rPr>
                <w:color w:val="000000" w:themeColor="text1"/>
                <w:kern w:val="2"/>
                <w:sz w:val="14"/>
                <w:szCs w:val="14"/>
              </w:rPr>
            </w:pPr>
            <w:r>
              <w:rPr>
                <w:color w:val="000000" w:themeColor="text1"/>
                <w:kern w:val="2"/>
                <w:sz w:val="14"/>
                <w:szCs w:val="14"/>
              </w:rPr>
              <w:t>绩效指标明确性</w:t>
            </w:r>
          </w:p>
        </w:tc>
        <w:tc>
          <w:tcPr>
            <w:tcW w:w="713" w:type="dxa"/>
            <w:vAlign w:val="center"/>
          </w:tcPr>
          <w:p>
            <w:pPr>
              <w:pStyle w:val="10"/>
              <w:jc w:val="center"/>
              <w:rPr>
                <w:color w:val="000000" w:themeColor="text1"/>
                <w:kern w:val="2"/>
                <w:sz w:val="14"/>
                <w:szCs w:val="14"/>
              </w:rPr>
            </w:pPr>
            <w:r>
              <w:rPr>
                <w:color w:val="000000" w:themeColor="text1"/>
                <w:kern w:val="2"/>
                <w:sz w:val="14"/>
                <w:szCs w:val="14"/>
              </w:rPr>
              <w:t>5</w:t>
            </w:r>
          </w:p>
        </w:tc>
        <w:tc>
          <w:tcPr>
            <w:tcW w:w="71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5</w:t>
            </w:r>
          </w:p>
        </w:tc>
        <w:tc>
          <w:tcPr>
            <w:tcW w:w="2125" w:type="dxa"/>
            <w:vAlign w:val="center"/>
          </w:tcPr>
          <w:p>
            <w:pPr>
              <w:pStyle w:val="10"/>
              <w:spacing w:line="235" w:lineRule="auto"/>
              <w:ind w:right="86"/>
              <w:jc w:val="both"/>
              <w:rPr>
                <w:color w:val="000000" w:themeColor="text1"/>
                <w:kern w:val="2"/>
                <w:sz w:val="14"/>
                <w:szCs w:val="14"/>
              </w:rPr>
            </w:pPr>
            <w:r>
              <w:rPr>
                <w:color w:val="000000" w:themeColor="text1"/>
                <w:kern w:val="2"/>
                <w:sz w:val="14"/>
                <w:szCs w:val="14"/>
              </w:rPr>
              <w:t>部门（单位）依据整体绩效目标所设定的绩效指标是否清晰、细化、可量化，用以反映和考核部门（单位）整体绩效目标的明细化情况。</w:t>
            </w:r>
          </w:p>
        </w:tc>
        <w:tc>
          <w:tcPr>
            <w:tcW w:w="6165" w:type="dxa"/>
            <w:vAlign w:val="center"/>
          </w:tcPr>
          <w:p>
            <w:pPr>
              <w:pStyle w:val="10"/>
              <w:tabs>
                <w:tab w:val="left" w:pos="389"/>
              </w:tabs>
              <w:spacing w:line="151"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绩效指标中包含能够明确体现部门（单位）履职效果的社会经济效益指标的，得2分；</w:t>
            </w:r>
          </w:p>
          <w:p>
            <w:pPr>
              <w:pStyle w:val="10"/>
              <w:tabs>
                <w:tab w:val="left" w:pos="389"/>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绩效指标具有清晰、可衡量的指标值的，得1分；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绩效指标包含可量化的指标的，得1分；完全没有可量化的指标的，不得分；</w:t>
            </w:r>
          </w:p>
          <w:p>
            <w:pPr>
              <w:pStyle w:val="10"/>
              <w:tabs>
                <w:tab w:val="left" w:pos="389"/>
              </w:tabs>
              <w:spacing w:before="2"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绩效目标的目标值测算能提供相关依据或符合客观实际情况的，得1分；对上述4项标准，没有完全符合的，可酌情扣分。</w:t>
            </w:r>
          </w:p>
        </w:tc>
        <w:tc>
          <w:tcPr>
            <w:tcW w:w="1617" w:type="dxa"/>
          </w:tcPr>
          <w:p>
            <w:pPr>
              <w:pStyle w:val="10"/>
              <w:rPr>
                <w:rFonts w:ascii="Times New Roman"/>
                <w:color w:val="000000" w:themeColor="text1"/>
                <w:kern w:val="2"/>
                <w:sz w:val="14"/>
                <w:szCs w:val="14"/>
              </w:rPr>
            </w:pPr>
          </w:p>
        </w:tc>
      </w:tr>
    </w:tbl>
    <w:p>
      <w:pPr>
        <w:rPr>
          <w:rFonts w:ascii="Times New Roman"/>
          <w:color w:val="000000" w:themeColor="text1"/>
          <w:kern w:val="2"/>
          <w:sz w:val="12"/>
        </w:rPr>
        <w:sectPr>
          <w:footerReference r:id="rId3" w:type="default"/>
          <w:footerReference r:id="rId4" w:type="even"/>
          <w:pgSz w:w="16840" w:h="11900" w:orient="landscape"/>
          <w:pgMar w:top="1134" w:right="1418" w:bottom="1134" w:left="1418" w:header="0" w:footer="737" w:gutter="0"/>
          <w:cols w:space="720" w:num="1"/>
        </w:sectPr>
      </w:pPr>
    </w:p>
    <w:p>
      <w:pPr>
        <w:pStyle w:val="2"/>
        <w:rPr>
          <w:rFonts w:ascii="Times New Roman"/>
          <w:color w:val="000000" w:themeColor="text1"/>
          <w:kern w:val="2"/>
          <w:sz w:val="20"/>
        </w:rPr>
      </w:pPr>
      <w:r>
        <w:rPr>
          <w:color w:val="000000" w:themeColor="text1"/>
          <w:kern w:val="2"/>
        </w:rPr>
        <w:pict>
          <v:shape id="_x0000_s1040" o:spid="_x0000_s1040" style="position:absolute;left:0pt;margin-left:930.55pt;margin-top:1.8pt;height:48.15pt;width:67.95pt;mso-position-horizontal-relative:page;mso-position-vertical-relative:page;z-index:-251656192;mso-width-relative:page;mso-height-relative:page;" stroked="f" coordorigin="1034,2" coordsize="1359,963" path="m1359,0l1359,0,0,0,0,963,28,963,57,963,1301,963,1330,963,1359,963,1359,0e">
            <v:path arrowok="t"/>
            <v:fill focussize="0,0"/>
            <v:stroke on="f"/>
            <v:imagedata o:title=""/>
            <o:lock v:ext="edit"/>
          </v:shape>
        </w:pict>
      </w:r>
    </w:p>
    <w:tbl>
      <w:tblPr>
        <w:tblStyle w:val="6"/>
        <w:tblW w:w="150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8"/>
        <w:gridCol w:w="690"/>
        <w:gridCol w:w="448"/>
        <w:gridCol w:w="700"/>
        <w:gridCol w:w="994"/>
        <w:gridCol w:w="672"/>
        <w:gridCol w:w="795"/>
        <w:gridCol w:w="2099"/>
        <w:gridCol w:w="6173"/>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hRule="exact"/>
          <w:jc w:val="center"/>
        </w:trPr>
        <w:tc>
          <w:tcPr>
            <w:tcW w:w="4382" w:type="dxa"/>
            <w:gridSpan w:val="6"/>
            <w:vAlign w:val="center"/>
          </w:tcPr>
          <w:p>
            <w:pPr>
              <w:pStyle w:val="10"/>
              <w:spacing w:line="131" w:lineRule="exact"/>
              <w:ind w:left="1623" w:right="1607"/>
              <w:jc w:val="center"/>
              <w:rPr>
                <w:rFonts w:ascii="黑体" w:eastAsia="黑体"/>
                <w:color w:val="000000" w:themeColor="text1"/>
                <w:kern w:val="2"/>
                <w:sz w:val="14"/>
                <w:szCs w:val="14"/>
              </w:rPr>
            </w:pPr>
            <w:r>
              <w:rPr>
                <w:rFonts w:hint="eastAsia" w:ascii="黑体" w:eastAsia="黑体"/>
                <w:color w:val="000000" w:themeColor="text1"/>
                <w:kern w:val="2"/>
                <w:sz w:val="14"/>
                <w:szCs w:val="14"/>
              </w:rPr>
              <w:t>评价指标</w:t>
            </w:r>
          </w:p>
        </w:tc>
        <w:tc>
          <w:tcPr>
            <w:tcW w:w="795" w:type="dxa"/>
            <w:vMerge w:val="restart"/>
            <w:vAlign w:val="center"/>
          </w:tcPr>
          <w:p>
            <w:pPr>
              <w:jc w:val="center"/>
              <w:rPr>
                <w:rFonts w:ascii="黑体" w:hAnsi="黑体" w:eastAsia="黑体"/>
              </w:rPr>
            </w:pPr>
            <w:r>
              <w:rPr>
                <w:rFonts w:hint="eastAsia" w:ascii="黑体" w:hAnsi="黑体" w:eastAsia="黑体"/>
              </w:rPr>
              <w:t>自评</w:t>
            </w:r>
          </w:p>
          <w:p>
            <w:pPr>
              <w:jc w:val="center"/>
              <w:rPr>
                <w:rFonts w:ascii="黑体" w:hAnsi="黑体" w:eastAsia="黑体"/>
              </w:rPr>
            </w:pPr>
            <w:r>
              <w:rPr>
                <w:rFonts w:hint="eastAsia" w:ascii="黑体" w:hAnsi="黑体" w:eastAsia="黑体"/>
              </w:rPr>
              <w:t>分数</w:t>
            </w:r>
          </w:p>
        </w:tc>
        <w:tc>
          <w:tcPr>
            <w:tcW w:w="2099" w:type="dxa"/>
            <w:vMerge w:val="restart"/>
            <w:vAlign w:val="center"/>
          </w:tcPr>
          <w:p>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6173" w:type="dxa"/>
            <w:vMerge w:val="restart"/>
            <w:vAlign w:val="center"/>
          </w:tcPr>
          <w:p>
            <w:pPr>
              <w:pStyle w:val="10"/>
              <w:spacing w:line="131" w:lineRule="exact"/>
              <w:ind w:left="2773"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评分标准</w:t>
            </w:r>
          </w:p>
        </w:tc>
        <w:tc>
          <w:tcPr>
            <w:tcW w:w="1650" w:type="dxa"/>
            <w:vMerge w:val="restart"/>
          </w:tcPr>
          <w:p>
            <w:pPr>
              <w:pStyle w:val="10"/>
              <w:spacing w:before="9"/>
              <w:rPr>
                <w:rFonts w:ascii="Times New Roman"/>
                <w:color w:val="000000" w:themeColor="text1"/>
                <w:kern w:val="2"/>
                <w:sz w:val="14"/>
                <w:szCs w:val="14"/>
              </w:rPr>
            </w:pPr>
          </w:p>
          <w:p>
            <w:pPr>
              <w:pStyle w:val="10"/>
              <w:ind w:left="659" w:right="649"/>
              <w:jc w:val="center"/>
              <w:rPr>
                <w:rFonts w:ascii="黑体" w:eastAsia="黑体"/>
                <w:color w:val="000000" w:themeColor="text1"/>
                <w:kern w:val="2"/>
                <w:sz w:val="14"/>
                <w:szCs w:val="14"/>
              </w:rPr>
            </w:pPr>
            <w:r>
              <w:rPr>
                <w:rFonts w:hint="eastAsia" w:ascii="黑体" w:eastAsia="黑体"/>
                <w:color w:val="000000" w:themeColor="text1"/>
                <w:kern w:val="2"/>
                <w:sz w:val="14"/>
                <w:szCs w:val="1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exact"/>
          <w:jc w:val="center"/>
        </w:trPr>
        <w:tc>
          <w:tcPr>
            <w:tcW w:w="878" w:type="dxa"/>
            <w:vAlign w:val="center"/>
          </w:tcPr>
          <w:p>
            <w:pPr>
              <w:pStyle w:val="10"/>
              <w:spacing w:before="14" w:line="116" w:lineRule="exact"/>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一级指标</w:t>
            </w:r>
          </w:p>
        </w:tc>
        <w:tc>
          <w:tcPr>
            <w:tcW w:w="690" w:type="dxa"/>
            <w:vAlign w:val="center"/>
          </w:tcPr>
          <w:p>
            <w:pPr>
              <w:pStyle w:val="10"/>
              <w:jc w:val="center"/>
              <w:rPr>
                <w:rFonts w:ascii="Times New Roman"/>
                <w:color w:val="000000" w:themeColor="text1"/>
                <w:kern w:val="2"/>
                <w:sz w:val="14"/>
                <w:szCs w:val="14"/>
              </w:rPr>
            </w:pPr>
          </w:p>
        </w:tc>
        <w:tc>
          <w:tcPr>
            <w:tcW w:w="448" w:type="dxa"/>
            <w:vAlign w:val="center"/>
          </w:tcPr>
          <w:p>
            <w:pPr>
              <w:pStyle w:val="10"/>
              <w:spacing w:before="14" w:line="116" w:lineRule="exact"/>
              <w:ind w:left="25"/>
              <w:jc w:val="center"/>
              <w:rPr>
                <w:rFonts w:ascii="黑体" w:eastAsia="黑体"/>
                <w:color w:val="000000" w:themeColor="text1"/>
                <w:spacing w:val="-2"/>
                <w:kern w:val="2"/>
                <w:sz w:val="14"/>
                <w:szCs w:val="14"/>
              </w:rPr>
            </w:pPr>
            <w:r>
              <w:rPr>
                <w:rFonts w:hint="eastAsia" w:ascii="黑体" w:eastAsia="黑体"/>
                <w:color w:val="000000" w:themeColor="text1"/>
                <w:spacing w:val="-2"/>
                <w:kern w:val="2"/>
                <w:sz w:val="14"/>
                <w:szCs w:val="14"/>
              </w:rPr>
              <w:t>二级指标</w:t>
            </w:r>
          </w:p>
        </w:tc>
        <w:tc>
          <w:tcPr>
            <w:tcW w:w="700" w:type="dxa"/>
            <w:vAlign w:val="center"/>
          </w:tcPr>
          <w:p>
            <w:pPr>
              <w:pStyle w:val="10"/>
              <w:jc w:val="center"/>
              <w:rPr>
                <w:rFonts w:ascii="Times New Roman"/>
                <w:color w:val="000000" w:themeColor="text1"/>
                <w:kern w:val="2"/>
                <w:sz w:val="14"/>
                <w:szCs w:val="14"/>
              </w:rPr>
            </w:pPr>
          </w:p>
        </w:tc>
        <w:tc>
          <w:tcPr>
            <w:tcW w:w="994" w:type="dxa"/>
            <w:vAlign w:val="center"/>
          </w:tcPr>
          <w:p>
            <w:pPr>
              <w:pStyle w:val="10"/>
              <w:spacing w:before="14" w:line="116" w:lineRule="exact"/>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三级指标</w:t>
            </w:r>
          </w:p>
        </w:tc>
        <w:tc>
          <w:tcPr>
            <w:tcW w:w="672" w:type="dxa"/>
            <w:vAlign w:val="center"/>
          </w:tcPr>
          <w:p>
            <w:pPr>
              <w:pStyle w:val="10"/>
              <w:jc w:val="center"/>
              <w:rPr>
                <w:rFonts w:ascii="Times New Roman"/>
                <w:color w:val="000000" w:themeColor="text1"/>
                <w:kern w:val="2"/>
                <w:sz w:val="14"/>
                <w:szCs w:val="14"/>
              </w:rPr>
            </w:pPr>
          </w:p>
        </w:tc>
        <w:tc>
          <w:tcPr>
            <w:tcW w:w="795" w:type="dxa"/>
            <w:vMerge w:val="continue"/>
          </w:tcPr>
          <w:p>
            <w:pPr>
              <w:pStyle w:val="10"/>
              <w:rPr>
                <w:rFonts w:ascii="Times New Roman"/>
                <w:color w:val="000000" w:themeColor="text1"/>
                <w:kern w:val="2"/>
                <w:sz w:val="14"/>
                <w:szCs w:val="14"/>
              </w:rPr>
            </w:pPr>
          </w:p>
        </w:tc>
        <w:tc>
          <w:tcPr>
            <w:tcW w:w="2099" w:type="dxa"/>
            <w:vMerge w:val="continue"/>
          </w:tcPr>
          <w:p>
            <w:pPr>
              <w:pStyle w:val="10"/>
              <w:rPr>
                <w:rFonts w:ascii="Times New Roman"/>
                <w:color w:val="000000" w:themeColor="text1"/>
                <w:kern w:val="2"/>
                <w:sz w:val="14"/>
                <w:szCs w:val="14"/>
              </w:rPr>
            </w:pPr>
          </w:p>
        </w:tc>
        <w:tc>
          <w:tcPr>
            <w:tcW w:w="6173" w:type="dxa"/>
            <w:vMerge w:val="continue"/>
          </w:tcPr>
          <w:p>
            <w:pPr>
              <w:pStyle w:val="10"/>
              <w:rPr>
                <w:rFonts w:ascii="Times New Roman"/>
                <w:color w:val="000000" w:themeColor="text1"/>
                <w:kern w:val="2"/>
                <w:sz w:val="14"/>
                <w:szCs w:val="14"/>
              </w:rPr>
            </w:pPr>
          </w:p>
        </w:tc>
        <w:tc>
          <w:tcPr>
            <w:tcW w:w="1650"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hRule="exact"/>
          <w:jc w:val="center"/>
        </w:trPr>
        <w:tc>
          <w:tcPr>
            <w:tcW w:w="878"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90" w:type="dxa"/>
            <w:vAlign w:val="center"/>
          </w:tcPr>
          <w:p>
            <w:pPr>
              <w:pStyle w:val="10"/>
              <w:spacing w:before="46"/>
              <w:ind w:left="23"/>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448" w:type="dxa"/>
            <w:vAlign w:val="center"/>
          </w:tcPr>
          <w:p>
            <w:pPr>
              <w:pStyle w:val="10"/>
              <w:spacing w:before="46"/>
              <w:ind w:left="25"/>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700"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权重（ </w:t>
            </w:r>
            <w:r>
              <w:rPr>
                <w:rFonts w:ascii="黑体" w:eastAsia="黑体"/>
                <w:color w:val="000000" w:themeColor="text1"/>
                <w:kern w:val="2"/>
                <w:sz w:val="14"/>
                <w:szCs w:val="14"/>
              </w:rPr>
              <w:t>）</w:t>
            </w:r>
          </w:p>
        </w:tc>
        <w:tc>
          <w:tcPr>
            <w:tcW w:w="994"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名称</w:t>
            </w:r>
          </w:p>
        </w:tc>
        <w:tc>
          <w:tcPr>
            <w:tcW w:w="672" w:type="dxa"/>
            <w:vAlign w:val="center"/>
          </w:tcPr>
          <w:p>
            <w:pPr>
              <w:pStyle w:val="10"/>
              <w:spacing w:before="46"/>
              <w:ind w:left="24"/>
              <w:jc w:val="center"/>
              <w:rPr>
                <w:rFonts w:ascii="黑体" w:eastAsia="黑体"/>
                <w:color w:val="000000" w:themeColor="text1"/>
                <w:kern w:val="2"/>
                <w:sz w:val="14"/>
                <w:szCs w:val="14"/>
              </w:rPr>
            </w:pPr>
            <w:r>
              <w:rPr>
                <w:rFonts w:hint="eastAsia" w:ascii="黑体" w:eastAsia="黑体"/>
                <w:color w:val="000000" w:themeColor="text1"/>
                <w:kern w:val="2"/>
                <w:sz w:val="14"/>
                <w:szCs w:val="14"/>
              </w:rPr>
              <w:t>权重（ ）</w:t>
            </w:r>
          </w:p>
        </w:tc>
        <w:tc>
          <w:tcPr>
            <w:tcW w:w="795" w:type="dxa"/>
            <w:vMerge w:val="continue"/>
          </w:tcPr>
          <w:p>
            <w:pPr>
              <w:pStyle w:val="10"/>
              <w:rPr>
                <w:rFonts w:ascii="Times New Roman"/>
                <w:color w:val="000000" w:themeColor="text1"/>
                <w:kern w:val="2"/>
                <w:sz w:val="14"/>
                <w:szCs w:val="14"/>
              </w:rPr>
            </w:pPr>
          </w:p>
        </w:tc>
        <w:tc>
          <w:tcPr>
            <w:tcW w:w="2099" w:type="dxa"/>
            <w:vMerge w:val="continue"/>
          </w:tcPr>
          <w:p>
            <w:pPr>
              <w:pStyle w:val="10"/>
              <w:rPr>
                <w:rFonts w:ascii="Times New Roman"/>
                <w:color w:val="000000" w:themeColor="text1"/>
                <w:kern w:val="2"/>
                <w:sz w:val="14"/>
                <w:szCs w:val="14"/>
              </w:rPr>
            </w:pPr>
          </w:p>
        </w:tc>
        <w:tc>
          <w:tcPr>
            <w:tcW w:w="6173" w:type="dxa"/>
            <w:vMerge w:val="continue"/>
          </w:tcPr>
          <w:p>
            <w:pPr>
              <w:pStyle w:val="10"/>
              <w:rPr>
                <w:rFonts w:ascii="Times New Roman"/>
                <w:color w:val="000000" w:themeColor="text1"/>
                <w:kern w:val="2"/>
                <w:sz w:val="14"/>
                <w:szCs w:val="14"/>
              </w:rPr>
            </w:pPr>
          </w:p>
        </w:tc>
        <w:tc>
          <w:tcPr>
            <w:tcW w:w="1650" w:type="dxa"/>
            <w:vMerge w:val="continue"/>
            <w:tcBorders>
              <w:top w:val="nil"/>
            </w:tcBorders>
          </w:tcPr>
          <w:p>
            <w:pPr>
              <w:rPr>
                <w:color w:val="000000" w:themeColor="text1"/>
                <w:kern w:val="2"/>
                <w:sz w:val="14"/>
                <w:szCs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44" w:hRule="atLeast"/>
          <w:jc w:val="center"/>
        </w:trPr>
        <w:tc>
          <w:tcPr>
            <w:tcW w:w="878" w:type="dxa"/>
            <w:vMerge w:val="restart"/>
            <w:tcBorders>
              <w:bottom w:val="single" w:color="000000" w:sz="8" w:space="0"/>
            </w:tcBorders>
          </w:tcPr>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rPr>
                <w:rFonts w:ascii="Times New Roman"/>
                <w:color w:val="000000" w:themeColor="text1"/>
                <w:kern w:val="2"/>
                <w:sz w:val="12"/>
              </w:rPr>
            </w:pPr>
          </w:p>
          <w:p>
            <w:pPr>
              <w:pStyle w:val="10"/>
              <w:spacing w:before="8"/>
              <w:rPr>
                <w:rFonts w:ascii="Times New Roman"/>
                <w:color w:val="000000" w:themeColor="text1"/>
                <w:kern w:val="2"/>
                <w:sz w:val="14"/>
              </w:rPr>
            </w:pPr>
          </w:p>
          <w:p>
            <w:pPr>
              <w:pStyle w:val="10"/>
              <w:spacing w:line="232" w:lineRule="auto"/>
              <w:ind w:right="9" w:firstLine="28"/>
              <w:rPr>
                <w:color w:val="000000" w:themeColor="text1"/>
                <w:spacing w:val="-2"/>
                <w:kern w:val="2"/>
                <w:sz w:val="14"/>
                <w:szCs w:val="14"/>
              </w:rPr>
            </w:pPr>
            <w:r>
              <w:rPr>
                <w:color w:val="000000" w:themeColor="text1"/>
                <w:spacing w:val="-2"/>
                <w:kern w:val="2"/>
                <w:sz w:val="14"/>
                <w:szCs w:val="14"/>
              </w:rPr>
              <w:t>预算执行情况</w:t>
            </w:r>
          </w:p>
        </w:tc>
        <w:tc>
          <w:tcPr>
            <w:tcW w:w="690" w:type="dxa"/>
            <w:vMerge w:val="restart"/>
            <w:tcBorders>
              <w:bottom w:val="single" w:color="000000" w:sz="8" w:space="0"/>
            </w:tcBorders>
          </w:tcPr>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rPr>
                <w:rFonts w:ascii="Times New Roman"/>
                <w:color w:val="000000" w:themeColor="text1"/>
                <w:kern w:val="2"/>
                <w:sz w:val="14"/>
                <w:szCs w:val="14"/>
              </w:rPr>
            </w:pPr>
          </w:p>
          <w:p>
            <w:pPr>
              <w:pStyle w:val="10"/>
              <w:spacing w:before="102"/>
              <w:ind w:left="210" w:right="193"/>
              <w:jc w:val="center"/>
              <w:rPr>
                <w:color w:val="000000" w:themeColor="text1"/>
                <w:kern w:val="2"/>
                <w:sz w:val="14"/>
                <w:szCs w:val="14"/>
              </w:rPr>
            </w:pPr>
            <w:r>
              <w:rPr>
                <w:color w:val="000000" w:themeColor="text1"/>
                <w:kern w:val="2"/>
                <w:sz w:val="14"/>
                <w:szCs w:val="14"/>
              </w:rPr>
              <w:t>42</w:t>
            </w:r>
          </w:p>
        </w:tc>
        <w:tc>
          <w:tcPr>
            <w:tcW w:w="448" w:type="dxa"/>
            <w:vMerge w:val="restart"/>
            <w:vAlign w:val="center"/>
          </w:tcPr>
          <w:p>
            <w:pPr>
              <w:pStyle w:val="10"/>
              <w:jc w:val="center"/>
              <w:rPr>
                <w:color w:val="000000" w:themeColor="text1"/>
                <w:kern w:val="2"/>
                <w:sz w:val="14"/>
                <w:szCs w:val="14"/>
              </w:rPr>
            </w:pPr>
            <w:r>
              <w:rPr>
                <w:color w:val="000000" w:themeColor="text1"/>
                <w:kern w:val="2"/>
                <w:sz w:val="14"/>
                <w:szCs w:val="14"/>
              </w:rPr>
              <w:t>资金管理</w:t>
            </w:r>
          </w:p>
        </w:tc>
        <w:tc>
          <w:tcPr>
            <w:tcW w:w="700" w:type="dxa"/>
            <w:vMerge w:val="restart"/>
            <w:vAlign w:val="center"/>
          </w:tcPr>
          <w:p>
            <w:pPr>
              <w:pStyle w:val="10"/>
              <w:ind w:right="60"/>
              <w:jc w:val="center"/>
              <w:rPr>
                <w:color w:val="000000" w:themeColor="text1"/>
                <w:kern w:val="2"/>
                <w:sz w:val="14"/>
                <w:szCs w:val="14"/>
              </w:rPr>
            </w:pPr>
            <w:r>
              <w:rPr>
                <w:color w:val="000000" w:themeColor="text1"/>
                <w:kern w:val="2"/>
                <w:sz w:val="14"/>
                <w:szCs w:val="14"/>
              </w:rPr>
              <w:t>24</w:t>
            </w:r>
          </w:p>
        </w:tc>
        <w:tc>
          <w:tcPr>
            <w:tcW w:w="994" w:type="dxa"/>
            <w:vAlign w:val="center"/>
          </w:tcPr>
          <w:p>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上级专项资金</w:t>
            </w:r>
          </w:p>
          <w:p>
            <w:pPr>
              <w:pStyle w:val="10"/>
              <w:spacing w:line="232" w:lineRule="auto"/>
              <w:ind w:right="2"/>
              <w:jc w:val="center"/>
              <w:rPr>
                <w:color w:val="000000" w:themeColor="text1"/>
                <w:kern w:val="2"/>
                <w:sz w:val="14"/>
                <w:szCs w:val="14"/>
                <w:lang w:val="en-US"/>
              </w:rPr>
            </w:pPr>
            <w:r>
              <w:rPr>
                <w:rFonts w:hint="eastAsia"/>
                <w:color w:val="000000" w:themeColor="text1"/>
                <w:kern w:val="2"/>
                <w:sz w:val="14"/>
                <w:szCs w:val="14"/>
                <w:lang w:val="en-US"/>
              </w:rPr>
              <w:t>分配的及时性</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vAlign w:val="center"/>
          </w:tcPr>
          <w:p>
            <w:pPr>
              <w:pStyle w:val="10"/>
              <w:jc w:val="center"/>
              <w:rPr>
                <w:rFonts w:ascii="宋体" w:hAnsi="宋体" w:eastAsia="宋体" w:cs="宋体"/>
                <w:color w:val="000000" w:themeColor="text1"/>
                <w:kern w:val="2"/>
                <w:sz w:val="14"/>
                <w:szCs w:val="14"/>
                <w:lang w:val="en-US" w:eastAsia="zh-CN" w:bidi="zh-CN"/>
              </w:rPr>
            </w:pPr>
            <w:r>
              <w:rPr>
                <w:rFonts w:hint="eastAsia"/>
                <w:color w:val="000000" w:themeColor="text1"/>
                <w:kern w:val="2"/>
                <w:sz w:val="14"/>
                <w:szCs w:val="14"/>
                <w:lang w:val="en-US"/>
              </w:rPr>
              <w:t>4</w:t>
            </w:r>
          </w:p>
        </w:tc>
        <w:tc>
          <w:tcPr>
            <w:tcW w:w="2099" w:type="dxa"/>
            <w:vAlign w:val="center"/>
          </w:tcPr>
          <w:p>
            <w:pPr>
              <w:pStyle w:val="10"/>
              <w:spacing w:line="232" w:lineRule="auto"/>
              <w:ind w:right="84"/>
              <w:jc w:val="both"/>
              <w:rPr>
                <w:color w:val="000000" w:themeColor="text1"/>
                <w:kern w:val="2"/>
                <w:sz w:val="14"/>
                <w:szCs w:val="14"/>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法》和上级有关专项资金管理办法对上级转移支付资金再分配的时效</w:t>
            </w:r>
            <w:r>
              <w:rPr>
                <w:color w:val="000000" w:themeColor="text1"/>
                <w:kern w:val="2"/>
                <w:sz w:val="14"/>
                <w:szCs w:val="14"/>
              </w:rPr>
              <w:t>。</w:t>
            </w:r>
          </w:p>
        </w:tc>
        <w:tc>
          <w:tcPr>
            <w:tcW w:w="6173" w:type="dxa"/>
            <w:vAlign w:val="center"/>
          </w:tcPr>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在规定时间内及时分配的本项得满分。</w:t>
            </w:r>
          </w:p>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未按时分配的，本项得分=4*财政对部门的考核得分</w:t>
            </w:r>
            <w:r>
              <w:rPr>
                <w:color w:val="000000" w:themeColor="text1"/>
                <w:kern w:val="2"/>
                <w:sz w:val="14"/>
                <w:szCs w:val="14"/>
              </w:rPr>
              <w:t>÷</w:t>
            </w:r>
            <w:r>
              <w:rPr>
                <w:rFonts w:hint="eastAsia"/>
                <w:color w:val="000000" w:themeColor="text1"/>
                <w:kern w:val="2"/>
                <w:sz w:val="14"/>
                <w:szCs w:val="14"/>
                <w:lang w:val="en-US"/>
              </w:rPr>
              <w:t>20（报告年度内部门无上级专项资金分配的本项4分权重调整至</w:t>
            </w:r>
            <w:r>
              <w:rPr>
                <w:color w:val="000000" w:themeColor="text1"/>
                <w:kern w:val="2"/>
                <w:sz w:val="14"/>
                <w:szCs w:val="14"/>
              </w:rPr>
              <w:t>结转结余率</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结转结余率</w:t>
            </w:r>
            <w:r>
              <w:rPr>
                <w:rFonts w:hint="eastAsia"/>
                <w:color w:val="000000" w:themeColor="text1"/>
                <w:kern w:val="2"/>
                <w:sz w:val="14"/>
                <w:szCs w:val="14"/>
                <w:lang w:val="en-US"/>
              </w:rPr>
              <w:t>调整后权重分为8分）</w:t>
            </w:r>
          </w:p>
        </w:tc>
        <w:tc>
          <w:tcPr>
            <w:tcW w:w="1650" w:type="dxa"/>
            <w:vAlign w:val="center"/>
          </w:tcPr>
          <w:p>
            <w:pPr>
              <w:pStyle w:val="10"/>
              <w:spacing w:before="49" w:line="232" w:lineRule="auto"/>
              <w:ind w:left="23"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28"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结转结余率</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4</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rFonts w:hint="eastAsia"/>
                <w:color w:val="000000" w:themeColor="text1"/>
                <w:kern w:val="2"/>
                <w:sz w:val="14"/>
                <w:szCs w:val="14"/>
                <w:lang w:val="en-US"/>
              </w:rPr>
              <w:t>4</w:t>
            </w:r>
          </w:p>
        </w:tc>
        <w:tc>
          <w:tcPr>
            <w:tcW w:w="2099" w:type="dxa"/>
            <w:vAlign w:val="center"/>
          </w:tcPr>
          <w:p>
            <w:pPr>
              <w:pStyle w:val="10"/>
              <w:spacing w:line="235" w:lineRule="auto"/>
              <w:ind w:right="26"/>
              <w:jc w:val="both"/>
              <w:rPr>
                <w:color w:val="000000" w:themeColor="text1"/>
                <w:kern w:val="2"/>
                <w:sz w:val="14"/>
                <w:szCs w:val="14"/>
              </w:rPr>
            </w:pPr>
            <w:r>
              <w:rPr>
                <w:color w:val="000000" w:themeColor="text1"/>
                <w:kern w:val="2"/>
                <w:sz w:val="14"/>
                <w:szCs w:val="14"/>
              </w:rPr>
              <w:t>部门（单位）当年度结转结余额与当年度预算总额的比率，用以反映和考核部门（单位）对结转结余资金的实际控制程度。</w:t>
            </w:r>
          </w:p>
        </w:tc>
        <w:tc>
          <w:tcPr>
            <w:tcW w:w="6173" w:type="dxa"/>
            <w:vAlign w:val="center"/>
          </w:tcPr>
          <w:p>
            <w:pPr>
              <w:pStyle w:val="10"/>
              <w:spacing w:line="232" w:lineRule="auto"/>
              <w:ind w:firstLine="280" w:firstLineChars="200"/>
              <w:jc w:val="both"/>
              <w:rPr>
                <w:color w:val="000000" w:themeColor="text1"/>
                <w:kern w:val="2"/>
                <w:sz w:val="14"/>
                <w:szCs w:val="14"/>
              </w:rPr>
            </w:pPr>
            <w:r>
              <w:rPr>
                <w:color w:val="000000" w:themeColor="text1"/>
                <w:kern w:val="2"/>
                <w:sz w:val="14"/>
                <w:szCs w:val="14"/>
              </w:rPr>
              <w:t>结余结转率=年末财政拨款结转和结余决算数/（年初财政拨款结转和结余收入决算数+一般公共预算财政拨款决算数+政府性基金预算财政拨款决算数）×100</w:t>
            </w:r>
            <w:r>
              <w:rPr>
                <w:rFonts w:hint="eastAsia"/>
                <w:color w:val="000000" w:themeColor="text1"/>
                <w:kern w:val="2"/>
                <w:sz w:val="14"/>
                <w:szCs w:val="14"/>
              </w:rPr>
              <w:t>%</w:t>
            </w:r>
          </w:p>
          <w:p>
            <w:pPr>
              <w:pStyle w:val="10"/>
              <w:spacing w:line="145" w:lineRule="exact"/>
              <w:ind w:left="266"/>
              <w:jc w:val="both"/>
              <w:rPr>
                <w:color w:val="000000" w:themeColor="text1"/>
                <w:kern w:val="2"/>
                <w:sz w:val="14"/>
                <w:szCs w:val="14"/>
              </w:rPr>
            </w:pPr>
            <w:r>
              <w:rPr>
                <w:color w:val="000000" w:themeColor="text1"/>
                <w:kern w:val="2"/>
                <w:sz w:val="14"/>
                <w:szCs w:val="14"/>
              </w:rPr>
              <w:t>1.结余结转率≤10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4</w:t>
            </w:r>
            <w:r>
              <w:rPr>
                <w:color w:val="000000" w:themeColor="text1"/>
                <w:kern w:val="2"/>
                <w:sz w:val="14"/>
                <w:szCs w:val="14"/>
              </w:rPr>
              <w:t>分；</w:t>
            </w:r>
          </w:p>
          <w:p>
            <w:pPr>
              <w:pStyle w:val="10"/>
              <w:spacing w:line="149" w:lineRule="exact"/>
              <w:ind w:left="266"/>
              <w:jc w:val="both"/>
              <w:rPr>
                <w:color w:val="000000" w:themeColor="text1"/>
                <w:kern w:val="2"/>
                <w:sz w:val="14"/>
                <w:szCs w:val="14"/>
              </w:rPr>
            </w:pPr>
            <w:r>
              <w:rPr>
                <w:color w:val="000000" w:themeColor="text1"/>
                <w:kern w:val="2"/>
                <w:sz w:val="14"/>
                <w:szCs w:val="14"/>
              </w:rPr>
              <w:t>2.10</w:t>
            </w:r>
            <w:r>
              <w:rPr>
                <w:rFonts w:hint="eastAsia"/>
                <w:color w:val="000000" w:themeColor="text1"/>
                <w:kern w:val="2"/>
                <w:sz w:val="14"/>
                <w:szCs w:val="14"/>
              </w:rPr>
              <w:t>%</w:t>
            </w:r>
            <w:r>
              <w:rPr>
                <w:color w:val="000000" w:themeColor="text1"/>
                <w:kern w:val="2"/>
                <w:sz w:val="14"/>
                <w:szCs w:val="14"/>
              </w:rPr>
              <w:t>＜结余结转率≤20</w:t>
            </w:r>
            <w:r>
              <w:rPr>
                <w:rFonts w:hint="eastAsia"/>
                <w:color w:val="000000" w:themeColor="text1"/>
                <w:kern w:val="2"/>
                <w:sz w:val="14"/>
                <w:szCs w:val="14"/>
              </w:rPr>
              <w:t>%</w:t>
            </w:r>
            <w:r>
              <w:rPr>
                <w:color w:val="000000" w:themeColor="text1"/>
                <w:kern w:val="2"/>
                <w:sz w:val="14"/>
                <w:szCs w:val="14"/>
              </w:rPr>
              <w:t>的，得</w:t>
            </w:r>
            <w:r>
              <w:rPr>
                <w:rFonts w:hint="eastAsia"/>
                <w:color w:val="000000" w:themeColor="text1"/>
                <w:kern w:val="2"/>
                <w:sz w:val="14"/>
                <w:szCs w:val="14"/>
                <w:lang w:val="en-US"/>
              </w:rPr>
              <w:t>3</w:t>
            </w:r>
            <w:r>
              <w:rPr>
                <w:color w:val="000000" w:themeColor="text1"/>
                <w:kern w:val="2"/>
                <w:sz w:val="14"/>
                <w:szCs w:val="14"/>
              </w:rPr>
              <w:t>分；</w:t>
            </w:r>
          </w:p>
          <w:p>
            <w:pPr>
              <w:pStyle w:val="10"/>
              <w:spacing w:line="225" w:lineRule="auto"/>
              <w:ind w:left="266"/>
              <w:jc w:val="both"/>
              <w:rPr>
                <w:color w:val="000000" w:themeColor="text1"/>
                <w:kern w:val="2"/>
                <w:sz w:val="14"/>
                <w:szCs w:val="14"/>
              </w:rPr>
            </w:pPr>
            <w:r>
              <w:rPr>
                <w:color w:val="000000" w:themeColor="text1"/>
                <w:kern w:val="2"/>
                <w:sz w:val="14"/>
                <w:szCs w:val="14"/>
              </w:rPr>
              <w:t>3.20</w:t>
            </w:r>
            <w:r>
              <w:rPr>
                <w:rFonts w:hint="eastAsia"/>
                <w:color w:val="000000" w:themeColor="text1"/>
                <w:kern w:val="2"/>
                <w:sz w:val="14"/>
                <w:szCs w:val="14"/>
              </w:rPr>
              <w:t>%</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的，得1分</w:t>
            </w:r>
          </w:p>
          <w:p>
            <w:pPr>
              <w:pStyle w:val="10"/>
              <w:spacing w:line="225" w:lineRule="auto"/>
              <w:ind w:left="266"/>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.结余结转率＞30</w:t>
            </w:r>
            <w:r>
              <w:rPr>
                <w:rFonts w:hint="eastAsia"/>
                <w:color w:val="000000" w:themeColor="text1"/>
                <w:kern w:val="2"/>
                <w:sz w:val="14"/>
                <w:szCs w:val="14"/>
              </w:rPr>
              <w:t>%</w:t>
            </w:r>
            <w:r>
              <w:rPr>
                <w:color w:val="000000" w:themeColor="text1"/>
                <w:kern w:val="2"/>
                <w:sz w:val="14"/>
                <w:szCs w:val="14"/>
              </w:rPr>
              <w:t>的，得0分。</w:t>
            </w:r>
          </w:p>
        </w:tc>
        <w:tc>
          <w:tcPr>
            <w:tcW w:w="1650"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本指标根据部门决算报表财决01-1表《财政拨款收入支出决算总表》相关数据计算。</w:t>
            </w:r>
            <w:r>
              <w:rPr>
                <w:rFonts w:hint="eastAsia"/>
                <w:color w:val="000000" w:themeColor="text1"/>
                <w:kern w:val="2"/>
                <w:sz w:val="14"/>
                <w:szCs w:val="14"/>
                <w:lang w:val="en-US"/>
              </w:rPr>
              <w:t>报告年度内本部门无上级专项资金分配的本项权重分调整为8分。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43"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上级专项资金的</w:t>
            </w:r>
          </w:p>
          <w:p>
            <w:pPr>
              <w:pStyle w:val="10"/>
              <w:spacing w:line="200" w:lineRule="exact"/>
              <w:jc w:val="center"/>
              <w:rPr>
                <w:color w:val="000000" w:themeColor="text1"/>
                <w:kern w:val="2"/>
                <w:sz w:val="14"/>
                <w:szCs w:val="14"/>
                <w:lang w:val="en-US"/>
              </w:rPr>
            </w:pPr>
            <w:r>
              <w:rPr>
                <w:rFonts w:hint="eastAsia"/>
                <w:color w:val="000000" w:themeColor="text1"/>
                <w:kern w:val="2"/>
                <w:sz w:val="14"/>
                <w:szCs w:val="14"/>
                <w:lang w:val="en-US"/>
              </w:rPr>
              <w:t>支出执行率</w:t>
            </w:r>
          </w:p>
        </w:tc>
        <w:tc>
          <w:tcPr>
            <w:tcW w:w="672" w:type="dxa"/>
            <w:vAlign w:val="center"/>
          </w:tcPr>
          <w:p>
            <w:pPr>
              <w:pStyle w:val="10"/>
              <w:jc w:val="center"/>
              <w:rPr>
                <w:color w:val="000000" w:themeColor="text1"/>
                <w:kern w:val="2"/>
                <w:sz w:val="14"/>
                <w:szCs w:val="14"/>
              </w:rPr>
            </w:pPr>
            <w:r>
              <w:rPr>
                <w:rFonts w:hint="eastAsia"/>
                <w:color w:val="000000" w:themeColor="text1"/>
                <w:kern w:val="2"/>
                <w:sz w:val="14"/>
                <w:szCs w:val="14"/>
                <w:lang w:val="en-US"/>
              </w:rPr>
              <w:t>6</w:t>
            </w:r>
          </w:p>
        </w:tc>
        <w:tc>
          <w:tcPr>
            <w:tcW w:w="795" w:type="dxa"/>
            <w:vAlign w:val="center"/>
          </w:tcPr>
          <w:p>
            <w:pPr>
              <w:pStyle w:val="10"/>
              <w:jc w:val="center"/>
              <w:rPr>
                <w:rFonts w:ascii="宋体" w:hAnsi="宋体" w:eastAsia="宋体" w:cs="宋体"/>
                <w:color w:val="000000" w:themeColor="text1"/>
                <w:kern w:val="2"/>
                <w:sz w:val="14"/>
                <w:szCs w:val="14"/>
                <w:lang w:val="en-US" w:eastAsia="zh-CN" w:bidi="zh-CN"/>
              </w:rPr>
            </w:pPr>
            <w:r>
              <w:rPr>
                <w:rFonts w:hint="eastAsia"/>
                <w:color w:val="000000" w:themeColor="text1"/>
                <w:kern w:val="2"/>
                <w:sz w:val="14"/>
                <w:szCs w:val="14"/>
                <w:lang w:val="en-US"/>
              </w:rPr>
              <w:t>6</w:t>
            </w:r>
          </w:p>
        </w:tc>
        <w:tc>
          <w:tcPr>
            <w:tcW w:w="2099" w:type="dxa"/>
            <w:vAlign w:val="center"/>
          </w:tcPr>
          <w:p>
            <w:pPr>
              <w:pStyle w:val="10"/>
              <w:spacing w:line="232" w:lineRule="auto"/>
              <w:ind w:right="86"/>
              <w:jc w:val="both"/>
              <w:rPr>
                <w:color w:val="000000" w:themeColor="text1"/>
                <w:kern w:val="2"/>
                <w:sz w:val="14"/>
                <w:szCs w:val="14"/>
                <w:lang w:val="en-US"/>
              </w:rPr>
            </w:pPr>
            <w:r>
              <w:rPr>
                <w:rFonts w:hint="eastAsia"/>
                <w:color w:val="000000" w:themeColor="text1"/>
                <w:kern w:val="2"/>
                <w:sz w:val="14"/>
                <w:szCs w:val="14"/>
                <w:lang w:val="en-US"/>
              </w:rPr>
              <w:t>考核</w:t>
            </w:r>
            <w:r>
              <w:rPr>
                <w:color w:val="000000" w:themeColor="text1"/>
                <w:kern w:val="2"/>
                <w:sz w:val="14"/>
                <w:szCs w:val="14"/>
              </w:rPr>
              <w:t>部门（单位）</w:t>
            </w:r>
            <w:r>
              <w:rPr>
                <w:rFonts w:hint="eastAsia"/>
                <w:color w:val="000000" w:themeColor="text1"/>
                <w:kern w:val="2"/>
                <w:sz w:val="14"/>
                <w:szCs w:val="14"/>
                <w:lang w:val="en-US"/>
              </w:rPr>
              <w:t>按照《</w:t>
            </w:r>
            <w:r>
              <w:rPr>
                <w:color w:val="000000" w:themeColor="text1"/>
                <w:kern w:val="2"/>
                <w:sz w:val="14"/>
                <w:szCs w:val="14"/>
              </w:rPr>
              <w:t>预算</w:t>
            </w:r>
            <w:r>
              <w:rPr>
                <w:rFonts w:hint="eastAsia"/>
                <w:color w:val="000000" w:themeColor="text1"/>
                <w:kern w:val="2"/>
                <w:sz w:val="14"/>
                <w:szCs w:val="14"/>
                <w:lang w:val="en-US"/>
              </w:rPr>
              <w:t>法》和上级有关专项资金管理办法对上级转移支付资金支出的执行情况。</w:t>
            </w:r>
          </w:p>
        </w:tc>
        <w:tc>
          <w:tcPr>
            <w:tcW w:w="6173" w:type="dxa"/>
            <w:vAlign w:val="center"/>
          </w:tcPr>
          <w:p>
            <w:pPr>
              <w:pStyle w:val="10"/>
              <w:spacing w:line="232" w:lineRule="auto"/>
              <w:ind w:firstLine="280" w:firstLineChars="200"/>
              <w:jc w:val="both"/>
              <w:rPr>
                <w:color w:val="000000" w:themeColor="text1"/>
                <w:kern w:val="2"/>
                <w:sz w:val="14"/>
                <w:szCs w:val="14"/>
                <w:lang w:val="en-US"/>
              </w:rPr>
            </w:pPr>
            <w:r>
              <w:rPr>
                <w:rFonts w:hint="eastAsia"/>
                <w:color w:val="000000" w:themeColor="text1"/>
                <w:kern w:val="2"/>
                <w:sz w:val="14"/>
                <w:szCs w:val="14"/>
                <w:lang w:val="en-US"/>
              </w:rPr>
              <w:t>在规定时间内及时规范支出的本项得满分。</w:t>
            </w:r>
          </w:p>
          <w:p>
            <w:pPr>
              <w:pStyle w:val="10"/>
              <w:spacing w:line="151" w:lineRule="exact"/>
              <w:ind w:firstLine="280" w:firstLineChars="200"/>
              <w:jc w:val="both"/>
              <w:rPr>
                <w:color w:val="000000" w:themeColor="text1"/>
                <w:kern w:val="2"/>
                <w:sz w:val="14"/>
                <w:szCs w:val="14"/>
                <w:lang w:val="en-US"/>
              </w:rPr>
            </w:pPr>
            <w:r>
              <w:rPr>
                <w:rFonts w:hint="eastAsia"/>
                <w:color w:val="000000" w:themeColor="text1"/>
                <w:kern w:val="2"/>
                <w:sz w:val="14"/>
                <w:szCs w:val="14"/>
                <w:lang w:val="en-US"/>
              </w:rPr>
              <w:t>未及时规范支出的，本项得分=6*财政对部门的考核得分</w:t>
            </w:r>
            <w:r>
              <w:rPr>
                <w:color w:val="000000" w:themeColor="text1"/>
                <w:kern w:val="2"/>
                <w:sz w:val="14"/>
                <w:szCs w:val="14"/>
              </w:rPr>
              <w:t>÷</w:t>
            </w:r>
            <w:r>
              <w:rPr>
                <w:rFonts w:hint="eastAsia"/>
                <w:color w:val="000000" w:themeColor="text1"/>
                <w:kern w:val="2"/>
                <w:sz w:val="14"/>
                <w:szCs w:val="14"/>
                <w:lang w:val="en-US"/>
              </w:rPr>
              <w:t>30（报告年度内部门无上级专项资金分配的本项4分权重调整至</w:t>
            </w:r>
            <w:r>
              <w:rPr>
                <w:color w:val="000000" w:themeColor="text1"/>
                <w:kern w:val="2"/>
                <w:sz w:val="14"/>
                <w:szCs w:val="14"/>
              </w:rPr>
              <w:t>财务合规性</w:t>
            </w:r>
            <w:r>
              <w:rPr>
                <w:rFonts w:hint="eastAsia"/>
                <w:color w:val="000000" w:themeColor="text1"/>
                <w:kern w:val="2"/>
                <w:sz w:val="14"/>
                <w:szCs w:val="14"/>
                <w:lang w:val="en-US"/>
              </w:rPr>
              <w:t>计分</w:t>
            </w:r>
            <w:r>
              <w:rPr>
                <w:rFonts w:hint="eastAsia"/>
                <w:color w:val="000000" w:themeColor="text1"/>
                <w:kern w:val="2"/>
                <w:sz w:val="14"/>
                <w:szCs w:val="14"/>
              </w:rPr>
              <w:t>，</w:t>
            </w:r>
            <w:r>
              <w:rPr>
                <w:rFonts w:hint="eastAsia"/>
                <w:color w:val="000000" w:themeColor="text1"/>
                <w:kern w:val="2"/>
                <w:sz w:val="14"/>
                <w:szCs w:val="14"/>
                <w:lang w:val="en-US"/>
              </w:rPr>
              <w:t>即</w:t>
            </w:r>
            <w:r>
              <w:rPr>
                <w:color w:val="000000" w:themeColor="text1"/>
                <w:kern w:val="2"/>
                <w:sz w:val="14"/>
                <w:szCs w:val="14"/>
              </w:rPr>
              <w:t>财务合规性</w:t>
            </w:r>
            <w:r>
              <w:rPr>
                <w:rFonts w:hint="eastAsia"/>
                <w:color w:val="000000" w:themeColor="text1"/>
                <w:kern w:val="2"/>
                <w:sz w:val="14"/>
                <w:szCs w:val="14"/>
                <w:lang w:val="en-US"/>
              </w:rPr>
              <w:t>调整后权重分为10分）</w:t>
            </w:r>
          </w:p>
        </w:tc>
        <w:tc>
          <w:tcPr>
            <w:tcW w:w="1650" w:type="dxa"/>
            <w:vAlign w:val="center"/>
          </w:tcPr>
          <w:p>
            <w:pPr>
              <w:pStyle w:val="10"/>
              <w:spacing w:line="232" w:lineRule="auto"/>
              <w:ind w:right="125"/>
              <w:jc w:val="both"/>
              <w:rPr>
                <w:color w:val="000000" w:themeColor="text1"/>
                <w:kern w:val="2"/>
                <w:sz w:val="14"/>
                <w:szCs w:val="14"/>
              </w:rPr>
            </w:pPr>
            <w:r>
              <w:rPr>
                <w:color w:val="000000" w:themeColor="text1"/>
                <w:kern w:val="2"/>
                <w:sz w:val="14"/>
                <w:szCs w:val="14"/>
              </w:rPr>
              <w:t>本指标来源于</w:t>
            </w:r>
            <w:r>
              <w:rPr>
                <w:rFonts w:hint="eastAsia"/>
                <w:color w:val="000000" w:themeColor="text1"/>
                <w:kern w:val="2"/>
                <w:sz w:val="14"/>
                <w:szCs w:val="14"/>
                <w:lang w:val="en-US" w:eastAsia="zh-CN"/>
              </w:rPr>
              <w:t>县</w:t>
            </w:r>
            <w:r>
              <w:rPr>
                <w:color w:val="000000" w:themeColor="text1"/>
                <w:kern w:val="2"/>
                <w:sz w:val="14"/>
                <w:szCs w:val="14"/>
              </w:rPr>
              <w:t>级机关绩效考核，采用</w:t>
            </w:r>
            <w:r>
              <w:rPr>
                <w:rFonts w:hint="eastAsia"/>
                <w:color w:val="000000" w:themeColor="text1"/>
                <w:kern w:val="2"/>
                <w:sz w:val="14"/>
                <w:szCs w:val="14"/>
                <w:lang w:val="en-US" w:eastAsia="zh-CN"/>
              </w:rPr>
              <w:t>县</w:t>
            </w:r>
            <w:r>
              <w:rPr>
                <w:color w:val="000000" w:themeColor="text1"/>
                <w:kern w:val="2"/>
                <w:sz w:val="14"/>
                <w:szCs w:val="14"/>
              </w:rPr>
              <w:t>财政</w:t>
            </w:r>
            <w:r>
              <w:rPr>
                <w:rFonts w:hint="eastAsia"/>
                <w:color w:val="000000" w:themeColor="text1"/>
                <w:kern w:val="2"/>
                <w:sz w:val="14"/>
                <w:szCs w:val="14"/>
                <w:lang w:val="en-US"/>
              </w:rPr>
              <w:t>局</w:t>
            </w:r>
            <w:r>
              <w:rPr>
                <w:color w:val="000000" w:themeColor="text1"/>
                <w:kern w:val="2"/>
                <w:sz w:val="14"/>
                <w:szCs w:val="14"/>
              </w:rPr>
              <w:t>对各部门开展的年度预算编制及执行情况考核的数据计分。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5"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政府采购执行率</w:t>
            </w:r>
          </w:p>
        </w:tc>
        <w:tc>
          <w:tcPr>
            <w:tcW w:w="672" w:type="dxa"/>
            <w:vAlign w:val="center"/>
          </w:tcPr>
          <w:p>
            <w:pPr>
              <w:pStyle w:val="10"/>
              <w:jc w:val="center"/>
              <w:rPr>
                <w:color w:val="000000" w:themeColor="text1"/>
                <w:kern w:val="2"/>
                <w:sz w:val="14"/>
                <w:szCs w:val="14"/>
              </w:rPr>
            </w:pPr>
            <w:r>
              <w:rPr>
                <w:color w:val="000000" w:themeColor="text1"/>
                <w:kern w:val="2"/>
                <w:sz w:val="14"/>
                <w:szCs w:val="14"/>
              </w:rPr>
              <w:t>2</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2</w:t>
            </w:r>
          </w:p>
        </w:tc>
        <w:tc>
          <w:tcPr>
            <w:tcW w:w="2099" w:type="dxa"/>
            <w:vAlign w:val="center"/>
          </w:tcPr>
          <w:p>
            <w:pPr>
              <w:pStyle w:val="10"/>
              <w:spacing w:before="1" w:line="232" w:lineRule="auto"/>
              <w:ind w:right="86"/>
              <w:jc w:val="both"/>
              <w:rPr>
                <w:color w:val="000000" w:themeColor="text1"/>
                <w:kern w:val="2"/>
                <w:sz w:val="14"/>
                <w:szCs w:val="14"/>
              </w:rPr>
            </w:pPr>
            <w:r>
              <w:rPr>
                <w:color w:val="000000" w:themeColor="text1"/>
                <w:kern w:val="2"/>
                <w:sz w:val="14"/>
                <w:szCs w:val="14"/>
              </w:rPr>
              <w:t>部门（单位）本年度实际政府采购金额与年度政府采购预算的比率，用以反映和考核部门（单位）政府采购预算执行情况。</w:t>
            </w:r>
          </w:p>
        </w:tc>
        <w:tc>
          <w:tcPr>
            <w:tcW w:w="6173" w:type="dxa"/>
            <w:vAlign w:val="center"/>
          </w:tcPr>
          <w:p>
            <w:pPr>
              <w:pStyle w:val="10"/>
              <w:ind w:left="266"/>
              <w:jc w:val="both"/>
              <w:rPr>
                <w:color w:val="000000" w:themeColor="text1"/>
                <w:kern w:val="2"/>
                <w:sz w:val="14"/>
                <w:szCs w:val="14"/>
              </w:rPr>
            </w:pPr>
            <w:r>
              <w:rPr>
                <w:color w:val="000000" w:themeColor="text1"/>
                <w:kern w:val="2"/>
                <w:sz w:val="14"/>
                <w:szCs w:val="14"/>
              </w:rPr>
              <w:t>本指标得分=本指标满分分值×政府采购执行率</w:t>
            </w:r>
          </w:p>
          <w:p>
            <w:pPr>
              <w:pStyle w:val="10"/>
              <w:spacing w:line="225" w:lineRule="auto"/>
              <w:ind w:left="266"/>
              <w:jc w:val="both"/>
              <w:rPr>
                <w:color w:val="000000" w:themeColor="text1"/>
                <w:kern w:val="2"/>
                <w:sz w:val="14"/>
                <w:szCs w:val="14"/>
              </w:rPr>
            </w:pPr>
            <w:r>
              <w:rPr>
                <w:color w:val="000000" w:themeColor="text1"/>
                <w:kern w:val="2"/>
                <w:sz w:val="14"/>
                <w:szCs w:val="14"/>
              </w:rPr>
              <w:t>其中：政府采购执行率=（实际采购金额合计数/采购计划金额合计数）×100</w:t>
            </w:r>
            <w:r>
              <w:rPr>
                <w:rFonts w:hint="eastAsia"/>
                <w:color w:val="000000" w:themeColor="text1"/>
                <w:kern w:val="2"/>
                <w:sz w:val="14"/>
                <w:szCs w:val="14"/>
                <w:lang w:val="en-US" w:bidi="ar-SA"/>
              </w:rPr>
              <w:t>%</w:t>
            </w:r>
            <w:r>
              <w:rPr>
                <w:color w:val="000000" w:themeColor="text1"/>
                <w:kern w:val="2"/>
                <w:sz w:val="14"/>
                <w:szCs w:val="14"/>
              </w:rPr>
              <w:t>；如实际采购金额大于采购计划金额则本项不得分。</w:t>
            </w:r>
          </w:p>
          <w:p>
            <w:pPr>
              <w:pStyle w:val="10"/>
              <w:spacing w:line="148" w:lineRule="exact"/>
              <w:ind w:left="266"/>
              <w:jc w:val="both"/>
              <w:rPr>
                <w:color w:val="000000" w:themeColor="text1"/>
                <w:kern w:val="2"/>
                <w:sz w:val="14"/>
                <w:szCs w:val="14"/>
              </w:rPr>
            </w:pPr>
            <w:r>
              <w:rPr>
                <w:color w:val="000000" w:themeColor="text1"/>
                <w:kern w:val="2"/>
                <w:sz w:val="14"/>
                <w:szCs w:val="14"/>
              </w:rPr>
              <w:t>政府采购预算是指采购机关根据事业发展计划和行政任务编制的、并经过规定程序批准的年度政府采购计划。</w:t>
            </w:r>
          </w:p>
        </w:tc>
        <w:tc>
          <w:tcPr>
            <w:tcW w:w="1650" w:type="dxa"/>
            <w:vAlign w:val="center"/>
          </w:tcPr>
          <w:p>
            <w:pPr>
              <w:pStyle w:val="10"/>
              <w:spacing w:before="1" w:line="232" w:lineRule="auto"/>
              <w:ind w:right="125"/>
              <w:jc w:val="both"/>
              <w:rPr>
                <w:color w:val="000000" w:themeColor="text1"/>
                <w:kern w:val="2"/>
                <w:sz w:val="14"/>
                <w:szCs w:val="14"/>
              </w:rPr>
            </w:pPr>
            <w:r>
              <w:rPr>
                <w:color w:val="000000" w:themeColor="text1"/>
                <w:kern w:val="2"/>
                <w:sz w:val="14"/>
                <w:szCs w:val="14"/>
              </w:rPr>
              <w:t>本指标根据部门决算报表附表《政府采购情况表相关》数据计算。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49"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ind w:right="2"/>
              <w:jc w:val="center"/>
              <w:rPr>
                <w:color w:val="000000" w:themeColor="text1"/>
                <w:kern w:val="2"/>
                <w:sz w:val="14"/>
                <w:szCs w:val="14"/>
              </w:rPr>
            </w:pPr>
            <w:r>
              <w:rPr>
                <w:color w:val="000000" w:themeColor="text1"/>
                <w:kern w:val="2"/>
                <w:sz w:val="14"/>
                <w:szCs w:val="14"/>
              </w:rPr>
              <w:t>财务合规性</w:t>
            </w:r>
          </w:p>
        </w:tc>
        <w:tc>
          <w:tcPr>
            <w:tcW w:w="672" w:type="dxa"/>
            <w:vAlign w:val="center"/>
          </w:tcPr>
          <w:p>
            <w:pPr>
              <w:pStyle w:val="10"/>
              <w:jc w:val="center"/>
              <w:rPr>
                <w:color w:val="000000" w:themeColor="text1"/>
                <w:kern w:val="2"/>
                <w:sz w:val="14"/>
                <w:szCs w:val="14"/>
              </w:rPr>
            </w:pPr>
            <w:r>
              <w:rPr>
                <w:color w:val="000000" w:themeColor="text1"/>
                <w:kern w:val="2"/>
                <w:sz w:val="14"/>
                <w:szCs w:val="14"/>
              </w:rPr>
              <w:t>4</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099" w:type="dxa"/>
            <w:vAlign w:val="center"/>
          </w:tcPr>
          <w:p>
            <w:pPr>
              <w:pStyle w:val="10"/>
              <w:spacing w:line="232" w:lineRule="auto"/>
              <w:ind w:right="86"/>
              <w:jc w:val="both"/>
              <w:rPr>
                <w:color w:val="000000" w:themeColor="text1"/>
                <w:kern w:val="2"/>
                <w:sz w:val="14"/>
                <w:szCs w:val="14"/>
              </w:rPr>
            </w:pPr>
            <w:r>
              <w:rPr>
                <w:color w:val="000000" w:themeColor="text1"/>
                <w:kern w:val="2"/>
                <w:sz w:val="14"/>
                <w:szCs w:val="14"/>
              </w:rPr>
              <w:t>反映部门（单位）资金支出规范性，包括资金管理、费用支出等制度是否严格执行；会计核算是否规范</w:t>
            </w:r>
            <w:r>
              <w:rPr>
                <w:rFonts w:hint="eastAsia"/>
                <w:color w:val="000000" w:themeColor="text1"/>
                <w:kern w:val="2"/>
                <w:sz w:val="14"/>
                <w:szCs w:val="14"/>
              </w:rPr>
              <w:t>，</w:t>
            </w:r>
            <w:r>
              <w:rPr>
                <w:color w:val="000000" w:themeColor="text1"/>
                <w:kern w:val="2"/>
                <w:sz w:val="14"/>
                <w:szCs w:val="14"/>
              </w:rPr>
              <w:t>反映是否存在支出依据不合规、虚列项目支出的情况；是否存在截留、挤占、挪用项目资金情况。</w:t>
            </w:r>
          </w:p>
        </w:tc>
        <w:tc>
          <w:tcPr>
            <w:tcW w:w="6173" w:type="dxa"/>
            <w:vAlign w:val="center"/>
          </w:tcPr>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预算执行规范性1分，按规定履行调整报批手续或未发生调整的，且按事项完成进度支付资金的得满分，否则酌情扣分。</w:t>
            </w:r>
          </w:p>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事项支出的合规性1分，资金管理、费用标准、支付符合有关制度规定的得满分，超范围、超标准支出，虚列支出，截留、挤占、挪用资金的，以及其他不符合制度规定支出的，视情节严重情况扣分，直至扣到0分。</w:t>
            </w:r>
          </w:p>
          <w:p>
            <w:pPr>
              <w:pStyle w:val="10"/>
              <w:tabs>
                <w:tab w:val="left" w:pos="389"/>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会计核算规范性1分，规范执行会计核算制度得满分，未按规定设专账核算，或支出凭证不符合规定，或其他核算不规范的，视具体情况扣分。</w:t>
            </w:r>
          </w:p>
          <w:p>
            <w:pPr>
              <w:pStyle w:val="10"/>
              <w:tabs>
                <w:tab w:val="left" w:pos="389"/>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重大项目支出经过评估论证和必要决策程序的得1分，否则酌情扣分。</w:t>
            </w:r>
          </w:p>
        </w:tc>
        <w:tc>
          <w:tcPr>
            <w:tcW w:w="1650" w:type="dxa"/>
            <w:vAlign w:val="center"/>
          </w:tcPr>
          <w:p>
            <w:pPr>
              <w:pStyle w:val="10"/>
              <w:jc w:val="both"/>
              <w:rPr>
                <w:rFonts w:ascii="Times New Roman"/>
                <w:color w:val="000000" w:themeColor="text1"/>
                <w:kern w:val="2"/>
                <w:sz w:val="14"/>
                <w:szCs w:val="14"/>
              </w:rPr>
            </w:pPr>
            <w:r>
              <w:rPr>
                <w:rFonts w:hint="eastAsia"/>
                <w:color w:val="000000" w:themeColor="text1"/>
                <w:kern w:val="2"/>
                <w:sz w:val="14"/>
                <w:szCs w:val="14"/>
                <w:lang w:val="en-US"/>
              </w:rPr>
              <w:t>报告年度内本部门无上级专项资金分配的本项权重分调整为10分。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5" w:hRule="atLeast"/>
          <w:jc w:val="center"/>
        </w:trPr>
        <w:tc>
          <w:tcPr>
            <w:tcW w:w="878" w:type="dxa"/>
            <w:vMerge w:val="continue"/>
            <w:tcBorders>
              <w:top w:val="nil"/>
              <w:bottom w:val="single" w:color="000000" w:sz="8" w:space="0"/>
            </w:tcBorders>
          </w:tcPr>
          <w:p>
            <w:pPr>
              <w:rPr>
                <w:color w:val="000000" w:themeColor="text1"/>
                <w:kern w:val="2"/>
                <w:sz w:val="2"/>
                <w:szCs w:val="2"/>
              </w:rPr>
            </w:pPr>
          </w:p>
        </w:tc>
        <w:tc>
          <w:tcPr>
            <w:tcW w:w="690" w:type="dxa"/>
            <w:vMerge w:val="continue"/>
            <w:tcBorders>
              <w:top w:val="nil"/>
              <w:bottom w:val="single" w:color="000000" w:sz="8" w:space="0"/>
            </w:tcBorders>
          </w:tcPr>
          <w:p>
            <w:pPr>
              <w:rPr>
                <w:color w:val="000000" w:themeColor="text1"/>
                <w:kern w:val="2"/>
                <w:sz w:val="2"/>
                <w:szCs w:val="2"/>
              </w:rPr>
            </w:pPr>
          </w:p>
        </w:tc>
        <w:tc>
          <w:tcPr>
            <w:tcW w:w="448" w:type="dxa"/>
            <w:vMerge w:val="continue"/>
            <w:tcBorders>
              <w:top w:val="nil"/>
            </w:tcBorders>
          </w:tcPr>
          <w:p>
            <w:pPr>
              <w:rPr>
                <w:color w:val="000000" w:themeColor="text1"/>
                <w:kern w:val="2"/>
                <w:sz w:val="2"/>
                <w:szCs w:val="2"/>
              </w:rPr>
            </w:pPr>
          </w:p>
        </w:tc>
        <w:tc>
          <w:tcPr>
            <w:tcW w:w="700" w:type="dxa"/>
            <w:vMerge w:val="continue"/>
            <w:tcBorders>
              <w:top w:val="nil"/>
            </w:tcBorders>
          </w:tcPr>
          <w:p>
            <w:pPr>
              <w:rPr>
                <w:color w:val="000000" w:themeColor="text1"/>
                <w:kern w:val="2"/>
                <w:sz w:val="14"/>
                <w:szCs w:val="14"/>
              </w:rPr>
            </w:pPr>
          </w:p>
        </w:tc>
        <w:tc>
          <w:tcPr>
            <w:tcW w:w="994" w:type="dxa"/>
            <w:vAlign w:val="center"/>
          </w:tcPr>
          <w:p>
            <w:pPr>
              <w:pStyle w:val="10"/>
              <w:spacing w:line="200" w:lineRule="exact"/>
              <w:jc w:val="center"/>
              <w:rPr>
                <w:color w:val="000000" w:themeColor="text1"/>
                <w:kern w:val="2"/>
                <w:sz w:val="14"/>
                <w:szCs w:val="14"/>
              </w:rPr>
            </w:pPr>
            <w:r>
              <w:rPr>
                <w:color w:val="000000" w:themeColor="text1"/>
                <w:kern w:val="2"/>
                <w:sz w:val="14"/>
                <w:szCs w:val="14"/>
              </w:rPr>
              <w:t>预决算信息</w:t>
            </w:r>
          </w:p>
          <w:p>
            <w:pPr>
              <w:pStyle w:val="10"/>
              <w:spacing w:line="200" w:lineRule="exact"/>
              <w:jc w:val="center"/>
              <w:rPr>
                <w:color w:val="000000" w:themeColor="text1"/>
                <w:kern w:val="2"/>
                <w:sz w:val="14"/>
                <w:szCs w:val="14"/>
              </w:rPr>
            </w:pPr>
            <w:r>
              <w:rPr>
                <w:color w:val="000000" w:themeColor="text1"/>
                <w:kern w:val="2"/>
                <w:sz w:val="14"/>
                <w:szCs w:val="14"/>
              </w:rPr>
              <w:t>公开性</w:t>
            </w:r>
          </w:p>
        </w:tc>
        <w:tc>
          <w:tcPr>
            <w:tcW w:w="672" w:type="dxa"/>
            <w:vAlign w:val="center"/>
          </w:tcPr>
          <w:p>
            <w:pPr>
              <w:pStyle w:val="10"/>
              <w:jc w:val="center"/>
              <w:rPr>
                <w:color w:val="000000" w:themeColor="text1"/>
                <w:kern w:val="2"/>
                <w:sz w:val="14"/>
                <w:szCs w:val="14"/>
              </w:rPr>
            </w:pPr>
            <w:r>
              <w:rPr>
                <w:color w:val="000000" w:themeColor="text1"/>
                <w:kern w:val="2"/>
                <w:sz w:val="14"/>
                <w:szCs w:val="14"/>
              </w:rPr>
              <w:t>4</w:t>
            </w:r>
          </w:p>
        </w:tc>
        <w:tc>
          <w:tcPr>
            <w:tcW w:w="795" w:type="dxa"/>
            <w:vAlign w:val="center"/>
          </w:tcPr>
          <w:p>
            <w:pPr>
              <w:pStyle w:val="10"/>
              <w:jc w:val="center"/>
              <w:rPr>
                <w:rFonts w:ascii="宋体" w:hAnsi="宋体" w:eastAsia="宋体" w:cs="宋体"/>
                <w:color w:val="000000" w:themeColor="text1"/>
                <w:kern w:val="2"/>
                <w:sz w:val="14"/>
                <w:szCs w:val="14"/>
                <w:lang w:val="zh-CN" w:eastAsia="zh-CN" w:bidi="zh-CN"/>
              </w:rPr>
            </w:pPr>
            <w:r>
              <w:rPr>
                <w:color w:val="000000" w:themeColor="text1"/>
                <w:kern w:val="2"/>
                <w:sz w:val="14"/>
                <w:szCs w:val="14"/>
              </w:rPr>
              <w:t>4</w:t>
            </w:r>
          </w:p>
        </w:tc>
        <w:tc>
          <w:tcPr>
            <w:tcW w:w="2099" w:type="dxa"/>
            <w:vAlign w:val="center"/>
          </w:tcPr>
          <w:p>
            <w:pPr>
              <w:pStyle w:val="10"/>
              <w:spacing w:line="232" w:lineRule="auto"/>
              <w:ind w:right="84"/>
              <w:jc w:val="both"/>
              <w:rPr>
                <w:color w:val="000000" w:themeColor="text1"/>
                <w:kern w:val="2"/>
                <w:sz w:val="14"/>
                <w:szCs w:val="14"/>
              </w:rPr>
            </w:pPr>
            <w:r>
              <w:rPr>
                <w:color w:val="000000" w:themeColor="text1"/>
                <w:kern w:val="2"/>
                <w:sz w:val="14"/>
                <w:szCs w:val="14"/>
              </w:rPr>
              <w:t>主要考核部门（单位）在被评价年度是否按照政府信息公开有关规定公开相关预决算信息，用以反映部门（单位）预决算管理的公开透明情况。</w:t>
            </w:r>
          </w:p>
        </w:tc>
        <w:tc>
          <w:tcPr>
            <w:tcW w:w="6173" w:type="dxa"/>
            <w:vAlign w:val="center"/>
          </w:tcPr>
          <w:p>
            <w:pPr>
              <w:pStyle w:val="10"/>
              <w:spacing w:line="151" w:lineRule="exact"/>
              <w:ind w:firstLine="280" w:firstLineChars="200"/>
              <w:rPr>
                <w:color w:val="000000" w:themeColor="text1"/>
                <w:kern w:val="2"/>
                <w:sz w:val="14"/>
                <w:szCs w:val="14"/>
              </w:rPr>
            </w:pPr>
            <w:r>
              <w:rPr>
                <w:color w:val="000000" w:themeColor="text1"/>
                <w:kern w:val="2"/>
                <w:sz w:val="14"/>
                <w:szCs w:val="14"/>
              </w:rPr>
              <w:t>1.部门预算公开得分：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部门决算公开得分：</w:t>
            </w:r>
          </w:p>
          <w:p>
            <w:pPr>
              <w:pStyle w:val="10"/>
              <w:tabs>
                <w:tab w:val="left" w:pos="572"/>
              </w:tabs>
              <w:spacing w:line="148" w:lineRule="exact"/>
              <w:ind w:firstLine="280" w:firstLineChars="200"/>
              <w:jc w:val="both"/>
              <w:rPr>
                <w:color w:val="000000" w:themeColor="text1"/>
                <w:kern w:val="2"/>
                <w:sz w:val="14"/>
                <w:szCs w:val="14"/>
              </w:rPr>
            </w:pPr>
            <w:r>
              <w:rPr>
                <w:rFonts w:hint="eastAsia"/>
                <w:color w:val="000000" w:themeColor="text1"/>
                <w:kern w:val="2"/>
                <w:sz w:val="14"/>
                <w:szCs w:val="14"/>
              </w:rPr>
              <w:t>（1）</w:t>
            </w:r>
            <w:r>
              <w:rPr>
                <w:color w:val="000000" w:themeColor="text1"/>
                <w:kern w:val="2"/>
                <w:sz w:val="14"/>
                <w:szCs w:val="14"/>
              </w:rPr>
              <w:t>按规定内容、在规定时限和范围内公开的，得2分。</w:t>
            </w:r>
          </w:p>
          <w:p>
            <w:pPr>
              <w:pStyle w:val="10"/>
              <w:tabs>
                <w:tab w:val="left" w:pos="572"/>
              </w:tabs>
              <w:spacing w:line="150" w:lineRule="exact"/>
              <w:ind w:firstLine="280" w:firstLineChars="200"/>
              <w:jc w:val="both"/>
              <w:rPr>
                <w:color w:val="000000" w:themeColor="text1"/>
                <w:kern w:val="2"/>
                <w:sz w:val="14"/>
                <w:szCs w:val="14"/>
              </w:rPr>
            </w:pPr>
            <w:r>
              <w:rPr>
                <w:rFonts w:hint="eastAsia"/>
                <w:color w:val="000000" w:themeColor="text1"/>
                <w:kern w:val="2"/>
                <w:sz w:val="14"/>
                <w:szCs w:val="14"/>
              </w:rPr>
              <w:t>（2）</w:t>
            </w:r>
            <w:r>
              <w:rPr>
                <w:color w:val="000000" w:themeColor="text1"/>
                <w:kern w:val="2"/>
                <w:sz w:val="14"/>
                <w:szCs w:val="14"/>
              </w:rPr>
              <w:t>进行了公开，但未达到时限、内容或范围要求的，得1分。</w:t>
            </w:r>
          </w:p>
          <w:p>
            <w:pPr>
              <w:pStyle w:val="10"/>
              <w:tabs>
                <w:tab w:val="left" w:pos="572"/>
              </w:tabs>
              <w:spacing w:line="149" w:lineRule="exact"/>
              <w:ind w:firstLine="280" w:firstLineChars="200"/>
              <w:jc w:val="both"/>
              <w:rPr>
                <w:color w:val="000000" w:themeColor="text1"/>
                <w:kern w:val="2"/>
                <w:sz w:val="14"/>
                <w:szCs w:val="14"/>
              </w:rPr>
            </w:pPr>
            <w:r>
              <w:rPr>
                <w:rFonts w:hint="eastAsia"/>
                <w:color w:val="000000" w:themeColor="text1"/>
                <w:kern w:val="2"/>
                <w:sz w:val="14"/>
                <w:szCs w:val="14"/>
              </w:rPr>
              <w:t>（3）</w:t>
            </w:r>
            <w:r>
              <w:rPr>
                <w:color w:val="000000" w:themeColor="text1"/>
                <w:kern w:val="2"/>
                <w:sz w:val="14"/>
                <w:szCs w:val="14"/>
              </w:rPr>
              <w:t>没有进行公开的，得0分。</w:t>
            </w:r>
          </w:p>
          <w:p>
            <w:pPr>
              <w:pStyle w:val="10"/>
              <w:tabs>
                <w:tab w:val="left" w:pos="572"/>
              </w:tabs>
              <w:spacing w:line="232" w:lineRule="auto"/>
              <w:ind w:firstLine="280" w:firstLineChars="200"/>
              <w:jc w:val="both"/>
              <w:rPr>
                <w:color w:val="000000" w:themeColor="text1"/>
                <w:kern w:val="2"/>
                <w:sz w:val="14"/>
                <w:szCs w:val="14"/>
              </w:rPr>
            </w:pPr>
            <w:r>
              <w:rPr>
                <w:rFonts w:hint="eastAsia"/>
                <w:color w:val="000000" w:themeColor="text1"/>
                <w:kern w:val="2"/>
                <w:sz w:val="14"/>
                <w:szCs w:val="14"/>
              </w:rPr>
              <w:t>（4）</w:t>
            </w:r>
            <w:r>
              <w:rPr>
                <w:color w:val="000000" w:themeColor="text1"/>
                <w:kern w:val="2"/>
                <w:sz w:val="14"/>
                <w:szCs w:val="14"/>
              </w:rPr>
              <w:t>涉密部门经批准不需要公开相关信息的，计2分。</w:t>
            </w:r>
          </w:p>
          <w:p>
            <w:pPr>
              <w:pStyle w:val="10"/>
              <w:tabs>
                <w:tab w:val="left" w:pos="572"/>
              </w:tabs>
              <w:spacing w:line="232" w:lineRule="auto"/>
              <w:ind w:firstLine="280" w:firstLineChars="200"/>
              <w:jc w:val="both"/>
              <w:rPr>
                <w:color w:val="000000" w:themeColor="text1"/>
                <w:kern w:val="2"/>
                <w:sz w:val="14"/>
                <w:szCs w:val="14"/>
              </w:rPr>
            </w:pPr>
            <w:r>
              <w:rPr>
                <w:color w:val="000000" w:themeColor="text1"/>
                <w:kern w:val="2"/>
                <w:sz w:val="14"/>
                <w:szCs w:val="14"/>
              </w:rPr>
              <w:t>本指标得分=部门预算公开得分+部门决算公开得分</w:t>
            </w:r>
          </w:p>
        </w:tc>
        <w:tc>
          <w:tcPr>
            <w:tcW w:w="1650" w:type="dxa"/>
          </w:tcPr>
          <w:p>
            <w:pPr>
              <w:pStyle w:val="10"/>
              <w:rPr>
                <w:rFonts w:ascii="Times New Roman"/>
                <w:color w:val="000000" w:themeColor="text1"/>
                <w:kern w:val="2"/>
                <w:sz w:val="14"/>
                <w:szCs w:val="14"/>
              </w:rPr>
            </w:pPr>
          </w:p>
        </w:tc>
      </w:tr>
    </w:tbl>
    <w:p>
      <w:pPr>
        <w:spacing w:after="0" w:afterLines="50" w:afterAutospacing="0"/>
        <w:jc w:val="center"/>
        <w:rPr>
          <w:rFonts w:ascii="Times New Roman"/>
          <w:color w:val="000000" w:themeColor="text1"/>
          <w:kern w:val="2"/>
          <w:sz w:val="21"/>
          <w:szCs w:val="21"/>
        </w:rPr>
        <w:sectPr>
          <w:footerReference r:id="rId5" w:type="default"/>
          <w:pgSz w:w="16840" w:h="11900" w:orient="landscape"/>
          <w:pgMar w:top="1134" w:right="1418" w:bottom="1134" w:left="1418" w:header="0" w:footer="0" w:gutter="0"/>
          <w:cols w:space="720" w:num="1"/>
        </w:sectPr>
      </w:pPr>
      <w:r>
        <w:rPr>
          <w:color w:val="000000" w:themeColor="text1"/>
          <w:kern w:val="2"/>
          <w:sz w:val="21"/>
          <w:szCs w:val="21"/>
        </w:rPr>
        <w:pict>
          <v:shape id="_x0000_s1041" o:spid="_x0000_s1041" o:spt="202" type="#_x0000_t202" style="position:absolute;left:0pt;margin-left:33.95pt;margin-top:510.35pt;height:43.8pt;width:15.95pt;mso-position-horizontal-relative:page;mso-position-vertical-relative:page;z-index:251661312;mso-width-relative:page;mso-height-relative:page;" filled="f" stroked="f" coordsize="21600,21600">
            <v:path/>
            <v:fill on="f" focussize="0,0"/>
            <v:stroke on="f" joinstyle="miter"/>
            <v:imagedata o:title=""/>
            <o:lock v:ext="edit"/>
            <v:textbox inset="0mm,0mm,0mm,0mm" style="layout-flow:vertical;">
              <w:txbxContent>
                <w:p/>
              </w:txbxContent>
            </v:textbox>
          </v:shape>
        </w:pict>
      </w:r>
      <w:r>
        <w:rPr>
          <w:rFonts w:hint="eastAsia" w:ascii="Times New Roman"/>
          <w:color w:val="000000" w:themeColor="text1"/>
          <w:kern w:val="2"/>
          <w:sz w:val="21"/>
          <w:szCs w:val="21"/>
          <w:lang w:val="en-US" w:eastAsia="zh-CN"/>
        </w:rPr>
        <w:t xml:space="preserve"> 2</w:t>
      </w:r>
    </w:p>
    <w:p>
      <w:pPr>
        <w:pStyle w:val="2"/>
        <w:rPr>
          <w:rFonts w:ascii="Times New Roman"/>
          <w:color w:val="000000" w:themeColor="text1"/>
          <w:kern w:val="2"/>
          <w:sz w:val="20"/>
        </w:rPr>
      </w:pPr>
      <w:r>
        <w:rPr>
          <w:color w:val="000000" w:themeColor="text1"/>
          <w:kern w:val="2"/>
        </w:rPr>
        <w:pict>
          <v:shape id="_x0000_s1044" o:spid="_x0000_s1044" o:spt="202" type="#_x0000_t202" style="position:absolute;left:0pt;margin-left:33.95pt;margin-top:71.45pt;height:43.8pt;width:15.95pt;mso-position-horizontal-relative:page;mso-position-vertical-relative:page;z-index:251662336;mso-width-relative:page;mso-height-relative:page;" filled="f" stroked="f" coordsize="21600,21600">
            <v:path/>
            <v:fill on="f" focussize="0,0"/>
            <v:stroke on="f" joinstyle="miter"/>
            <v:imagedata o:title=""/>
            <o:lock v:ext="edit"/>
            <v:textbox inset="0mm,0mm,0mm,0mm" style="layout-flow:vertical;">
              <w:txbxContent>
                <w:p/>
              </w:txbxContent>
            </v:textbox>
          </v:shape>
        </w:pict>
      </w:r>
    </w:p>
    <w:tbl>
      <w:tblPr>
        <w:tblStyle w:val="6"/>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9"/>
        <w:gridCol w:w="553"/>
        <w:gridCol w:w="533"/>
        <w:gridCol w:w="571"/>
        <w:gridCol w:w="644"/>
        <w:gridCol w:w="614"/>
        <w:gridCol w:w="801"/>
        <w:gridCol w:w="2364"/>
        <w:gridCol w:w="5742"/>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94" w:type="dxa"/>
            <w:gridSpan w:val="6"/>
          </w:tcPr>
          <w:p>
            <w:pPr>
              <w:pStyle w:val="10"/>
              <w:spacing w:line="131" w:lineRule="exact"/>
              <w:ind w:left="1623" w:right="1607"/>
              <w:jc w:val="center"/>
              <w:rPr>
                <w:rFonts w:ascii="黑体" w:eastAsia="黑体"/>
                <w:color w:val="000000" w:themeColor="text1"/>
                <w:kern w:val="2"/>
                <w:sz w:val="13"/>
              </w:rPr>
            </w:pPr>
            <w:r>
              <w:rPr>
                <w:rFonts w:hint="eastAsia" w:ascii="黑体" w:eastAsia="黑体"/>
                <w:color w:val="000000" w:themeColor="text1"/>
                <w:kern w:val="2"/>
                <w:sz w:val="13"/>
              </w:rPr>
              <w:t>评价指标</w:t>
            </w:r>
          </w:p>
        </w:tc>
        <w:tc>
          <w:tcPr>
            <w:tcW w:w="801" w:type="dxa"/>
            <w:vMerge w:val="restart"/>
            <w:vAlign w:val="center"/>
          </w:tcPr>
          <w:p>
            <w:pPr>
              <w:jc w:val="center"/>
              <w:rPr>
                <w:rFonts w:ascii="黑体" w:hAnsi="黑体" w:eastAsia="黑体"/>
              </w:rPr>
            </w:pPr>
            <w:r>
              <w:rPr>
                <w:rFonts w:hint="eastAsia" w:ascii="黑体" w:hAnsi="黑体" w:eastAsia="黑体"/>
              </w:rPr>
              <w:t>自评</w:t>
            </w:r>
          </w:p>
          <w:p>
            <w:pPr>
              <w:jc w:val="center"/>
              <w:rPr>
                <w:rFonts w:ascii="黑体" w:hAnsi="黑体" w:eastAsia="黑体"/>
              </w:rPr>
            </w:pPr>
            <w:r>
              <w:rPr>
                <w:rFonts w:hint="eastAsia" w:ascii="黑体" w:hAnsi="黑体" w:eastAsia="黑体"/>
              </w:rPr>
              <w:t>分数</w:t>
            </w:r>
          </w:p>
        </w:tc>
        <w:tc>
          <w:tcPr>
            <w:tcW w:w="2364" w:type="dxa"/>
            <w:vMerge w:val="restart"/>
            <w:vAlign w:val="center"/>
          </w:tcPr>
          <w:p>
            <w:pPr>
              <w:pStyle w:val="10"/>
              <w:tabs>
                <w:tab w:val="left" w:pos="2375"/>
              </w:tabs>
              <w:spacing w:line="131" w:lineRule="exact"/>
              <w:jc w:val="center"/>
              <w:rPr>
                <w:rFonts w:ascii="黑体" w:eastAsia="黑体"/>
                <w:color w:val="000000" w:themeColor="text1"/>
                <w:kern w:val="2"/>
                <w:sz w:val="14"/>
                <w:szCs w:val="14"/>
              </w:rPr>
            </w:pPr>
            <w:r>
              <w:rPr>
                <w:rFonts w:hint="eastAsia" w:ascii="黑体" w:eastAsia="黑体"/>
                <w:color w:val="000000" w:themeColor="text1"/>
                <w:kern w:val="2"/>
                <w:sz w:val="14"/>
                <w:szCs w:val="14"/>
              </w:rPr>
              <w:t>指标说明</w:t>
            </w:r>
          </w:p>
        </w:tc>
        <w:tc>
          <w:tcPr>
            <w:tcW w:w="5742" w:type="dxa"/>
            <w:vMerge w:val="restart"/>
            <w:vAlign w:val="center"/>
          </w:tcPr>
          <w:p>
            <w:pPr>
              <w:pStyle w:val="10"/>
              <w:spacing w:line="131" w:lineRule="exact"/>
              <w:ind w:right="2754"/>
              <w:jc w:val="center"/>
              <w:rPr>
                <w:rFonts w:ascii="黑体" w:eastAsia="黑体"/>
                <w:color w:val="000000" w:themeColor="text1"/>
                <w:kern w:val="2"/>
                <w:sz w:val="14"/>
                <w:szCs w:val="14"/>
              </w:rPr>
            </w:pPr>
            <w:r>
              <w:rPr>
                <w:rFonts w:hint="eastAsia" w:ascii="黑体" w:eastAsia="黑体"/>
                <w:color w:val="000000" w:themeColor="text1"/>
                <w:kern w:val="2"/>
                <w:sz w:val="14"/>
                <w:szCs w:val="14"/>
              </w:rPr>
              <w:t xml:space="preserve">                                 评分标准</w:t>
            </w:r>
          </w:p>
        </w:tc>
        <w:tc>
          <w:tcPr>
            <w:tcW w:w="1448" w:type="dxa"/>
            <w:vMerge w:val="restart"/>
            <w:vAlign w:val="center"/>
          </w:tcPr>
          <w:p>
            <w:pPr>
              <w:pStyle w:val="10"/>
              <w:ind w:right="649"/>
              <w:jc w:val="center"/>
              <w:rPr>
                <w:rFonts w:ascii="黑体" w:eastAsia="黑体"/>
                <w:color w:val="000000" w:themeColor="text1"/>
                <w:kern w:val="2"/>
                <w:sz w:val="13"/>
              </w:rPr>
            </w:pPr>
            <w:r>
              <w:rPr>
                <w:rFonts w:hint="eastAsia" w:ascii="Times New Roman"/>
                <w:color w:val="000000" w:themeColor="text1"/>
                <w:kern w:val="2"/>
                <w:sz w:val="16"/>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679" w:type="dxa"/>
          </w:tcPr>
          <w:p>
            <w:pPr>
              <w:pStyle w:val="10"/>
              <w:spacing w:before="14" w:line="116" w:lineRule="exact"/>
              <w:ind w:left="23"/>
              <w:rPr>
                <w:rFonts w:ascii="黑体" w:eastAsia="黑体"/>
                <w:color w:val="000000" w:themeColor="text1"/>
                <w:kern w:val="2"/>
                <w:sz w:val="11"/>
              </w:rPr>
            </w:pPr>
            <w:r>
              <w:rPr>
                <w:rFonts w:hint="eastAsia" w:ascii="黑体" w:eastAsia="黑体"/>
                <w:color w:val="000000" w:themeColor="text1"/>
                <w:kern w:val="2"/>
                <w:sz w:val="11"/>
              </w:rPr>
              <w:t>一级指标</w:t>
            </w:r>
          </w:p>
        </w:tc>
        <w:tc>
          <w:tcPr>
            <w:tcW w:w="553" w:type="dxa"/>
          </w:tcPr>
          <w:p>
            <w:pPr>
              <w:pStyle w:val="10"/>
              <w:rPr>
                <w:rFonts w:ascii="Times New Roman"/>
                <w:color w:val="000000" w:themeColor="text1"/>
                <w:kern w:val="2"/>
                <w:sz w:val="8"/>
              </w:rPr>
            </w:pPr>
          </w:p>
        </w:tc>
        <w:tc>
          <w:tcPr>
            <w:tcW w:w="533" w:type="dxa"/>
          </w:tcPr>
          <w:p>
            <w:pPr>
              <w:pStyle w:val="10"/>
              <w:spacing w:before="14" w:line="116" w:lineRule="exact"/>
              <w:ind w:left="25"/>
              <w:rPr>
                <w:rFonts w:ascii="黑体" w:eastAsia="黑体"/>
                <w:color w:val="000000" w:themeColor="text1"/>
                <w:kern w:val="2"/>
                <w:sz w:val="11"/>
              </w:rPr>
            </w:pPr>
            <w:r>
              <w:rPr>
                <w:rFonts w:hint="eastAsia" w:ascii="黑体" w:eastAsia="黑体"/>
                <w:color w:val="000000" w:themeColor="text1"/>
                <w:kern w:val="2"/>
                <w:sz w:val="11"/>
              </w:rPr>
              <w:t>二级指标</w:t>
            </w:r>
          </w:p>
        </w:tc>
        <w:tc>
          <w:tcPr>
            <w:tcW w:w="571" w:type="dxa"/>
          </w:tcPr>
          <w:p>
            <w:pPr>
              <w:pStyle w:val="10"/>
              <w:rPr>
                <w:rFonts w:ascii="Times New Roman"/>
                <w:color w:val="000000" w:themeColor="text1"/>
                <w:kern w:val="2"/>
                <w:sz w:val="8"/>
              </w:rPr>
            </w:pPr>
          </w:p>
        </w:tc>
        <w:tc>
          <w:tcPr>
            <w:tcW w:w="644" w:type="dxa"/>
          </w:tcPr>
          <w:p>
            <w:pPr>
              <w:pStyle w:val="10"/>
              <w:spacing w:before="14" w:line="116" w:lineRule="exact"/>
              <w:ind w:left="24"/>
              <w:rPr>
                <w:rFonts w:ascii="黑体" w:eastAsia="黑体"/>
                <w:color w:val="000000" w:themeColor="text1"/>
                <w:kern w:val="2"/>
                <w:sz w:val="11"/>
              </w:rPr>
            </w:pPr>
            <w:r>
              <w:rPr>
                <w:rFonts w:hint="eastAsia" w:ascii="黑体" w:eastAsia="黑体"/>
                <w:color w:val="000000" w:themeColor="text1"/>
                <w:kern w:val="2"/>
                <w:sz w:val="11"/>
              </w:rPr>
              <w:t>三级指标</w:t>
            </w:r>
          </w:p>
        </w:tc>
        <w:tc>
          <w:tcPr>
            <w:tcW w:w="614" w:type="dxa"/>
          </w:tcPr>
          <w:p>
            <w:pPr>
              <w:pStyle w:val="10"/>
              <w:rPr>
                <w:rFonts w:ascii="Times New Roman"/>
                <w:color w:val="000000" w:themeColor="text1"/>
                <w:kern w:val="2"/>
                <w:sz w:val="8"/>
              </w:rPr>
            </w:pPr>
          </w:p>
        </w:tc>
        <w:tc>
          <w:tcPr>
            <w:tcW w:w="801" w:type="dxa"/>
            <w:vMerge w:val="continue"/>
          </w:tcPr>
          <w:p>
            <w:pPr>
              <w:pStyle w:val="10"/>
              <w:rPr>
                <w:rFonts w:ascii="Times New Roman"/>
                <w:color w:val="000000" w:themeColor="text1"/>
                <w:kern w:val="2"/>
                <w:sz w:val="8"/>
              </w:rPr>
            </w:pPr>
          </w:p>
        </w:tc>
        <w:tc>
          <w:tcPr>
            <w:tcW w:w="2364" w:type="dxa"/>
            <w:vMerge w:val="continue"/>
          </w:tcPr>
          <w:p>
            <w:pPr>
              <w:pStyle w:val="10"/>
              <w:rPr>
                <w:rFonts w:ascii="Times New Roman"/>
                <w:color w:val="000000" w:themeColor="text1"/>
                <w:kern w:val="2"/>
                <w:sz w:val="8"/>
              </w:rPr>
            </w:pPr>
          </w:p>
        </w:tc>
        <w:tc>
          <w:tcPr>
            <w:tcW w:w="5742" w:type="dxa"/>
            <w:vMerge w:val="continue"/>
          </w:tcPr>
          <w:p>
            <w:pPr>
              <w:pStyle w:val="10"/>
              <w:rPr>
                <w:rFonts w:ascii="Times New Roman"/>
                <w:color w:val="000000" w:themeColor="text1"/>
                <w:kern w:val="2"/>
                <w:sz w:val="8"/>
              </w:rPr>
            </w:pPr>
          </w:p>
        </w:tc>
        <w:tc>
          <w:tcPr>
            <w:tcW w:w="1448" w:type="dxa"/>
            <w:vMerge w:val="continue"/>
            <w:tcBorders>
              <w:top w:val="nil"/>
            </w:tcBorders>
          </w:tcPr>
          <w:p>
            <w:pPr>
              <w:rPr>
                <w:color w:val="000000" w:themeColor="text1"/>
                <w:kern w:val="2"/>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679" w:type="dxa"/>
          </w:tcPr>
          <w:p>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名称</w:t>
            </w:r>
          </w:p>
        </w:tc>
        <w:tc>
          <w:tcPr>
            <w:tcW w:w="553" w:type="dxa"/>
          </w:tcPr>
          <w:p>
            <w:pPr>
              <w:pStyle w:val="10"/>
              <w:spacing w:before="46"/>
              <w:ind w:left="23"/>
              <w:rPr>
                <w:rFonts w:ascii="黑体" w:eastAsia="黑体"/>
                <w:color w:val="000000" w:themeColor="text1"/>
                <w:kern w:val="2"/>
                <w:sz w:val="11"/>
              </w:rPr>
            </w:pPr>
            <w:r>
              <w:rPr>
                <w:rFonts w:hint="eastAsia" w:ascii="黑体" w:eastAsia="黑体"/>
                <w:color w:val="000000" w:themeColor="text1"/>
                <w:kern w:val="2"/>
                <w:sz w:val="11"/>
              </w:rPr>
              <w:t>权重（ ）</w:t>
            </w:r>
          </w:p>
        </w:tc>
        <w:tc>
          <w:tcPr>
            <w:tcW w:w="533" w:type="dxa"/>
          </w:tcPr>
          <w:p>
            <w:pPr>
              <w:pStyle w:val="10"/>
              <w:spacing w:before="46"/>
              <w:ind w:left="25"/>
              <w:rPr>
                <w:rFonts w:ascii="黑体" w:eastAsia="黑体"/>
                <w:color w:val="000000" w:themeColor="text1"/>
                <w:kern w:val="2"/>
                <w:sz w:val="11"/>
              </w:rPr>
            </w:pPr>
            <w:r>
              <w:rPr>
                <w:rFonts w:hint="eastAsia" w:ascii="黑体" w:eastAsia="黑体"/>
                <w:color w:val="000000" w:themeColor="text1"/>
                <w:kern w:val="2"/>
                <w:sz w:val="11"/>
              </w:rPr>
              <w:t>名称</w:t>
            </w:r>
          </w:p>
        </w:tc>
        <w:tc>
          <w:tcPr>
            <w:tcW w:w="571" w:type="dxa"/>
          </w:tcPr>
          <w:p>
            <w:pPr>
              <w:pStyle w:val="10"/>
              <w:spacing w:before="46"/>
              <w:ind w:left="6" w:right="60"/>
              <w:jc w:val="center"/>
              <w:rPr>
                <w:rFonts w:ascii="黑体" w:eastAsia="黑体"/>
                <w:color w:val="000000" w:themeColor="text1"/>
                <w:kern w:val="2"/>
                <w:sz w:val="11"/>
              </w:rPr>
            </w:pPr>
            <w:r>
              <w:rPr>
                <w:rFonts w:hint="eastAsia" w:ascii="黑体" w:eastAsia="黑体"/>
                <w:color w:val="000000" w:themeColor="text1"/>
                <w:kern w:val="2"/>
                <w:sz w:val="11"/>
              </w:rPr>
              <w:t>权重（ ）</w:t>
            </w:r>
          </w:p>
        </w:tc>
        <w:tc>
          <w:tcPr>
            <w:tcW w:w="644" w:type="dxa"/>
          </w:tcPr>
          <w:p>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名称</w:t>
            </w:r>
          </w:p>
        </w:tc>
        <w:tc>
          <w:tcPr>
            <w:tcW w:w="614" w:type="dxa"/>
          </w:tcPr>
          <w:p>
            <w:pPr>
              <w:pStyle w:val="10"/>
              <w:spacing w:before="46"/>
              <w:ind w:left="24"/>
              <w:rPr>
                <w:rFonts w:ascii="黑体" w:eastAsia="黑体"/>
                <w:color w:val="000000" w:themeColor="text1"/>
                <w:kern w:val="2"/>
                <w:sz w:val="11"/>
              </w:rPr>
            </w:pPr>
            <w:r>
              <w:rPr>
                <w:rFonts w:hint="eastAsia" w:ascii="黑体" w:eastAsia="黑体"/>
                <w:color w:val="000000" w:themeColor="text1"/>
                <w:kern w:val="2"/>
                <w:sz w:val="11"/>
              </w:rPr>
              <w:t>权重（ ）</w:t>
            </w:r>
          </w:p>
        </w:tc>
        <w:tc>
          <w:tcPr>
            <w:tcW w:w="801" w:type="dxa"/>
            <w:vMerge w:val="continue"/>
          </w:tcPr>
          <w:p>
            <w:pPr>
              <w:pStyle w:val="10"/>
              <w:rPr>
                <w:rFonts w:ascii="Times New Roman"/>
                <w:color w:val="000000" w:themeColor="text1"/>
                <w:kern w:val="2"/>
                <w:sz w:val="12"/>
              </w:rPr>
            </w:pPr>
          </w:p>
        </w:tc>
        <w:tc>
          <w:tcPr>
            <w:tcW w:w="2364" w:type="dxa"/>
            <w:vMerge w:val="continue"/>
          </w:tcPr>
          <w:p>
            <w:pPr>
              <w:pStyle w:val="10"/>
              <w:rPr>
                <w:rFonts w:ascii="Times New Roman"/>
                <w:color w:val="000000" w:themeColor="text1"/>
                <w:kern w:val="2"/>
                <w:sz w:val="12"/>
              </w:rPr>
            </w:pPr>
          </w:p>
        </w:tc>
        <w:tc>
          <w:tcPr>
            <w:tcW w:w="5742" w:type="dxa"/>
            <w:vMerge w:val="continue"/>
          </w:tcPr>
          <w:p>
            <w:pPr>
              <w:pStyle w:val="10"/>
              <w:rPr>
                <w:rFonts w:ascii="Times New Roman"/>
                <w:color w:val="000000" w:themeColor="text1"/>
                <w:kern w:val="2"/>
                <w:sz w:val="12"/>
              </w:rPr>
            </w:pPr>
          </w:p>
        </w:tc>
        <w:tc>
          <w:tcPr>
            <w:tcW w:w="1448" w:type="dxa"/>
            <w:vMerge w:val="continue"/>
            <w:tcBorders>
              <w:top w:val="nil"/>
            </w:tcBorders>
          </w:tcPr>
          <w:p>
            <w:pPr>
              <w:rPr>
                <w:color w:val="000000" w:themeColor="text1"/>
                <w:kern w:val="2"/>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679" w:type="dxa"/>
            <w:vMerge w:val="restart"/>
          </w:tcPr>
          <w:p>
            <w:pPr>
              <w:pStyle w:val="10"/>
              <w:rPr>
                <w:rFonts w:ascii="Times New Roman"/>
                <w:color w:val="000000" w:themeColor="text1"/>
                <w:kern w:val="2"/>
                <w:sz w:val="15"/>
                <w:szCs w:val="15"/>
              </w:rPr>
            </w:pPr>
          </w:p>
        </w:tc>
        <w:tc>
          <w:tcPr>
            <w:tcW w:w="553" w:type="dxa"/>
            <w:vMerge w:val="restart"/>
          </w:tcPr>
          <w:p>
            <w:pPr>
              <w:pStyle w:val="10"/>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w:t>
            </w:r>
          </w:p>
          <w:p>
            <w:pPr>
              <w:pStyle w:val="10"/>
              <w:spacing w:before="89"/>
              <w:ind w:left="58"/>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89"/>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99"/>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项目实施程序</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99"/>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99"/>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2</w:t>
            </w:r>
          </w:p>
        </w:tc>
        <w:tc>
          <w:tcPr>
            <w:tcW w:w="2364" w:type="dxa"/>
          </w:tcPr>
          <w:p>
            <w:pPr>
              <w:pStyle w:val="10"/>
              <w:spacing w:before="17" w:line="232" w:lineRule="auto"/>
              <w:ind w:left="24" w:right="2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反映部门（单位）所有项目支出实施过程是否规范,包括是否符合申报条件；申报、批复程序是否符合相关管理办法；项目招投标、调整、完成验收等是否履行相应手续等。</w:t>
            </w:r>
          </w:p>
        </w:tc>
        <w:tc>
          <w:tcPr>
            <w:tcW w:w="5742" w:type="dxa"/>
          </w:tcPr>
          <w:p>
            <w:pPr>
              <w:pStyle w:val="10"/>
              <w:numPr>
                <w:ilvl w:val="0"/>
                <w:numId w:val="1"/>
              </w:numPr>
              <w:tabs>
                <w:tab w:val="left" w:pos="389"/>
              </w:tabs>
              <w:spacing w:before="88"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项目的设立及调整按规定履行报批程</w:t>
            </w:r>
            <w:r>
              <w:rPr>
                <w:rFonts w:hint="eastAsia" w:asciiTheme="minorEastAsia" w:hAnsiTheme="minorEastAsia" w:eastAsiaTheme="minorEastAsia"/>
                <w:color w:val="000000" w:themeColor="text1"/>
                <w:kern w:val="2"/>
                <w:sz w:val="14"/>
                <w:szCs w:val="14"/>
              </w:rPr>
              <w:t>序</w:t>
            </w:r>
            <w:r>
              <w:rPr>
                <w:rFonts w:asciiTheme="minorEastAsia" w:hAnsiTheme="minorEastAsia" w:eastAsiaTheme="minorEastAsia"/>
                <w:color w:val="000000" w:themeColor="text1"/>
                <w:kern w:val="2"/>
                <w:sz w:val="14"/>
                <w:szCs w:val="14"/>
              </w:rPr>
              <w:t>，得1分；</w:t>
            </w:r>
          </w:p>
          <w:p>
            <w:pPr>
              <w:pStyle w:val="10"/>
              <w:numPr>
                <w:ilvl w:val="0"/>
                <w:numId w:val="1"/>
              </w:numPr>
              <w:tabs>
                <w:tab w:val="left" w:pos="389"/>
              </w:tabs>
              <w:spacing w:before="1" w:line="232" w:lineRule="auto"/>
              <w:ind w:left="266" w:right="1750"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项目招投标、建设、验收等或方案实施严格执行相关制度规定的，得1分； 评价时发现有项目不符合上述条件的，酌情扣分。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6"/>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项目监管</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6"/>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6"/>
              <w:rPr>
                <w:rFonts w:asciiTheme="minorEastAsia" w:hAnsiTheme="minorEastAsia" w:eastAsiaTheme="minorEastAsia"/>
                <w:color w:val="000000" w:themeColor="text1"/>
                <w:kern w:val="2"/>
                <w:sz w:val="14"/>
                <w:szCs w:val="14"/>
              </w:rPr>
            </w:pPr>
            <w:bookmarkStart w:id="2" w:name="_GoBack"/>
            <w:bookmarkEnd w:id="2"/>
          </w:p>
          <w:p>
            <w:pPr>
              <w:pStyle w:val="1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5</w:t>
            </w:r>
          </w:p>
        </w:tc>
        <w:tc>
          <w:tcPr>
            <w:tcW w:w="2364" w:type="dxa"/>
            <w:vAlign w:val="center"/>
          </w:tcPr>
          <w:p>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反映部门（单位）对所实施项目（包括</w:t>
            </w:r>
            <w:r>
              <w:rPr>
                <w:rFonts w:hint="eastAsia" w:asciiTheme="minorEastAsia" w:hAnsiTheme="minorEastAsia" w:eastAsiaTheme="minorEastAsia"/>
                <w:color w:val="000000" w:themeColor="text1"/>
                <w:kern w:val="2"/>
                <w:sz w:val="14"/>
                <w:szCs w:val="14"/>
              </w:rPr>
              <w:t>部门主管的</w:t>
            </w:r>
            <w:r>
              <w:rPr>
                <w:rFonts w:hint="eastAsia" w:asciiTheme="minorEastAsia" w:hAnsiTheme="minorEastAsia" w:eastAsiaTheme="minorEastAsia"/>
                <w:color w:val="000000" w:themeColor="text1"/>
                <w:kern w:val="2"/>
                <w:sz w:val="14"/>
                <w:szCs w:val="14"/>
                <w:lang w:eastAsia="zh-CN"/>
              </w:rPr>
              <w:t>县</w:t>
            </w:r>
            <w:r>
              <w:rPr>
                <w:rFonts w:hint="eastAsia" w:asciiTheme="minorEastAsia" w:hAnsiTheme="minorEastAsia" w:eastAsiaTheme="minorEastAsia"/>
                <w:color w:val="000000" w:themeColor="text1"/>
                <w:kern w:val="2"/>
                <w:sz w:val="14"/>
                <w:szCs w:val="14"/>
              </w:rPr>
              <w:t>级专项资金与专项经费分配给县实施的项目）</w:t>
            </w:r>
            <w:r>
              <w:rPr>
                <w:rFonts w:asciiTheme="minorEastAsia" w:hAnsiTheme="minorEastAsia" w:eastAsiaTheme="minorEastAsia"/>
                <w:color w:val="000000" w:themeColor="text1"/>
                <w:kern w:val="2"/>
                <w:sz w:val="14"/>
                <w:szCs w:val="14"/>
              </w:rPr>
              <w:t>的检查、监控、督促等管理等情况。</w:t>
            </w:r>
          </w:p>
        </w:tc>
        <w:tc>
          <w:tcPr>
            <w:tcW w:w="5742" w:type="dxa"/>
          </w:tcPr>
          <w:p>
            <w:pPr>
              <w:pStyle w:val="10"/>
              <w:tabs>
                <w:tab w:val="left" w:pos="389"/>
              </w:tabs>
              <w:spacing w:before="30" w:line="151" w:lineRule="exact"/>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 xml:space="preserve">    按规定对专项资金和项目支出的管理使用以及项目实施开展有效的监管，具体包括：</w:t>
            </w:r>
          </w:p>
          <w:p>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1.通过汇报、现场核查等方式，对专项资金和专项经费的使用情况以及项目实施进度开展定期或不定期检查，保障资金支付进度和项目实施进度的，得1分；</w:t>
            </w:r>
          </w:p>
          <w:p>
            <w:pPr>
              <w:pStyle w:val="10"/>
              <w:tabs>
                <w:tab w:val="left" w:pos="389"/>
              </w:tabs>
              <w:spacing w:before="3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2.通过自行组织或委托服务等方式，结合资金和项目检查结果，及时对专项资金和专项经费绩效目标的执行情况开展监控，发现与既定绩效目标发生偏离的情况并责成项目单位采取措施予以纠正的，得2分；</w:t>
            </w:r>
          </w:p>
          <w:p>
            <w:pPr>
              <w:pStyle w:val="10"/>
              <w:spacing w:line="148" w:lineRule="exact"/>
              <w:ind w:left="266"/>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3.通过审计、报告等方式落实检查或监控发现问题整改到位的，得2分；</w:t>
            </w:r>
          </w:p>
          <w:p>
            <w:pPr>
              <w:pStyle w:val="10"/>
              <w:spacing w:line="148" w:lineRule="exact"/>
              <w:ind w:firstLine="309" w:firstLineChars="221"/>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上述情况需提供检查、监督通知文件、委托服务合同、检查或监督工作汇报或总结、整改报告等证明材料，若发现1项工作未实施的，扣1分；若每项工作无相关证明材料支撑的，扣0.5分，扣完为止。</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w:t>
            </w:r>
          </w:p>
          <w:p>
            <w:pPr>
              <w:pStyle w:val="10"/>
              <w:spacing w:before="106"/>
              <w:ind w:left="5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106"/>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5</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资产管理安全性</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2</w:t>
            </w:r>
          </w:p>
        </w:tc>
        <w:tc>
          <w:tcPr>
            <w:tcW w:w="2364" w:type="dxa"/>
          </w:tcPr>
          <w:p>
            <w:pPr>
              <w:pStyle w:val="10"/>
              <w:spacing w:before="73" w:line="232" w:lineRule="auto"/>
              <w:ind w:left="24" w:right="26" w:firstLine="6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部门（单位）的资产是否保存完整、使用合规、配置合理、处置规范、收入及时足额上缴，用于反映和考核部门（单位）资产安全运行情况。</w:t>
            </w:r>
          </w:p>
        </w:tc>
        <w:tc>
          <w:tcPr>
            <w:tcW w:w="5742" w:type="dxa"/>
          </w:tcPr>
          <w:p>
            <w:pPr>
              <w:pStyle w:val="10"/>
              <w:spacing w:before="5"/>
              <w:rPr>
                <w:rFonts w:asciiTheme="minorEastAsia" w:hAnsiTheme="minorEastAsia" w:eastAsiaTheme="minorEastAsia"/>
                <w:color w:val="000000" w:themeColor="text1"/>
                <w:kern w:val="2"/>
                <w:sz w:val="14"/>
                <w:szCs w:val="14"/>
              </w:rPr>
            </w:pPr>
          </w:p>
          <w:p>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资产配置合理、保管完整，账实相符的，的，得1分；</w:t>
            </w:r>
          </w:p>
          <w:p>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资产有偿使用及处置收入及时足额上缴，得1分。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jc w:val="cente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7"/>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固定资产利用率</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7"/>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7"/>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80" w:line="232" w:lineRule="auto"/>
              <w:ind w:left="24"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部门（单位）实际在用固定资产总额与所有固定资产总额的比例，用以反映和考核部门（单位） 固定资产使用效率程度。</w:t>
            </w:r>
          </w:p>
        </w:tc>
        <w:tc>
          <w:tcPr>
            <w:tcW w:w="5742" w:type="dxa"/>
            <w:vAlign w:val="center"/>
          </w:tcPr>
          <w:p>
            <w:pPr>
              <w:pStyle w:val="10"/>
              <w:spacing w:line="151"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的，得3分；</w:t>
            </w:r>
          </w:p>
          <w:p>
            <w:pPr>
              <w:pStyle w:val="10"/>
              <w:spacing w:before="5" w:line="146"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2.90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pPr>
              <w:pStyle w:val="10"/>
              <w:spacing w:before="4" w:line="148" w:lineRule="exact"/>
              <w:ind w:left="26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3.75</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w:t>
            </w: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分；</w:t>
            </w:r>
          </w:p>
          <w:p>
            <w:pPr>
              <w:pStyle w:val="10"/>
              <w:spacing w:before="4" w:line="148" w:lineRule="exact"/>
              <w:ind w:left="266" w:right="25"/>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4.比率＜60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tcPr>
          <w:p>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人员</w:t>
            </w:r>
          </w:p>
          <w:p>
            <w:pPr>
              <w:pStyle w:val="10"/>
              <w:spacing w:before="10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pPr>
              <w:pStyle w:val="10"/>
              <w:spacing w:before="105"/>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644" w:type="dxa"/>
          </w:tcPr>
          <w:p>
            <w:pPr>
              <w:pStyle w:val="10"/>
              <w:spacing w:before="34"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财政供养人员控制率</w:t>
            </w:r>
          </w:p>
        </w:tc>
        <w:tc>
          <w:tcPr>
            <w:tcW w:w="614" w:type="dxa"/>
          </w:tcPr>
          <w:p>
            <w:pPr>
              <w:pStyle w:val="10"/>
              <w:spacing w:before="10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w:t>
            </w:r>
          </w:p>
        </w:tc>
        <w:tc>
          <w:tcPr>
            <w:tcW w:w="801" w:type="dxa"/>
            <w:vAlign w:val="top"/>
          </w:tcPr>
          <w:p>
            <w:pPr>
              <w:pStyle w:val="10"/>
              <w:spacing w:before="105"/>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2</w:t>
            </w:r>
          </w:p>
        </w:tc>
        <w:tc>
          <w:tcPr>
            <w:tcW w:w="2364" w:type="dxa"/>
          </w:tcPr>
          <w:p>
            <w:pPr>
              <w:pStyle w:val="10"/>
              <w:spacing w:before="34"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部门（单位）本年度在编人数（含工勤人员）与核定编制数（含工勤人员）的比率。</w:t>
            </w:r>
          </w:p>
        </w:tc>
        <w:tc>
          <w:tcPr>
            <w:tcW w:w="5742" w:type="dxa"/>
          </w:tcPr>
          <w:p>
            <w:pPr>
              <w:pStyle w:val="10"/>
              <w:spacing w:before="2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的，得2分；</w:t>
            </w:r>
          </w:p>
          <w:p>
            <w:pPr>
              <w:pStyle w:val="10"/>
              <w:spacing w:before="5"/>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2.比率＞100</w:t>
            </w:r>
            <w:r>
              <w:rPr>
                <w:rFonts w:hint="eastAsia" w:asciiTheme="minorEastAsia" w:hAnsiTheme="minorEastAsia" w:eastAsiaTheme="minorEastAsia"/>
                <w:color w:val="000000" w:themeColor="text1"/>
                <w:kern w:val="2"/>
                <w:sz w:val="14"/>
                <w:szCs w:val="14"/>
                <w:lang w:val="en-US" w:bidi="ar-SA"/>
              </w:rPr>
              <w:t>%</w:t>
            </w:r>
            <w:r>
              <w:rPr>
                <w:rFonts w:asciiTheme="minorEastAsia" w:hAnsiTheme="minorEastAsia" w:eastAsiaTheme="minorEastAsia"/>
                <w:color w:val="000000" w:themeColor="text1"/>
                <w:kern w:val="2"/>
                <w:sz w:val="14"/>
                <w:szCs w:val="14"/>
              </w:rPr>
              <w:t>的，得0分。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Align w:val="center"/>
          </w:tcPr>
          <w:p>
            <w:pPr>
              <w:pStyle w:val="10"/>
              <w:spacing w:before="1"/>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制度</w:t>
            </w: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w:t>
            </w:r>
          </w:p>
        </w:tc>
        <w:tc>
          <w:tcPr>
            <w:tcW w:w="571" w:type="dxa"/>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
              <w:jc w:val="center"/>
              <w:rPr>
                <w:rFonts w:asciiTheme="minorEastAsia" w:hAnsiTheme="minorEastAsia" w:eastAsiaTheme="minorEastAsia"/>
                <w:color w:val="000000" w:themeColor="text1"/>
                <w:kern w:val="2"/>
                <w:sz w:val="14"/>
                <w:szCs w:val="14"/>
              </w:rPr>
            </w:pP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管理制度健全性</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17"/>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
              <w:rPr>
                <w:rFonts w:asciiTheme="minorEastAsia" w:hAnsiTheme="minorEastAsia" w:eastAsiaTheme="minorEastAsia"/>
                <w:color w:val="000000" w:themeColor="text1"/>
                <w:kern w:val="2"/>
                <w:sz w:val="14"/>
                <w:szCs w:val="14"/>
              </w:rPr>
            </w:pPr>
          </w:p>
          <w:p>
            <w:pPr>
              <w:pStyle w:val="10"/>
              <w:spacing w:before="1"/>
              <w:ind w:left="17"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4</w:t>
            </w:r>
          </w:p>
        </w:tc>
        <w:tc>
          <w:tcPr>
            <w:tcW w:w="2364" w:type="dxa"/>
          </w:tcPr>
          <w:p>
            <w:pPr>
              <w:pStyle w:val="10"/>
              <w:spacing w:before="1"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部门（单位）是否制订并严格执行了相应的预算资金、财务管理和预算绩效管理制度等，用以反映部门的管理制度对其完成主要职责和促进事业发展的保障情况。</w:t>
            </w:r>
          </w:p>
        </w:tc>
        <w:tc>
          <w:tcPr>
            <w:tcW w:w="5742" w:type="dxa"/>
          </w:tcPr>
          <w:p>
            <w:pPr>
              <w:pStyle w:val="10"/>
              <w:tabs>
                <w:tab w:val="left" w:pos="389"/>
              </w:tabs>
              <w:spacing w:before="107"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部门制订了财政资金管理、内部财务、内部控制等制度的，得1分；</w:t>
            </w:r>
          </w:p>
          <w:p>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上述资金、财务和内控制度得到有效执行，能提供相关佐证材料的，得1分；</w:t>
            </w:r>
          </w:p>
          <w:p>
            <w:pPr>
              <w:pStyle w:val="10"/>
              <w:tabs>
                <w:tab w:val="left" w:pos="389"/>
              </w:tabs>
              <w:spacing w:line="149"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3.</w:t>
            </w:r>
            <w:r>
              <w:rPr>
                <w:rFonts w:asciiTheme="minorEastAsia" w:hAnsiTheme="minorEastAsia" w:eastAsiaTheme="minorEastAsia"/>
                <w:color w:val="000000" w:themeColor="text1"/>
                <w:kern w:val="2"/>
                <w:sz w:val="14"/>
                <w:szCs w:val="14"/>
              </w:rPr>
              <w:t>部门制订了本部门预算绩效管理制度的得1分；</w:t>
            </w:r>
          </w:p>
          <w:p>
            <w:pPr>
              <w:pStyle w:val="10"/>
              <w:tabs>
                <w:tab w:val="left" w:pos="389"/>
              </w:tabs>
              <w:spacing w:line="151" w:lineRule="exact"/>
              <w:ind w:left="265"/>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4.</w:t>
            </w:r>
            <w:r>
              <w:rPr>
                <w:rFonts w:asciiTheme="minorEastAsia" w:hAnsiTheme="minorEastAsia" w:eastAsiaTheme="minorEastAsia"/>
                <w:color w:val="000000" w:themeColor="text1"/>
                <w:kern w:val="2"/>
                <w:sz w:val="14"/>
                <w:szCs w:val="14"/>
              </w:rPr>
              <w:t>部门落实了预算绩效管理制度，在本级及下属单位开展绩效评价等工作，能提供相关佐证材料的，得1分。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1" w:hRule="atLeast"/>
        </w:trPr>
        <w:tc>
          <w:tcPr>
            <w:tcW w:w="679" w:type="dxa"/>
            <w:vMerge w:val="restart"/>
          </w:tcPr>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jc w:val="center"/>
              <w:rPr>
                <w:rFonts w:ascii="Times New Roman"/>
                <w:color w:val="000000" w:themeColor="text1"/>
                <w:kern w:val="2"/>
                <w:sz w:val="15"/>
                <w:szCs w:val="15"/>
              </w:rPr>
            </w:pPr>
          </w:p>
          <w:p>
            <w:pPr>
              <w:pStyle w:val="10"/>
              <w:spacing w:before="2"/>
              <w:jc w:val="center"/>
              <w:rPr>
                <w:rFonts w:ascii="Times New Roman"/>
                <w:color w:val="000000" w:themeColor="text1"/>
                <w:kern w:val="2"/>
                <w:sz w:val="15"/>
                <w:szCs w:val="15"/>
              </w:rPr>
            </w:pPr>
          </w:p>
          <w:p>
            <w:pPr>
              <w:pStyle w:val="10"/>
              <w:spacing w:line="232" w:lineRule="auto"/>
              <w:ind w:left="148" w:right="9" w:hanging="120"/>
              <w:jc w:val="center"/>
              <w:rPr>
                <w:color w:val="000000" w:themeColor="text1"/>
                <w:kern w:val="2"/>
                <w:sz w:val="15"/>
                <w:szCs w:val="15"/>
              </w:rPr>
            </w:pPr>
            <w:r>
              <w:rPr>
                <w:color w:val="000000" w:themeColor="text1"/>
                <w:kern w:val="2"/>
                <w:sz w:val="15"/>
                <w:szCs w:val="15"/>
              </w:rPr>
              <w:t>预算使用效益</w:t>
            </w: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p>
            <w:pPr>
              <w:pStyle w:val="10"/>
              <w:spacing w:line="232" w:lineRule="auto"/>
              <w:ind w:left="148" w:right="9" w:hanging="120"/>
              <w:jc w:val="center"/>
              <w:rPr>
                <w:color w:val="000000" w:themeColor="text1"/>
                <w:kern w:val="2"/>
                <w:sz w:val="15"/>
                <w:szCs w:val="15"/>
              </w:rPr>
            </w:pPr>
          </w:p>
        </w:tc>
        <w:tc>
          <w:tcPr>
            <w:tcW w:w="553" w:type="dxa"/>
            <w:vMerge w:val="restart"/>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30</w:t>
            </w: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left="210" w:right="193"/>
              <w:jc w:val="center"/>
              <w:rPr>
                <w:rFonts w:asciiTheme="minorEastAsia" w:hAnsiTheme="minorEastAsia" w:eastAsiaTheme="minorEastAsia"/>
                <w:color w:val="000000" w:themeColor="text1"/>
                <w:kern w:val="2"/>
                <w:sz w:val="14"/>
                <w:szCs w:val="14"/>
              </w:rPr>
            </w:pPr>
          </w:p>
          <w:p>
            <w:pPr>
              <w:pStyle w:val="10"/>
              <w:spacing w:before="73"/>
              <w:ind w:right="193"/>
              <w:rPr>
                <w:rFonts w:asciiTheme="minorEastAsia" w:hAnsiTheme="minorEastAsia" w:eastAsiaTheme="minorEastAsia"/>
                <w:color w:val="000000" w:themeColor="text1"/>
                <w:kern w:val="2"/>
                <w:sz w:val="14"/>
                <w:szCs w:val="14"/>
              </w:rPr>
            </w:pPr>
          </w:p>
        </w:tc>
        <w:tc>
          <w:tcPr>
            <w:tcW w:w="533"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经济性</w:t>
            </w:r>
          </w:p>
        </w:tc>
        <w:tc>
          <w:tcPr>
            <w:tcW w:w="571"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2"/>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公用经费控制率</w:t>
            </w:r>
          </w:p>
        </w:tc>
        <w:tc>
          <w:tcPr>
            <w:tcW w:w="614"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2"/>
              <w:rPr>
                <w:rFonts w:asciiTheme="minorEastAsia" w:hAnsiTheme="minorEastAsia" w:eastAsiaTheme="minorEastAsia"/>
                <w:color w:val="000000" w:themeColor="text1"/>
                <w:kern w:val="2"/>
                <w:sz w:val="14"/>
                <w:szCs w:val="14"/>
              </w:rPr>
            </w:pPr>
          </w:p>
          <w:p>
            <w:pPr>
              <w:pStyle w:val="10"/>
              <w:ind w:left="18" w:leftChars="0"/>
              <w:jc w:val="center"/>
              <w:rPr>
                <w:rFonts w:hint="eastAsia" w:cs="宋体" w:asciiTheme="minorEastAsia" w:hAnsiTheme="minorEastAsia" w:eastAsiaTheme="minorEastAsia"/>
                <w:color w:val="000000" w:themeColor="text1"/>
                <w:kern w:val="2"/>
                <w:sz w:val="14"/>
                <w:szCs w:val="14"/>
                <w:lang w:val="zh-CN" w:eastAsia="zh-CN" w:bidi="zh-CN"/>
              </w:rPr>
            </w:pPr>
            <w:r>
              <w:rPr>
                <w:rFonts w:hint="eastAsia" w:asciiTheme="minorEastAsia" w:hAnsiTheme="minorEastAsia" w:eastAsiaTheme="minorEastAsia"/>
                <w:color w:val="000000" w:themeColor="text1"/>
                <w:kern w:val="2"/>
                <w:sz w:val="14"/>
                <w:szCs w:val="14"/>
                <w:lang w:val="en-US" w:eastAsia="zh-CN"/>
              </w:rPr>
              <w:t>4</w:t>
            </w:r>
          </w:p>
        </w:tc>
        <w:tc>
          <w:tcPr>
            <w:tcW w:w="2364" w:type="dxa"/>
            <w:vAlign w:val="center"/>
          </w:tcPr>
          <w:p>
            <w:pPr>
              <w:pStyle w:val="10"/>
              <w:spacing w:before="93"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部门（单位）本年度实际支出的公用经费总额与预算安排的公用经费总额的比率，用以反映和考核部门（单位）对机构运转成本的实际控制程度</w:t>
            </w:r>
          </w:p>
          <w:p>
            <w:pPr>
              <w:pStyle w:val="10"/>
              <w:spacing w:line="149" w:lineRule="exact"/>
              <w:ind w:left="24"/>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w:t>
            </w:r>
          </w:p>
        </w:tc>
        <w:tc>
          <w:tcPr>
            <w:tcW w:w="5742"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tabs>
                <w:tab w:val="left" w:pos="389"/>
              </w:tabs>
              <w:spacing w:before="100"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1.</w:t>
            </w:r>
            <w:r>
              <w:rPr>
                <w:rFonts w:asciiTheme="minorEastAsia" w:hAnsiTheme="minorEastAsia" w:eastAsiaTheme="minorEastAsia"/>
                <w:color w:val="000000" w:themeColor="text1"/>
                <w:kern w:val="2"/>
                <w:sz w:val="14"/>
                <w:szCs w:val="14"/>
              </w:rPr>
              <w:t>“三公”经费实际支出数≤预算安排的三公经费数,得2分，否则不得分；</w:t>
            </w:r>
          </w:p>
          <w:p>
            <w:pPr>
              <w:pStyle w:val="10"/>
              <w:tabs>
                <w:tab w:val="left" w:pos="389"/>
              </w:tabs>
              <w:spacing w:line="151" w:lineRule="exact"/>
              <w:ind w:firstLine="280" w:firstLineChars="200"/>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2.</w:t>
            </w:r>
            <w:r>
              <w:rPr>
                <w:rFonts w:asciiTheme="minorEastAsia" w:hAnsiTheme="minorEastAsia" w:eastAsiaTheme="minorEastAsia"/>
                <w:color w:val="000000" w:themeColor="text1"/>
                <w:kern w:val="2"/>
                <w:sz w:val="14"/>
                <w:szCs w:val="14"/>
              </w:rPr>
              <w:t>日常公用经费决算数≤日常公用经费调整预算数，得2分，否则不得分；</w:t>
            </w:r>
          </w:p>
        </w:tc>
        <w:tc>
          <w:tcPr>
            <w:tcW w:w="1448" w:type="dxa"/>
          </w:tcPr>
          <w:p>
            <w:pPr>
              <w:pStyle w:val="10"/>
              <w:spacing w:before="8" w:line="232" w:lineRule="auto"/>
              <w:ind w:left="23" w:right="125"/>
              <w:jc w:val="both"/>
              <w:rPr>
                <w:color w:val="000000" w:themeColor="text1"/>
                <w:kern w:val="2"/>
                <w:sz w:val="15"/>
                <w:szCs w:val="15"/>
              </w:rPr>
            </w:pPr>
            <w:r>
              <w:rPr>
                <w:color w:val="000000" w:themeColor="text1"/>
                <w:kern w:val="2"/>
                <w:sz w:val="15"/>
                <w:szCs w:val="15"/>
              </w:rPr>
              <w:t>本指标中公用经费根据部门决算报表财决01-1表（财政拨款收入支出决算总表）相关数据计算，三公经费根据部门决算附表《</w:t>
            </w:r>
            <w:r>
              <w:rPr>
                <w:rFonts w:hint="eastAsia"/>
                <w:color w:val="000000" w:themeColor="text1"/>
                <w:kern w:val="2"/>
                <w:sz w:val="15"/>
                <w:szCs w:val="15"/>
              </w:rPr>
              <w:t>机构</w:t>
            </w:r>
            <w:r>
              <w:rPr>
                <w:color w:val="000000" w:themeColor="text1"/>
                <w:kern w:val="2"/>
                <w:sz w:val="15"/>
                <w:szCs w:val="15"/>
              </w:rPr>
              <w:t>运行信息表》相关数据计算。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0"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
              <w:rPr>
                <w:rFonts w:asciiTheme="minorEastAsia" w:hAnsiTheme="minorEastAsia" w:eastAsiaTheme="minorEastAsia"/>
                <w:color w:val="000000" w:themeColor="text1"/>
                <w:kern w:val="2"/>
                <w:sz w:val="14"/>
                <w:szCs w:val="14"/>
              </w:rPr>
            </w:pPr>
          </w:p>
          <w:p>
            <w:pPr>
              <w:pStyle w:val="10"/>
              <w:spacing w:before="1"/>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效率性</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
              <w:rPr>
                <w:rFonts w:asciiTheme="minorEastAsia" w:hAnsiTheme="minorEastAsia" w:eastAsiaTheme="minorEastAsia"/>
                <w:color w:val="000000" w:themeColor="text1"/>
                <w:kern w:val="2"/>
                <w:sz w:val="14"/>
                <w:szCs w:val="14"/>
              </w:rPr>
            </w:pPr>
          </w:p>
          <w:p>
            <w:pPr>
              <w:pStyle w:val="10"/>
              <w:spacing w:before="1"/>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9</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spacing w:before="85"/>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85"/>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85"/>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78" w:line="232" w:lineRule="auto"/>
              <w:ind w:left="24" w:right="26" w:firstLine="18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部门（单位）完成党委、政府、人大和上级部门下达或交办的重要事项或工作的完成情况，反映部门对重点工作的办理落实程度。</w:t>
            </w:r>
          </w:p>
        </w:tc>
        <w:tc>
          <w:tcPr>
            <w:tcW w:w="5742" w:type="dxa"/>
            <w:vAlign w:val="center"/>
          </w:tcPr>
          <w:p>
            <w:pPr>
              <w:pStyle w:val="10"/>
              <w:spacing w:line="151" w:lineRule="exact"/>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重点工作完成率=重点工作实际完成数/重点工作总数×100</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w:t>
            </w:r>
          </w:p>
          <w:p>
            <w:pPr>
              <w:pStyle w:val="10"/>
              <w:spacing w:before="1" w:line="232" w:lineRule="auto"/>
              <w:ind w:left="266" w:right="25"/>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重点工作是指</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人大、</w:t>
            </w:r>
            <w:r>
              <w:rPr>
                <w:rFonts w:hint="eastAsia" w:asciiTheme="minorEastAsia" w:hAnsiTheme="minorEastAsia" w:eastAsiaTheme="minorEastAsia"/>
                <w:color w:val="000000" w:themeColor="text1"/>
                <w:kern w:val="2"/>
                <w:sz w:val="14"/>
                <w:szCs w:val="14"/>
                <w:lang w:val="en-US"/>
              </w:rPr>
              <w:t>省</w:t>
            </w:r>
            <w:r>
              <w:rPr>
                <w:rFonts w:asciiTheme="minorEastAsia" w:hAnsiTheme="minorEastAsia" w:eastAsiaTheme="minorEastAsia"/>
                <w:color w:val="000000" w:themeColor="text1"/>
                <w:kern w:val="2"/>
                <w:sz w:val="14"/>
                <w:szCs w:val="14"/>
              </w:rPr>
              <w:t>相关部门交办或下达的工作任务。</w:t>
            </w:r>
          </w:p>
          <w:p>
            <w:pPr>
              <w:pStyle w:val="10"/>
              <w:spacing w:before="1" w:line="232" w:lineRule="auto"/>
              <w:ind w:left="266" w:right="169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本指标得分=重点工作完成率×3</w:t>
            </w:r>
          </w:p>
          <w:p>
            <w:pPr>
              <w:pStyle w:val="10"/>
              <w:spacing w:before="1" w:line="232" w:lineRule="auto"/>
              <w:ind w:left="266" w:right="47"/>
              <w:rPr>
                <w:rFonts w:asciiTheme="minorEastAsia" w:hAnsiTheme="minorEastAsia" w:eastAsiaTheme="minorEastAsia"/>
                <w:color w:val="000000" w:themeColor="text1"/>
                <w:kern w:val="2"/>
                <w:sz w:val="14"/>
                <w:szCs w:val="14"/>
              </w:rPr>
            </w:pPr>
            <w:r>
              <w:rPr>
                <w:rFonts w:hint="eastAsia" w:asciiTheme="minorEastAsia" w:hAnsiTheme="minorEastAsia" w:eastAsiaTheme="minorEastAsia"/>
                <w:color w:val="000000" w:themeColor="text1"/>
                <w:kern w:val="2"/>
                <w:sz w:val="14"/>
                <w:szCs w:val="14"/>
              </w:rPr>
              <w:t>注：重点</w:t>
            </w:r>
            <w:r>
              <w:rPr>
                <w:rFonts w:asciiTheme="minorEastAsia" w:hAnsiTheme="minorEastAsia" w:eastAsiaTheme="minorEastAsia"/>
                <w:color w:val="000000" w:themeColor="text1"/>
                <w:kern w:val="2"/>
                <w:sz w:val="14"/>
                <w:szCs w:val="14"/>
              </w:rPr>
              <w:t>工作完成率可以参考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府督查室或其他权威部门的统计数据（如有）</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8"/>
              <w:jc w:val="center"/>
              <w:rPr>
                <w:rFonts w:asciiTheme="minorEastAsia" w:hAnsiTheme="minorEastAsia" w:eastAsiaTheme="minorEastAsia"/>
                <w:color w:val="000000" w:themeColor="text1"/>
                <w:kern w:val="2"/>
                <w:sz w:val="14"/>
                <w:szCs w:val="14"/>
              </w:rPr>
            </w:pPr>
          </w:p>
          <w:p>
            <w:pPr>
              <w:pStyle w:val="10"/>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w:t>
            </w:r>
          </w:p>
        </w:tc>
        <w:tc>
          <w:tcPr>
            <w:tcW w:w="614" w:type="dxa"/>
          </w:tcPr>
          <w:p>
            <w:pPr>
              <w:pStyle w:val="10"/>
              <w:spacing w:before="8"/>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spacing w:before="8"/>
              <w:rPr>
                <w:rFonts w:asciiTheme="minorEastAsia" w:hAnsiTheme="minorEastAsia" w:eastAsiaTheme="minorEastAsia"/>
                <w:color w:val="000000" w:themeColor="text1"/>
                <w:kern w:val="2"/>
                <w:sz w:val="14"/>
                <w:szCs w:val="14"/>
              </w:rPr>
            </w:pPr>
          </w:p>
          <w:p>
            <w:pPr>
              <w:pStyle w:val="1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75"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部门（单位）整体绩效目标中各项目标的完成情况，反映部门整体支出绩效目标的实现程度。</w:t>
            </w:r>
          </w:p>
        </w:tc>
        <w:tc>
          <w:tcPr>
            <w:tcW w:w="5742" w:type="dxa"/>
          </w:tcPr>
          <w:p>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绩效目标完成率=部门整体支出绩效目标申报表中已实现目标数/申报目标数×100</w:t>
            </w:r>
            <w:r>
              <w:rPr>
                <w:rFonts w:hint="eastAsia" w:asciiTheme="minorEastAsia" w:hAnsiTheme="minorEastAsia" w:eastAsiaTheme="minorEastAsia"/>
                <w:color w:val="000000" w:themeColor="text1"/>
                <w:kern w:val="2"/>
                <w:sz w:val="14"/>
                <w:szCs w:val="14"/>
              </w:rPr>
              <w:t>%</w:t>
            </w:r>
          </w:p>
          <w:p>
            <w:pPr>
              <w:pStyle w:val="10"/>
              <w:spacing w:before="84" w:line="225" w:lineRule="auto"/>
              <w:ind w:left="26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本指标得分=绩效目标完成率×3。</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8"/>
              <w:jc w:val="center"/>
              <w:rPr>
                <w:rFonts w:asciiTheme="minorEastAsia" w:hAnsiTheme="minorEastAsia" w:eastAsiaTheme="minorEastAsia"/>
                <w:color w:val="000000" w:themeColor="text1"/>
                <w:kern w:val="2"/>
                <w:sz w:val="14"/>
                <w:szCs w:val="14"/>
              </w:rPr>
            </w:pPr>
          </w:p>
          <w:p>
            <w:pPr>
              <w:pStyle w:val="10"/>
              <w:spacing w:before="1"/>
              <w:ind w:left="24"/>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项目完成及时性</w:t>
            </w:r>
          </w:p>
        </w:tc>
        <w:tc>
          <w:tcPr>
            <w:tcW w:w="614" w:type="dxa"/>
          </w:tcPr>
          <w:p>
            <w:pPr>
              <w:pStyle w:val="10"/>
              <w:spacing w:before="8"/>
              <w:rPr>
                <w:rFonts w:asciiTheme="minorEastAsia" w:hAnsiTheme="minorEastAsia" w:eastAsiaTheme="minorEastAsia"/>
                <w:color w:val="000000" w:themeColor="text1"/>
                <w:kern w:val="2"/>
                <w:sz w:val="14"/>
                <w:szCs w:val="14"/>
              </w:rPr>
            </w:pPr>
          </w:p>
          <w:p>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spacing w:before="8"/>
              <w:rPr>
                <w:rFonts w:asciiTheme="minorEastAsia" w:hAnsiTheme="minorEastAsia" w:eastAsiaTheme="minorEastAsia"/>
                <w:color w:val="000000" w:themeColor="text1"/>
                <w:kern w:val="2"/>
                <w:sz w:val="14"/>
                <w:szCs w:val="14"/>
              </w:rPr>
            </w:pPr>
          </w:p>
          <w:p>
            <w:pPr>
              <w:pStyle w:val="10"/>
              <w:spacing w:before="1"/>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87" w:line="232" w:lineRule="auto"/>
              <w:ind w:left="24" w:right="86" w:firstLine="12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反映部门（单位）项目完成情况与预期时间对比的情况。</w:t>
            </w:r>
          </w:p>
        </w:tc>
        <w:tc>
          <w:tcPr>
            <w:tcW w:w="5742" w:type="dxa"/>
          </w:tcPr>
          <w:p>
            <w:pPr>
              <w:pStyle w:val="10"/>
              <w:spacing w:before="87" w:line="232" w:lineRule="auto"/>
              <w:ind w:left="24"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所有部门预算安排的项目均按计划时间完成的，得3分；部分项目未按计划时间完成的，本指标得分=已完成项目数/未完成项目数×3。</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2"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4"/>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效果性</w:t>
            </w:r>
          </w:p>
        </w:tc>
        <w:tc>
          <w:tcPr>
            <w:tcW w:w="571"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78" w:right="6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644" w:type="dxa"/>
          </w:tcPr>
          <w:p>
            <w:pPr>
              <w:pStyle w:val="10"/>
              <w:jc w:val="center"/>
              <w:rPr>
                <w:rFonts w:asciiTheme="minorEastAsia" w:hAnsiTheme="minorEastAsia" w:eastAsiaTheme="minorEastAsia"/>
                <w:color w:val="000000" w:themeColor="text1"/>
                <w:kern w:val="2"/>
                <w:sz w:val="14"/>
                <w:szCs w:val="14"/>
              </w:rPr>
            </w:pPr>
          </w:p>
          <w:p>
            <w:pPr>
              <w:pStyle w:val="10"/>
              <w:jc w:val="center"/>
              <w:rPr>
                <w:rFonts w:asciiTheme="minorEastAsia" w:hAnsiTheme="minorEastAsia" w:eastAsiaTheme="minorEastAsia"/>
                <w:color w:val="000000" w:themeColor="text1"/>
                <w:kern w:val="2"/>
                <w:sz w:val="14"/>
                <w:szCs w:val="14"/>
              </w:rPr>
            </w:pPr>
          </w:p>
          <w:p>
            <w:pPr>
              <w:pStyle w:val="10"/>
              <w:spacing w:before="7"/>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社会经济环境效益</w:t>
            </w:r>
          </w:p>
        </w:tc>
        <w:tc>
          <w:tcPr>
            <w:tcW w:w="614" w:type="dxa"/>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15" w:right="195"/>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10</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78"/>
              <w:ind w:left="215" w:leftChars="0" w:right="195" w:righ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10</w:t>
            </w:r>
          </w:p>
        </w:tc>
        <w:tc>
          <w:tcPr>
            <w:tcW w:w="2364" w:type="dxa"/>
            <w:vAlign w:val="center"/>
          </w:tcPr>
          <w:p>
            <w:pPr>
              <w:pStyle w:val="10"/>
              <w:spacing w:line="232" w:lineRule="auto"/>
              <w:ind w:right="86"/>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反映部门（单位）履行职责对经济发展、社会发展和生态环境所带来的直接或间接影响。</w:t>
            </w:r>
          </w:p>
        </w:tc>
        <w:tc>
          <w:tcPr>
            <w:tcW w:w="5742" w:type="dxa"/>
          </w:tcPr>
          <w:p>
            <w:pPr>
              <w:pStyle w:val="10"/>
              <w:spacing w:before="45" w:line="235" w:lineRule="auto"/>
              <w:ind w:left="24" w:right="108"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根据部门（单位）“三定”方案确定的职责，实际并结合绩效目标设立情况，有选择地设置个性化绩效指  标，且通过绩效指标完成情况与目标值对比分析，进行核定得分。社会、经济、环境三个方面的效益，根据部门工作的性质，至少选择一个方面。可以从两个角度对效益进行评价：</w:t>
            </w:r>
          </w:p>
          <w:p>
            <w:pPr>
              <w:pStyle w:val="10"/>
              <w:numPr>
                <w:ilvl w:val="0"/>
                <w:numId w:val="2"/>
              </w:numPr>
              <w:tabs>
                <w:tab w:val="left" w:pos="389"/>
              </w:tabs>
              <w:spacing w:line="232" w:lineRule="auto"/>
              <w:ind w:right="5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部门管理的行业和领域对的主要指标能否体现部门当年履职的效果。主要指标均体现效果的，得5分；只有部分指标体现效果的，酌情扣分。</w:t>
            </w:r>
          </w:p>
          <w:p>
            <w:pPr>
              <w:pStyle w:val="10"/>
              <w:numPr>
                <w:ilvl w:val="0"/>
                <w:numId w:val="2"/>
              </w:numPr>
              <w:tabs>
                <w:tab w:val="left" w:pos="389"/>
              </w:tabs>
              <w:spacing w:line="232" w:lineRule="auto"/>
              <w:ind w:right="110" w:firstLine="242"/>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部门当年主要的项目支出是否实现了预期的效果，由评价方对照部门的支出项目进行评分。所有项目都能体现效果的，得5分；只有部分项目体现效果的，酌情扣分。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9" w:type="dxa"/>
            <w:vMerge w:val="continue"/>
            <w:tcBorders>
              <w:top w:val="nil"/>
            </w:tcBorders>
          </w:tcPr>
          <w:p>
            <w:pPr>
              <w:rPr>
                <w:color w:val="000000" w:themeColor="text1"/>
                <w:kern w:val="2"/>
                <w:sz w:val="15"/>
                <w:szCs w:val="15"/>
              </w:rPr>
            </w:pPr>
          </w:p>
        </w:tc>
        <w:tc>
          <w:tcPr>
            <w:tcW w:w="553" w:type="dxa"/>
            <w:vMerge w:val="continue"/>
            <w:tcBorders>
              <w:top w:val="nil"/>
            </w:tcBorders>
          </w:tcPr>
          <w:p>
            <w:pPr>
              <w:rPr>
                <w:rFonts w:asciiTheme="minorEastAsia" w:hAnsiTheme="minorEastAsia" w:eastAsiaTheme="minorEastAsia"/>
                <w:color w:val="000000" w:themeColor="text1"/>
                <w:kern w:val="2"/>
                <w:sz w:val="14"/>
                <w:szCs w:val="14"/>
              </w:rPr>
            </w:pPr>
          </w:p>
        </w:tc>
        <w:tc>
          <w:tcPr>
            <w:tcW w:w="533"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4"/>
              <w:ind w:left="12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公平性</w:t>
            </w:r>
          </w:p>
        </w:tc>
        <w:tc>
          <w:tcPr>
            <w:tcW w:w="571" w:type="dxa"/>
            <w:vMerge w:val="restart"/>
          </w:tcPr>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rPr>
                <w:rFonts w:asciiTheme="minorEastAsia" w:hAnsiTheme="minorEastAsia" w:eastAsiaTheme="minorEastAsia"/>
                <w:color w:val="000000" w:themeColor="text1"/>
                <w:kern w:val="2"/>
                <w:sz w:val="14"/>
                <w:szCs w:val="14"/>
              </w:rPr>
            </w:pPr>
          </w:p>
          <w:p>
            <w:pPr>
              <w:pStyle w:val="10"/>
              <w:spacing w:before="94"/>
              <w:ind w:left="2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7</w:t>
            </w:r>
          </w:p>
        </w:tc>
        <w:tc>
          <w:tcPr>
            <w:tcW w:w="644" w:type="dxa"/>
          </w:tcPr>
          <w:p>
            <w:pPr>
              <w:pStyle w:val="10"/>
              <w:spacing w:before="102"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群众信访办理情况</w:t>
            </w:r>
          </w:p>
        </w:tc>
        <w:tc>
          <w:tcPr>
            <w:tcW w:w="614" w:type="dxa"/>
          </w:tcPr>
          <w:p>
            <w:pPr>
              <w:pStyle w:val="10"/>
              <w:rPr>
                <w:rFonts w:asciiTheme="minorEastAsia" w:hAnsiTheme="minorEastAsia" w:eastAsiaTheme="minorEastAsia"/>
                <w:color w:val="000000" w:themeColor="text1"/>
                <w:kern w:val="2"/>
                <w:sz w:val="14"/>
                <w:szCs w:val="14"/>
              </w:rPr>
            </w:pPr>
          </w:p>
          <w:p>
            <w:pPr>
              <w:pStyle w:val="10"/>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3</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3</w:t>
            </w:r>
          </w:p>
        </w:tc>
        <w:tc>
          <w:tcPr>
            <w:tcW w:w="2364" w:type="dxa"/>
          </w:tcPr>
          <w:p>
            <w:pPr>
              <w:pStyle w:val="10"/>
              <w:spacing w:before="102"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部门（单位）对群众信访意见的完成情况及及时性，反映部门（单位）对服务群众的重视程度。</w:t>
            </w:r>
          </w:p>
        </w:tc>
        <w:tc>
          <w:tcPr>
            <w:tcW w:w="5742" w:type="dxa"/>
          </w:tcPr>
          <w:p>
            <w:pPr>
              <w:pStyle w:val="10"/>
              <w:numPr>
                <w:ilvl w:val="0"/>
                <w:numId w:val="3"/>
              </w:numPr>
              <w:tabs>
                <w:tab w:val="left" w:pos="389"/>
              </w:tabs>
              <w:spacing w:before="24" w:line="151"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设置了便利的群众意见反映渠道和群众意见办理回复机制的，得1分；</w:t>
            </w:r>
          </w:p>
          <w:p>
            <w:pPr>
              <w:pStyle w:val="10"/>
              <w:numPr>
                <w:ilvl w:val="0"/>
                <w:numId w:val="3"/>
              </w:numPr>
              <w:tabs>
                <w:tab w:val="left" w:pos="389"/>
              </w:tabs>
              <w:spacing w:line="149"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当年度所有群众信访意见均有回复，得1分，否则按比例扣分。</w:t>
            </w:r>
          </w:p>
          <w:p>
            <w:pPr>
              <w:pStyle w:val="10"/>
              <w:numPr>
                <w:ilvl w:val="0"/>
                <w:numId w:val="3"/>
              </w:numPr>
              <w:tabs>
                <w:tab w:val="left" w:pos="389"/>
              </w:tabs>
              <w:spacing w:line="140" w:lineRule="exact"/>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回复意见均在规定时限内的，得1分，否则按比例扣分。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679" w:type="dxa"/>
            <w:vMerge w:val="continue"/>
            <w:tcBorders>
              <w:top w:val="nil"/>
              <w:bottom w:val="single" w:color="auto" w:sz="4" w:space="0"/>
            </w:tcBorders>
          </w:tcPr>
          <w:p>
            <w:pPr>
              <w:rPr>
                <w:color w:val="000000" w:themeColor="text1"/>
                <w:kern w:val="2"/>
                <w:sz w:val="15"/>
                <w:szCs w:val="15"/>
              </w:rPr>
            </w:pPr>
          </w:p>
        </w:tc>
        <w:tc>
          <w:tcPr>
            <w:tcW w:w="553" w:type="dxa"/>
            <w:vMerge w:val="continue"/>
            <w:tcBorders>
              <w:top w:val="nil"/>
              <w:bottom w:val="single" w:color="auto" w:sz="4" w:space="0"/>
            </w:tcBorders>
          </w:tcPr>
          <w:p>
            <w:pPr>
              <w:rPr>
                <w:rFonts w:asciiTheme="minorEastAsia" w:hAnsiTheme="minorEastAsia" w:eastAsiaTheme="minorEastAsia"/>
                <w:color w:val="000000" w:themeColor="text1"/>
                <w:kern w:val="2"/>
                <w:sz w:val="14"/>
                <w:szCs w:val="14"/>
              </w:rPr>
            </w:pPr>
          </w:p>
        </w:tc>
        <w:tc>
          <w:tcPr>
            <w:tcW w:w="533" w:type="dxa"/>
            <w:vMerge w:val="continue"/>
            <w:tcBorders>
              <w:top w:val="nil"/>
            </w:tcBorders>
          </w:tcPr>
          <w:p>
            <w:pPr>
              <w:rPr>
                <w:rFonts w:asciiTheme="minorEastAsia" w:hAnsiTheme="minorEastAsia" w:eastAsiaTheme="minorEastAsia"/>
                <w:color w:val="000000" w:themeColor="text1"/>
                <w:kern w:val="2"/>
                <w:sz w:val="14"/>
                <w:szCs w:val="14"/>
              </w:rPr>
            </w:pPr>
          </w:p>
        </w:tc>
        <w:tc>
          <w:tcPr>
            <w:tcW w:w="571" w:type="dxa"/>
            <w:vMerge w:val="continue"/>
            <w:tcBorders>
              <w:top w:val="nil"/>
            </w:tcBorders>
          </w:tcPr>
          <w:p>
            <w:pPr>
              <w:rPr>
                <w:rFonts w:asciiTheme="minorEastAsia" w:hAnsiTheme="minorEastAsia" w:eastAsiaTheme="minorEastAsia"/>
                <w:color w:val="000000" w:themeColor="text1"/>
                <w:kern w:val="2"/>
                <w:sz w:val="14"/>
                <w:szCs w:val="14"/>
              </w:rPr>
            </w:pPr>
          </w:p>
        </w:tc>
        <w:tc>
          <w:tcPr>
            <w:tcW w:w="644" w:type="dxa"/>
          </w:tcPr>
          <w:p>
            <w:pPr>
              <w:pStyle w:val="10"/>
              <w:spacing w:before="4"/>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公众或服务对象满意度</w:t>
            </w:r>
          </w:p>
        </w:tc>
        <w:tc>
          <w:tcPr>
            <w:tcW w:w="614" w:type="dxa"/>
          </w:tcPr>
          <w:p>
            <w:pPr>
              <w:pStyle w:val="10"/>
              <w:rPr>
                <w:rFonts w:asciiTheme="minorEastAsia" w:hAnsiTheme="minorEastAsia" w:eastAsiaTheme="minorEastAsia"/>
                <w:color w:val="000000" w:themeColor="text1"/>
                <w:kern w:val="2"/>
                <w:sz w:val="14"/>
                <w:szCs w:val="14"/>
              </w:rPr>
            </w:pPr>
          </w:p>
          <w:p>
            <w:pPr>
              <w:pStyle w:val="10"/>
              <w:spacing w:before="5"/>
              <w:rPr>
                <w:rFonts w:asciiTheme="minorEastAsia" w:hAnsiTheme="minorEastAsia" w:eastAsiaTheme="minorEastAsia"/>
                <w:color w:val="000000" w:themeColor="text1"/>
                <w:kern w:val="2"/>
                <w:sz w:val="14"/>
                <w:szCs w:val="14"/>
              </w:rPr>
            </w:pPr>
          </w:p>
          <w:p>
            <w:pPr>
              <w:pStyle w:val="10"/>
              <w:spacing w:before="1"/>
              <w:ind w:left="18"/>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4</w:t>
            </w:r>
          </w:p>
        </w:tc>
        <w:tc>
          <w:tcPr>
            <w:tcW w:w="801" w:type="dxa"/>
            <w:vAlign w:val="top"/>
          </w:tcPr>
          <w:p>
            <w:pPr>
              <w:pStyle w:val="10"/>
              <w:rPr>
                <w:rFonts w:asciiTheme="minorEastAsia" w:hAnsiTheme="minorEastAsia" w:eastAsiaTheme="minorEastAsia"/>
                <w:color w:val="000000" w:themeColor="text1"/>
                <w:kern w:val="2"/>
                <w:sz w:val="14"/>
                <w:szCs w:val="14"/>
              </w:rPr>
            </w:pPr>
          </w:p>
          <w:p>
            <w:pPr>
              <w:pStyle w:val="10"/>
              <w:spacing w:before="5"/>
              <w:rPr>
                <w:rFonts w:asciiTheme="minorEastAsia" w:hAnsiTheme="minorEastAsia" w:eastAsiaTheme="minorEastAsia"/>
                <w:color w:val="000000" w:themeColor="text1"/>
                <w:kern w:val="2"/>
                <w:sz w:val="14"/>
                <w:szCs w:val="14"/>
              </w:rPr>
            </w:pPr>
          </w:p>
          <w:p>
            <w:pPr>
              <w:pStyle w:val="10"/>
              <w:spacing w:before="1"/>
              <w:ind w:left="18" w:leftChars="0"/>
              <w:jc w:val="center"/>
              <w:rPr>
                <w:rFonts w:cs="宋体" w:asciiTheme="minorEastAsia" w:hAnsiTheme="minorEastAsia" w:eastAsiaTheme="minorEastAsia"/>
                <w:color w:val="000000" w:themeColor="text1"/>
                <w:kern w:val="2"/>
                <w:sz w:val="14"/>
                <w:szCs w:val="14"/>
                <w:lang w:val="zh-CN" w:eastAsia="zh-CN" w:bidi="zh-CN"/>
              </w:rPr>
            </w:pPr>
            <w:r>
              <w:rPr>
                <w:rFonts w:asciiTheme="minorEastAsia" w:hAnsiTheme="minorEastAsia" w:eastAsiaTheme="minorEastAsia"/>
                <w:color w:val="000000" w:themeColor="text1"/>
                <w:kern w:val="2"/>
                <w:sz w:val="14"/>
                <w:szCs w:val="14"/>
              </w:rPr>
              <w:t>4</w:t>
            </w:r>
          </w:p>
        </w:tc>
        <w:tc>
          <w:tcPr>
            <w:tcW w:w="2364" w:type="dxa"/>
          </w:tcPr>
          <w:p>
            <w:pPr>
              <w:pStyle w:val="10"/>
              <w:spacing w:before="4"/>
              <w:rPr>
                <w:rFonts w:asciiTheme="minorEastAsia" w:hAnsiTheme="minorEastAsia" w:eastAsiaTheme="minorEastAsia"/>
                <w:color w:val="000000" w:themeColor="text1"/>
                <w:kern w:val="2"/>
                <w:sz w:val="14"/>
                <w:szCs w:val="14"/>
              </w:rPr>
            </w:pPr>
          </w:p>
          <w:p>
            <w:pPr>
              <w:pStyle w:val="10"/>
              <w:spacing w:line="232" w:lineRule="auto"/>
              <w:ind w:left="24" w:right="86"/>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反映社会公众或部门（单位）的服务对象对部门履职效果的满意度。</w:t>
            </w:r>
          </w:p>
        </w:tc>
        <w:tc>
          <w:tcPr>
            <w:tcW w:w="5742" w:type="dxa"/>
          </w:tcPr>
          <w:p>
            <w:pPr>
              <w:pStyle w:val="10"/>
              <w:spacing w:before="39" w:line="232" w:lineRule="auto"/>
              <w:ind w:left="24" w:right="108" w:firstLine="242"/>
              <w:jc w:val="both"/>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社会公众或服务对象是指部门（单位）履行职责而影响到的部门、群体或个人，一般采取社会调查的方式。如难以单独开展满意度调查的，可参考</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统计部门的数据、年度</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直民主评议政风行风评价结果等数据，或者参考群众信访反馈的普遍性问题、本部门或权威第三方机构的开展满意度调查等进行合理的评分。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2336" w:type="dxa"/>
            <w:gridSpan w:val="4"/>
            <w:tcBorders>
              <w:top w:val="single" w:color="auto" w:sz="4" w:space="0"/>
              <w:bottom w:val="single" w:color="auto" w:sz="4" w:space="0"/>
            </w:tcBorders>
            <w:vAlign w:val="center"/>
          </w:tcPr>
          <w:p>
            <w:pPr>
              <w:pStyle w:val="10"/>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加减分项</w:t>
            </w:r>
          </w:p>
        </w:tc>
        <w:tc>
          <w:tcPr>
            <w:tcW w:w="644" w:type="dxa"/>
          </w:tcPr>
          <w:p>
            <w:pPr>
              <w:pStyle w:val="10"/>
              <w:spacing w:before="2"/>
              <w:jc w:val="center"/>
              <w:rPr>
                <w:rFonts w:asciiTheme="minorEastAsia" w:hAnsiTheme="minorEastAsia" w:eastAsiaTheme="minorEastAsia"/>
                <w:color w:val="000000" w:themeColor="text1"/>
                <w:kern w:val="2"/>
                <w:sz w:val="14"/>
                <w:szCs w:val="14"/>
              </w:rPr>
            </w:pPr>
          </w:p>
          <w:p>
            <w:pPr>
              <w:pStyle w:val="10"/>
              <w:spacing w:line="232" w:lineRule="auto"/>
              <w:ind w:left="24" w:right="109"/>
              <w:jc w:val="center"/>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工作表现加减分指标</w:t>
            </w:r>
          </w:p>
        </w:tc>
        <w:tc>
          <w:tcPr>
            <w:tcW w:w="614" w:type="dxa"/>
          </w:tcPr>
          <w:p>
            <w:pPr>
              <w:pStyle w:val="10"/>
              <w:rPr>
                <w:rFonts w:asciiTheme="minorEastAsia" w:hAnsiTheme="minorEastAsia" w:eastAsiaTheme="minorEastAsia"/>
                <w:color w:val="000000" w:themeColor="text1"/>
                <w:kern w:val="2"/>
                <w:sz w:val="14"/>
                <w:szCs w:val="14"/>
              </w:rPr>
            </w:pPr>
          </w:p>
        </w:tc>
        <w:tc>
          <w:tcPr>
            <w:tcW w:w="801" w:type="dxa"/>
          </w:tcPr>
          <w:p>
            <w:pPr>
              <w:pStyle w:val="10"/>
              <w:rPr>
                <w:rFonts w:asciiTheme="minorEastAsia" w:hAnsiTheme="minorEastAsia" w:eastAsiaTheme="minorEastAsia"/>
                <w:color w:val="000000" w:themeColor="text1"/>
                <w:kern w:val="2"/>
                <w:sz w:val="14"/>
                <w:szCs w:val="14"/>
              </w:rPr>
            </w:pPr>
          </w:p>
        </w:tc>
        <w:tc>
          <w:tcPr>
            <w:tcW w:w="2364" w:type="dxa"/>
            <w:vAlign w:val="center"/>
          </w:tcPr>
          <w:p>
            <w:pPr>
              <w:pStyle w:val="1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反映部门工作受到表彰或批评问责的情况。</w:t>
            </w:r>
          </w:p>
        </w:tc>
        <w:tc>
          <w:tcPr>
            <w:tcW w:w="5742" w:type="dxa"/>
          </w:tcPr>
          <w:p>
            <w:pPr>
              <w:pStyle w:val="10"/>
              <w:numPr>
                <w:ilvl w:val="0"/>
                <w:numId w:val="4"/>
              </w:numPr>
              <w:tabs>
                <w:tab w:val="left" w:pos="147"/>
              </w:tabs>
              <w:spacing w:before="49" w:line="232" w:lineRule="auto"/>
              <w:ind w:right="46"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加分项：工作获得中央</w:t>
            </w:r>
            <w:r>
              <w:rPr>
                <w:rFonts w:hint="eastAsia" w:asciiTheme="minorEastAsia" w:hAnsiTheme="minorEastAsia" w:eastAsiaTheme="minorEastAsia"/>
                <w:color w:val="000000" w:themeColor="text1"/>
                <w:kern w:val="2"/>
                <w:sz w:val="14"/>
                <w:szCs w:val="14"/>
              </w:rPr>
              <w:t>、</w:t>
            </w:r>
            <w:r>
              <w:rPr>
                <w:rFonts w:asciiTheme="minorEastAsia" w:hAnsiTheme="minorEastAsia" w:eastAsiaTheme="minorEastAsia"/>
                <w:color w:val="000000" w:themeColor="text1"/>
                <w:kern w:val="2"/>
                <w:sz w:val="14"/>
                <w:szCs w:val="14"/>
              </w:rPr>
              <w:t>省委省政府</w:t>
            </w:r>
            <w:r>
              <w:rPr>
                <w:rFonts w:hint="eastAsia" w:asciiTheme="minorEastAsia" w:hAnsiTheme="minorEastAsia" w:eastAsiaTheme="minorEastAsia"/>
                <w:color w:val="000000" w:themeColor="text1"/>
                <w:kern w:val="2"/>
                <w:sz w:val="14"/>
                <w:szCs w:val="14"/>
              </w:rPr>
              <w:t>、</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委</w:t>
            </w:r>
            <w:r>
              <w:rPr>
                <w:rFonts w:hint="eastAsia" w:asciiTheme="minorEastAsia" w:hAnsiTheme="minorEastAsia" w:eastAsiaTheme="minorEastAsia"/>
                <w:color w:val="000000" w:themeColor="text1"/>
                <w:kern w:val="2"/>
                <w:sz w:val="14"/>
                <w:szCs w:val="14"/>
                <w:lang w:val="en-US" w:eastAsia="zh-CN"/>
              </w:rPr>
              <w:t>县</w:t>
            </w:r>
            <w:r>
              <w:rPr>
                <w:rFonts w:asciiTheme="minorEastAsia" w:hAnsiTheme="minorEastAsia" w:eastAsiaTheme="minorEastAsia"/>
                <w:color w:val="000000" w:themeColor="text1"/>
                <w:kern w:val="2"/>
                <w:sz w:val="14"/>
                <w:szCs w:val="14"/>
              </w:rPr>
              <w:t>政府表彰的，表彰一次加1分，同一项工作获得多次表彰的，按一次计算，累计加分最多3分，加分后总分不能超过100分；</w:t>
            </w:r>
          </w:p>
          <w:p>
            <w:pPr>
              <w:pStyle w:val="10"/>
              <w:numPr>
                <w:ilvl w:val="0"/>
                <w:numId w:val="4"/>
              </w:numPr>
              <w:tabs>
                <w:tab w:val="left" w:pos="147"/>
              </w:tabs>
              <w:spacing w:line="232" w:lineRule="auto"/>
              <w:ind w:right="48" w:firstLine="0"/>
              <w:rPr>
                <w:rFonts w:asciiTheme="minorEastAsia" w:hAnsiTheme="minorEastAsia" w:eastAsiaTheme="minorEastAsia"/>
                <w:color w:val="000000" w:themeColor="text1"/>
                <w:kern w:val="2"/>
                <w:sz w:val="14"/>
                <w:szCs w:val="14"/>
              </w:rPr>
            </w:pPr>
            <w:r>
              <w:rPr>
                <w:rFonts w:asciiTheme="minorEastAsia" w:hAnsiTheme="minorEastAsia" w:eastAsiaTheme="minorEastAsia"/>
                <w:color w:val="000000" w:themeColor="text1"/>
                <w:kern w:val="2"/>
                <w:sz w:val="14"/>
                <w:szCs w:val="14"/>
              </w:rPr>
              <w:t>减分项：在国务院大督察或人大审计、监察等监督检查时发现问题并被问责的，问责一次扣2分，同一个问题被问责多次的，按一次计算，累计减分最多6分，减分后总分不能低于0分。</w:t>
            </w:r>
          </w:p>
        </w:tc>
        <w:tc>
          <w:tcPr>
            <w:tcW w:w="1448" w:type="dxa"/>
          </w:tcPr>
          <w:p>
            <w:pPr>
              <w:pStyle w:val="10"/>
              <w:rPr>
                <w:rFonts w:ascii="Times New Roman"/>
                <w:color w:val="000000" w:themeColor="text1"/>
                <w:kern w:val="2"/>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3594" w:type="dxa"/>
            <w:gridSpan w:val="6"/>
            <w:tcBorders>
              <w:top w:val="single" w:color="auto" w:sz="4" w:space="0"/>
            </w:tcBorders>
            <w:vAlign w:val="center"/>
          </w:tcPr>
          <w:p>
            <w:pPr>
              <w:pStyle w:val="10"/>
              <w:jc w:val="center"/>
              <w:rPr>
                <w:rFonts w:ascii="黑体" w:hAnsi="黑体" w:eastAsia="黑体"/>
                <w:color w:val="000000" w:themeColor="text1"/>
                <w:kern w:val="2"/>
                <w:sz w:val="21"/>
                <w:szCs w:val="21"/>
              </w:rPr>
            </w:pPr>
            <w:r>
              <w:rPr>
                <w:rFonts w:ascii="黑体" w:hAnsi="黑体" w:eastAsia="黑体"/>
                <w:color w:val="000000" w:themeColor="text1"/>
                <w:kern w:val="2"/>
                <w:sz w:val="21"/>
                <w:szCs w:val="21"/>
              </w:rPr>
              <w:t>总分</w:t>
            </w:r>
          </w:p>
        </w:tc>
        <w:tc>
          <w:tcPr>
            <w:tcW w:w="801" w:type="dxa"/>
            <w:vAlign w:val="center"/>
          </w:tcPr>
          <w:p>
            <w:pPr>
              <w:pStyle w:val="10"/>
              <w:jc w:val="center"/>
              <w:rPr>
                <w:rFonts w:hint="default" w:asciiTheme="minorEastAsia" w:hAnsiTheme="minorEastAsia" w:eastAsiaTheme="minorEastAsia"/>
                <w:color w:val="000000" w:themeColor="text1"/>
                <w:kern w:val="2"/>
                <w:sz w:val="14"/>
                <w:szCs w:val="14"/>
                <w:lang w:val="en-US" w:eastAsia="zh-CN"/>
              </w:rPr>
            </w:pPr>
            <w:r>
              <w:rPr>
                <w:rFonts w:hint="eastAsia" w:asciiTheme="minorEastAsia" w:hAnsiTheme="minorEastAsia" w:eastAsiaTheme="minorEastAsia"/>
                <w:color w:val="000000" w:themeColor="text1"/>
                <w:kern w:val="2"/>
                <w:sz w:val="14"/>
                <w:szCs w:val="14"/>
                <w:lang w:val="en-US" w:eastAsia="zh-CN"/>
              </w:rPr>
              <w:t>100</w:t>
            </w:r>
          </w:p>
        </w:tc>
        <w:tc>
          <w:tcPr>
            <w:tcW w:w="9554" w:type="dxa"/>
            <w:gridSpan w:val="3"/>
            <w:vAlign w:val="center"/>
          </w:tcPr>
          <w:p>
            <w:pPr>
              <w:pStyle w:val="10"/>
              <w:rPr>
                <w:rFonts w:ascii="Times New Roman"/>
                <w:color w:val="000000" w:themeColor="text1"/>
                <w:kern w:val="2"/>
                <w:sz w:val="15"/>
                <w:szCs w:val="15"/>
              </w:rPr>
            </w:pPr>
          </w:p>
        </w:tc>
      </w:tr>
      <w:bookmarkEnd w:id="0"/>
      <w:bookmarkEnd w:id="1"/>
    </w:tbl>
    <w:p>
      <w:pPr>
        <w:rPr>
          <w:color w:val="000000" w:themeColor="text1"/>
          <w:kern w:val="2"/>
          <w:sz w:val="32"/>
          <w:szCs w:val="32"/>
        </w:rPr>
      </w:pPr>
    </w:p>
    <w:p>
      <w:pPr>
        <w:rPr>
          <w:color w:val="000000" w:themeColor="text1"/>
          <w:kern w:val="2"/>
          <w:sz w:val="24"/>
          <w:szCs w:val="24"/>
        </w:rPr>
      </w:pPr>
      <w:r>
        <w:rPr>
          <w:rFonts w:hint="eastAsia"/>
          <w:color w:val="000000" w:themeColor="text1"/>
          <w:kern w:val="2"/>
          <w:sz w:val="24"/>
          <w:szCs w:val="24"/>
        </w:rPr>
        <w:t>注意事项：</w:t>
      </w:r>
    </w:p>
    <w:p>
      <w:pPr>
        <w:ind w:firstLine="480" w:firstLineChars="200"/>
        <w:rPr>
          <w:color w:val="000000" w:themeColor="text1"/>
          <w:kern w:val="2"/>
          <w:sz w:val="24"/>
          <w:szCs w:val="24"/>
        </w:rPr>
      </w:pPr>
      <w:r>
        <w:rPr>
          <w:rFonts w:hint="eastAsia"/>
          <w:color w:val="000000" w:themeColor="text1"/>
          <w:kern w:val="2"/>
          <w:sz w:val="24"/>
          <w:szCs w:val="24"/>
        </w:rPr>
        <w:t>1.请各部门（单位）根据每项分值结合本部门（单位实际）打分，并计算出总分值。</w:t>
      </w:r>
    </w:p>
    <w:p>
      <w:pPr>
        <w:ind w:firstLine="480" w:firstLineChars="200"/>
        <w:rPr>
          <w:color w:val="000000" w:themeColor="text1"/>
          <w:kern w:val="2"/>
          <w:sz w:val="24"/>
          <w:szCs w:val="24"/>
        </w:rPr>
      </w:pPr>
      <w:r>
        <w:rPr>
          <w:rFonts w:hint="eastAsia"/>
          <w:color w:val="000000" w:themeColor="text1"/>
          <w:kern w:val="2"/>
          <w:sz w:val="24"/>
          <w:szCs w:val="24"/>
        </w:rPr>
        <w:t>2.请在备注栏中列明佐证资料的文件名和文件号等。</w:t>
      </w:r>
    </w:p>
    <w:sectPr>
      <w:headerReference r:id="rId6" w:type="default"/>
      <w:footerReference r:id="rId7" w:type="default"/>
      <w:footerReference r:id="rId8" w:type="even"/>
      <w:pgSz w:w="16840" w:h="11900" w:orient="landscape"/>
      <w:pgMar w:top="1134" w:right="1418" w:bottom="1134" w:left="1418" w:header="0" w:footer="7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40"/>
      <w:jc w:val="right"/>
      <w:rPr>
        <w:sz w:val="28"/>
        <w:szCs w:val="28"/>
      </w:rPr>
    </w:pPr>
    <w:r>
      <w:rPr>
        <w:sz w:val="18"/>
      </w:rPr>
      <w:pict>
        <v:shape id="_x0000_s2052" o:spid="_x0000_s205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w:r>
    <w:sdt>
      <w:sdtPr>
        <w:id w:val="33661594"/>
        <w:docPartObj>
          <w:docPartGallery w:val="autotext"/>
        </w:docPartObj>
      </w:sdtPr>
      <w:sdtEndPr>
        <w:rPr>
          <w:sz w:val="28"/>
          <w:szCs w:val="28"/>
        </w:rPr>
      </w:sdtEndPr>
      <w:sdtContent/>
    </w:sdt>
  </w:p>
  <w:p>
    <w:pPr>
      <w:pStyle w:val="2"/>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w:pict>
        <v:shape id="_x0000_s2053"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abstractNum w:abstractNumId="1">
    <w:nsid w:val="DCBA6B53"/>
    <w:multiLevelType w:val="multilevel"/>
    <w:tmpl w:val="DCBA6B53"/>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2">
    <w:nsid w:val="F4B5D9F5"/>
    <w:multiLevelType w:val="multilevel"/>
    <w:tmpl w:val="F4B5D9F5"/>
    <w:lvl w:ilvl="0" w:tentative="0">
      <w:start w:val="1"/>
      <w:numFmt w:val="decimal"/>
      <w:lvlText w:val="%1."/>
      <w:lvlJc w:val="left"/>
      <w:pPr>
        <w:ind w:left="24"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626" w:hanging="123"/>
      </w:pPr>
      <w:rPr>
        <w:rFonts w:hint="default"/>
        <w:lang w:val="zh-CN" w:eastAsia="zh-CN" w:bidi="zh-CN"/>
      </w:rPr>
    </w:lvl>
    <w:lvl w:ilvl="2" w:tentative="0">
      <w:start w:val="0"/>
      <w:numFmt w:val="bullet"/>
      <w:lvlText w:val="•"/>
      <w:lvlJc w:val="left"/>
      <w:pPr>
        <w:ind w:left="1233" w:hanging="123"/>
      </w:pPr>
      <w:rPr>
        <w:rFonts w:hint="default"/>
        <w:lang w:val="zh-CN" w:eastAsia="zh-CN" w:bidi="zh-CN"/>
      </w:rPr>
    </w:lvl>
    <w:lvl w:ilvl="3" w:tentative="0">
      <w:start w:val="0"/>
      <w:numFmt w:val="bullet"/>
      <w:lvlText w:val="•"/>
      <w:lvlJc w:val="left"/>
      <w:pPr>
        <w:ind w:left="1840" w:hanging="123"/>
      </w:pPr>
      <w:rPr>
        <w:rFonts w:hint="default"/>
        <w:lang w:val="zh-CN" w:eastAsia="zh-CN" w:bidi="zh-CN"/>
      </w:rPr>
    </w:lvl>
    <w:lvl w:ilvl="4" w:tentative="0">
      <w:start w:val="0"/>
      <w:numFmt w:val="bullet"/>
      <w:lvlText w:val="•"/>
      <w:lvlJc w:val="left"/>
      <w:pPr>
        <w:ind w:left="2447" w:hanging="123"/>
      </w:pPr>
      <w:rPr>
        <w:rFonts w:hint="default"/>
        <w:lang w:val="zh-CN" w:eastAsia="zh-CN" w:bidi="zh-CN"/>
      </w:rPr>
    </w:lvl>
    <w:lvl w:ilvl="5" w:tentative="0">
      <w:start w:val="0"/>
      <w:numFmt w:val="bullet"/>
      <w:lvlText w:val="•"/>
      <w:lvlJc w:val="left"/>
      <w:pPr>
        <w:ind w:left="3054" w:hanging="123"/>
      </w:pPr>
      <w:rPr>
        <w:rFonts w:hint="default"/>
        <w:lang w:val="zh-CN" w:eastAsia="zh-CN" w:bidi="zh-CN"/>
      </w:rPr>
    </w:lvl>
    <w:lvl w:ilvl="6" w:tentative="0">
      <w:start w:val="0"/>
      <w:numFmt w:val="bullet"/>
      <w:lvlText w:val="•"/>
      <w:lvlJc w:val="left"/>
      <w:pPr>
        <w:ind w:left="3661" w:hanging="123"/>
      </w:pPr>
      <w:rPr>
        <w:rFonts w:hint="default"/>
        <w:lang w:val="zh-CN" w:eastAsia="zh-CN" w:bidi="zh-CN"/>
      </w:rPr>
    </w:lvl>
    <w:lvl w:ilvl="7" w:tentative="0">
      <w:start w:val="0"/>
      <w:numFmt w:val="bullet"/>
      <w:lvlText w:val="•"/>
      <w:lvlJc w:val="left"/>
      <w:pPr>
        <w:ind w:left="4268" w:hanging="123"/>
      </w:pPr>
      <w:rPr>
        <w:rFonts w:hint="default"/>
        <w:lang w:val="zh-CN" w:eastAsia="zh-CN" w:bidi="zh-CN"/>
      </w:rPr>
    </w:lvl>
    <w:lvl w:ilvl="8" w:tentative="0">
      <w:start w:val="0"/>
      <w:numFmt w:val="bullet"/>
      <w:lvlText w:val="•"/>
      <w:lvlJc w:val="left"/>
      <w:pPr>
        <w:ind w:left="4875" w:hanging="123"/>
      </w:pPr>
      <w:rPr>
        <w:rFonts w:hint="default"/>
        <w:lang w:val="zh-CN" w:eastAsia="zh-CN" w:bidi="zh-CN"/>
      </w:rPr>
    </w:lvl>
  </w:abstractNum>
  <w:abstractNum w:abstractNumId="3">
    <w:nsid w:val="2470EC97"/>
    <w:multiLevelType w:val="multilevel"/>
    <w:tmpl w:val="2470EC97"/>
    <w:lvl w:ilvl="0" w:tentative="0">
      <w:start w:val="1"/>
      <w:numFmt w:val="decimal"/>
      <w:lvlText w:val="%1."/>
      <w:lvlJc w:val="left"/>
      <w:pPr>
        <w:ind w:left="388" w:hanging="123"/>
      </w:pPr>
      <w:rPr>
        <w:rFonts w:hint="default" w:ascii="宋体" w:hAnsi="宋体" w:eastAsia="宋体" w:cs="宋体"/>
        <w:w w:val="100"/>
        <w:sz w:val="10"/>
        <w:szCs w:val="10"/>
        <w:lang w:val="zh-CN" w:eastAsia="zh-CN" w:bidi="zh-CN"/>
      </w:rPr>
    </w:lvl>
    <w:lvl w:ilvl="1" w:tentative="0">
      <w:start w:val="0"/>
      <w:numFmt w:val="bullet"/>
      <w:lvlText w:val="•"/>
      <w:lvlJc w:val="left"/>
      <w:pPr>
        <w:ind w:left="950" w:hanging="123"/>
      </w:pPr>
      <w:rPr>
        <w:rFonts w:hint="default"/>
        <w:lang w:val="zh-CN" w:eastAsia="zh-CN" w:bidi="zh-CN"/>
      </w:rPr>
    </w:lvl>
    <w:lvl w:ilvl="2" w:tentative="0">
      <w:start w:val="0"/>
      <w:numFmt w:val="bullet"/>
      <w:lvlText w:val="•"/>
      <w:lvlJc w:val="left"/>
      <w:pPr>
        <w:ind w:left="1521" w:hanging="123"/>
      </w:pPr>
      <w:rPr>
        <w:rFonts w:hint="default"/>
        <w:lang w:val="zh-CN" w:eastAsia="zh-CN" w:bidi="zh-CN"/>
      </w:rPr>
    </w:lvl>
    <w:lvl w:ilvl="3" w:tentative="0">
      <w:start w:val="0"/>
      <w:numFmt w:val="bullet"/>
      <w:lvlText w:val="•"/>
      <w:lvlJc w:val="left"/>
      <w:pPr>
        <w:ind w:left="2092" w:hanging="123"/>
      </w:pPr>
      <w:rPr>
        <w:rFonts w:hint="default"/>
        <w:lang w:val="zh-CN" w:eastAsia="zh-CN" w:bidi="zh-CN"/>
      </w:rPr>
    </w:lvl>
    <w:lvl w:ilvl="4" w:tentative="0">
      <w:start w:val="0"/>
      <w:numFmt w:val="bullet"/>
      <w:lvlText w:val="•"/>
      <w:lvlJc w:val="left"/>
      <w:pPr>
        <w:ind w:left="2663" w:hanging="123"/>
      </w:pPr>
      <w:rPr>
        <w:rFonts w:hint="default"/>
        <w:lang w:val="zh-CN" w:eastAsia="zh-CN" w:bidi="zh-CN"/>
      </w:rPr>
    </w:lvl>
    <w:lvl w:ilvl="5" w:tentative="0">
      <w:start w:val="0"/>
      <w:numFmt w:val="bullet"/>
      <w:lvlText w:val="•"/>
      <w:lvlJc w:val="left"/>
      <w:pPr>
        <w:ind w:left="3234" w:hanging="123"/>
      </w:pPr>
      <w:rPr>
        <w:rFonts w:hint="default"/>
        <w:lang w:val="zh-CN" w:eastAsia="zh-CN" w:bidi="zh-CN"/>
      </w:rPr>
    </w:lvl>
    <w:lvl w:ilvl="6" w:tentative="0">
      <w:start w:val="0"/>
      <w:numFmt w:val="bullet"/>
      <w:lvlText w:val="•"/>
      <w:lvlJc w:val="left"/>
      <w:pPr>
        <w:ind w:left="3805" w:hanging="123"/>
      </w:pPr>
      <w:rPr>
        <w:rFonts w:hint="default"/>
        <w:lang w:val="zh-CN" w:eastAsia="zh-CN" w:bidi="zh-CN"/>
      </w:rPr>
    </w:lvl>
    <w:lvl w:ilvl="7" w:tentative="0">
      <w:start w:val="0"/>
      <w:numFmt w:val="bullet"/>
      <w:lvlText w:val="•"/>
      <w:lvlJc w:val="left"/>
      <w:pPr>
        <w:ind w:left="4376" w:hanging="123"/>
      </w:pPr>
      <w:rPr>
        <w:rFonts w:hint="default"/>
        <w:lang w:val="zh-CN" w:eastAsia="zh-CN" w:bidi="zh-CN"/>
      </w:rPr>
    </w:lvl>
    <w:lvl w:ilvl="8" w:tentative="0">
      <w:start w:val="0"/>
      <w:numFmt w:val="bullet"/>
      <w:lvlText w:val="•"/>
      <w:lvlJc w:val="left"/>
      <w:pPr>
        <w:ind w:left="4947" w:hanging="123"/>
      </w:pPr>
      <w:rPr>
        <w:rFonts w:hint="default"/>
        <w:lang w:val="zh-CN" w:eastAsia="zh-CN" w:bidi="zh-C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docVars>
    <w:docVar w:name="commondata" w:val="eyJoZGlkIjoiNDQ3OTA4ZWFmOWNiOGFlODViNWZiMTIzMjA0ZTMxYTYifQ=="/>
  </w:docVars>
  <w:rsids>
    <w:rsidRoot w:val="00103EE3"/>
    <w:rsid w:val="0003189A"/>
    <w:rsid w:val="00037D3B"/>
    <w:rsid w:val="00063634"/>
    <w:rsid w:val="00075144"/>
    <w:rsid w:val="0008066E"/>
    <w:rsid w:val="000869FC"/>
    <w:rsid w:val="000C3967"/>
    <w:rsid w:val="000E5885"/>
    <w:rsid w:val="000F3202"/>
    <w:rsid w:val="00103EE3"/>
    <w:rsid w:val="00124D18"/>
    <w:rsid w:val="001322E6"/>
    <w:rsid w:val="0017085B"/>
    <w:rsid w:val="001722B8"/>
    <w:rsid w:val="001840C9"/>
    <w:rsid w:val="001B06EF"/>
    <w:rsid w:val="001E0AD6"/>
    <w:rsid w:val="00224738"/>
    <w:rsid w:val="00285801"/>
    <w:rsid w:val="00296C1F"/>
    <w:rsid w:val="002C4B5A"/>
    <w:rsid w:val="00343FE9"/>
    <w:rsid w:val="00383489"/>
    <w:rsid w:val="003E049B"/>
    <w:rsid w:val="00412986"/>
    <w:rsid w:val="00475773"/>
    <w:rsid w:val="004A27CC"/>
    <w:rsid w:val="004B33A8"/>
    <w:rsid w:val="004C2089"/>
    <w:rsid w:val="004D0C7A"/>
    <w:rsid w:val="00541041"/>
    <w:rsid w:val="005B4034"/>
    <w:rsid w:val="005F2887"/>
    <w:rsid w:val="006119E9"/>
    <w:rsid w:val="00653A88"/>
    <w:rsid w:val="0069598C"/>
    <w:rsid w:val="006B08D5"/>
    <w:rsid w:val="006C303D"/>
    <w:rsid w:val="006E6AC5"/>
    <w:rsid w:val="006F0106"/>
    <w:rsid w:val="00735558"/>
    <w:rsid w:val="00741A2A"/>
    <w:rsid w:val="00772E5D"/>
    <w:rsid w:val="007A723B"/>
    <w:rsid w:val="007B3F08"/>
    <w:rsid w:val="007D799E"/>
    <w:rsid w:val="007E158E"/>
    <w:rsid w:val="007E2E6F"/>
    <w:rsid w:val="007F347B"/>
    <w:rsid w:val="00814646"/>
    <w:rsid w:val="00814DFB"/>
    <w:rsid w:val="0082658E"/>
    <w:rsid w:val="00831DEC"/>
    <w:rsid w:val="0084798C"/>
    <w:rsid w:val="00894CFC"/>
    <w:rsid w:val="008B48F8"/>
    <w:rsid w:val="008D6071"/>
    <w:rsid w:val="008E5690"/>
    <w:rsid w:val="008F5BDC"/>
    <w:rsid w:val="00920087"/>
    <w:rsid w:val="00933C18"/>
    <w:rsid w:val="00954FF5"/>
    <w:rsid w:val="00956F2A"/>
    <w:rsid w:val="00981CB5"/>
    <w:rsid w:val="009B6210"/>
    <w:rsid w:val="009B6DC1"/>
    <w:rsid w:val="009D73D3"/>
    <w:rsid w:val="00A14F61"/>
    <w:rsid w:val="00A23862"/>
    <w:rsid w:val="00A270C7"/>
    <w:rsid w:val="00A44103"/>
    <w:rsid w:val="00A844BF"/>
    <w:rsid w:val="00AA0964"/>
    <w:rsid w:val="00AA4841"/>
    <w:rsid w:val="00AB7BCD"/>
    <w:rsid w:val="00AC1AC0"/>
    <w:rsid w:val="00B0293C"/>
    <w:rsid w:val="00B030FA"/>
    <w:rsid w:val="00B047EC"/>
    <w:rsid w:val="00B37BA0"/>
    <w:rsid w:val="00B44B8F"/>
    <w:rsid w:val="00BB414E"/>
    <w:rsid w:val="00BB430E"/>
    <w:rsid w:val="00BB4918"/>
    <w:rsid w:val="00BC0C29"/>
    <w:rsid w:val="00BC5F43"/>
    <w:rsid w:val="00BD5C1E"/>
    <w:rsid w:val="00C03408"/>
    <w:rsid w:val="00C04A2E"/>
    <w:rsid w:val="00C213F1"/>
    <w:rsid w:val="00C626F5"/>
    <w:rsid w:val="00C946D8"/>
    <w:rsid w:val="00CC1529"/>
    <w:rsid w:val="00CD4605"/>
    <w:rsid w:val="00CF2F48"/>
    <w:rsid w:val="00CF5A22"/>
    <w:rsid w:val="00CF76BE"/>
    <w:rsid w:val="00D03C42"/>
    <w:rsid w:val="00D30FBE"/>
    <w:rsid w:val="00D3695B"/>
    <w:rsid w:val="00D64910"/>
    <w:rsid w:val="00D73263"/>
    <w:rsid w:val="00D977B8"/>
    <w:rsid w:val="00DA5313"/>
    <w:rsid w:val="00DB17E9"/>
    <w:rsid w:val="00DD43E9"/>
    <w:rsid w:val="00DD673D"/>
    <w:rsid w:val="00DD79A0"/>
    <w:rsid w:val="00E11EC0"/>
    <w:rsid w:val="00E43B25"/>
    <w:rsid w:val="00E65481"/>
    <w:rsid w:val="00E77781"/>
    <w:rsid w:val="00E77AEB"/>
    <w:rsid w:val="00EB57A8"/>
    <w:rsid w:val="00ED69FE"/>
    <w:rsid w:val="00F21118"/>
    <w:rsid w:val="00F25093"/>
    <w:rsid w:val="00F97059"/>
    <w:rsid w:val="00FA5475"/>
    <w:rsid w:val="00FB4AD1"/>
    <w:rsid w:val="00FB780F"/>
    <w:rsid w:val="00FF0B78"/>
    <w:rsid w:val="0793029B"/>
    <w:rsid w:val="09C50F3F"/>
    <w:rsid w:val="1DA979D8"/>
    <w:rsid w:val="201A3564"/>
    <w:rsid w:val="38552326"/>
    <w:rsid w:val="38D341FA"/>
    <w:rsid w:val="3A92602C"/>
    <w:rsid w:val="3D6C7E69"/>
    <w:rsid w:val="47DC6861"/>
    <w:rsid w:val="4E9F44FF"/>
    <w:rsid w:val="60D338BE"/>
    <w:rsid w:val="618800D3"/>
    <w:rsid w:val="631E7096"/>
    <w:rsid w:val="7FD17A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Balloon Text"/>
    <w:basedOn w:val="1"/>
    <w:link w:val="13"/>
    <w:qFormat/>
    <w:uiPriority w:val="0"/>
    <w:rPr>
      <w:sz w:val="18"/>
      <w:szCs w:val="18"/>
    </w:rPr>
  </w:style>
  <w:style w:type="paragraph" w:styleId="4">
    <w:name w:val="footer"/>
    <w:basedOn w:val="1"/>
    <w:link w:val="12"/>
    <w:qFormat/>
    <w:uiPriority w:val="99"/>
    <w:pPr>
      <w:tabs>
        <w:tab w:val="center" w:pos="4153"/>
        <w:tab w:val="right" w:pos="8306"/>
      </w:tabs>
      <w:snapToGrid w:val="0"/>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206"/>
      <w:ind w:left="2035" w:hanging="324"/>
    </w:pPr>
  </w:style>
  <w:style w:type="paragraph" w:customStyle="1" w:styleId="10">
    <w:name w:val="Table Paragraph"/>
    <w:basedOn w:val="1"/>
    <w:qFormat/>
    <w:uiPriority w:val="1"/>
  </w:style>
  <w:style w:type="character" w:customStyle="1" w:styleId="11">
    <w:name w:val="页眉 Char"/>
    <w:basedOn w:val="7"/>
    <w:link w:val="5"/>
    <w:qFormat/>
    <w:uiPriority w:val="0"/>
    <w:rPr>
      <w:rFonts w:ascii="宋体" w:hAnsi="宋体" w:cs="宋体"/>
      <w:sz w:val="18"/>
      <w:szCs w:val="18"/>
      <w:lang w:val="zh-CN" w:bidi="zh-CN"/>
    </w:rPr>
  </w:style>
  <w:style w:type="character" w:customStyle="1" w:styleId="12">
    <w:name w:val="页脚 Char"/>
    <w:basedOn w:val="7"/>
    <w:link w:val="4"/>
    <w:qFormat/>
    <w:uiPriority w:val="99"/>
    <w:rPr>
      <w:rFonts w:ascii="宋体" w:hAnsi="宋体" w:cs="宋体"/>
      <w:sz w:val="18"/>
      <w:szCs w:val="18"/>
      <w:lang w:val="zh-CN" w:bidi="zh-CN"/>
    </w:rPr>
  </w:style>
  <w:style w:type="character" w:customStyle="1" w:styleId="13">
    <w:name w:val="批注框文本 Char"/>
    <w:basedOn w:val="7"/>
    <w:link w:val="3"/>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1040"/>
    <customShpInfo spid="_x0000_s1041"/>
    <customShpInfo spid="_x0000_s10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6A6FAD-1D34-4C71-9164-DDA9BCC2A488}">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5583</Words>
  <Characters>5711</Characters>
  <Lines>45</Lines>
  <Paragraphs>12</Paragraphs>
  <TotalTime>10</TotalTime>
  <ScaleCrop>false</ScaleCrop>
  <LinksUpToDate>false</LinksUpToDate>
  <CharactersWithSpaces>5763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2021-04-25T07:17:00Z</dcterms:created>
  <dc:creator>qqq</dc:creator>
  <cp:lastModifiedBy>Jiang毅涛</cp:lastModifiedBy>
  <cp:lastPrinted>2023-04-28T02:46:00Z</cp:lastPrinted>
  <dcterms:modified xsi:type="dcterms:W3CDTF">2023-05-05T08:33:48Z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2017-10-10T00:00:00Z</vt:filetime>
  </property>
  <property fmtid="{D5CDD505-2E9C-101B-9397-08002B2CF9AE}" pid="3" name="Creator">
    <vt:lpwstr>DocuWorks Desk 7.3.0 [SC]</vt:lpwstr>
  </property>
  <property fmtid="{D5CDD505-2E9C-101B-9397-08002B2CF9AE}" pid="4" name="LastSaved">
    <vt:filetime>2021-02-01T00:00:00Z</vt:filetime>
  </property>
  <property fmtid="{D5CDD505-2E9C-101B-9397-08002B2CF9AE}" pid="5" name="KSOProductBuildVer">
    <vt:lpwstr>2052-11.1.0.14036</vt:lpwstr>
  </property>
  <property fmtid="{D5CDD505-2E9C-101B-9397-08002B2CF9AE}" pid="6" name="ICV">
    <vt:lpwstr>47FFF05F442D4AA2912DC73F56E96113</vt:lpwstr>
  </property>
</Properties>
</file>