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仿宋" w:eastAsia="方正小标宋简体" w:cs="仿宋"/>
          <w:bCs/>
          <w:color w:val="000000" w:themeColor="text1"/>
          <w:kern w:val="2"/>
          <w:sz w:val="36"/>
          <w:szCs w:val="36"/>
        </w:rPr>
      </w:pPr>
      <w:bookmarkStart w:id="0" w:name="OLE_LINK2"/>
      <w:bookmarkStart w:id="1" w:name="OLE_LINK1"/>
      <w:r>
        <w:rPr>
          <w:rFonts w:hint="eastAsia" w:ascii="方正小标宋简体" w:hAnsi="仿宋" w:eastAsia="方正小标宋简体" w:cs="仿宋"/>
          <w:bCs/>
          <w:color w:val="000000" w:themeColor="text1"/>
          <w:kern w:val="2"/>
          <w:sz w:val="36"/>
          <w:szCs w:val="36"/>
        </w:rPr>
        <w:t>整体支出绩效自评信息指标评分表</w:t>
      </w:r>
    </w:p>
    <w:p>
      <w:pPr>
        <w:pStyle w:val="3"/>
        <w:rPr>
          <w:rFonts w:hint="default" w:ascii="方正小标宋简体" w:hAnsi="仿宋" w:eastAsia="仿宋_GB2312" w:cs="仿宋"/>
          <w:bCs/>
          <w:color w:val="000000" w:themeColor="text1"/>
          <w:kern w:val="2"/>
          <w:sz w:val="36"/>
          <w:szCs w:val="36"/>
          <w:lang w:val="en-US" w:eastAsia="zh-CN"/>
        </w:rPr>
      </w:pPr>
      <w:r>
        <w:rPr>
          <w:rFonts w:hint="eastAsia" w:ascii="仿宋_GB2312" w:hAnsi="仿宋" w:eastAsia="仿宋_GB2312" w:cs="仿宋"/>
          <w:bCs/>
          <w:color w:val="000000" w:themeColor="text1"/>
          <w:kern w:val="2"/>
          <w:sz w:val="21"/>
          <w:szCs w:val="21"/>
        </w:rPr>
        <w:t>部门（单位）名称：（盖章）</w:t>
      </w:r>
      <w:r>
        <w:rPr>
          <w:rFonts w:hint="eastAsia" w:ascii="仿宋_GB2312" w:hAnsi="仿宋" w:eastAsia="仿宋_GB2312" w:cs="仿宋"/>
          <w:bCs/>
          <w:color w:val="000000" w:themeColor="text1"/>
          <w:kern w:val="2"/>
          <w:sz w:val="21"/>
          <w:szCs w:val="21"/>
          <w:lang w:val="en-US" w:eastAsia="zh-CN"/>
        </w:rPr>
        <w:t>五华县审计局</w:t>
      </w:r>
    </w:p>
    <w:tbl>
      <w:tblPr>
        <w:tblStyle w:val="7"/>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67"/>
        <w:gridCol w:w="708"/>
        <w:gridCol w:w="709"/>
        <w:gridCol w:w="709"/>
        <w:gridCol w:w="709"/>
        <w:gridCol w:w="716"/>
        <w:gridCol w:w="2126"/>
        <w:gridCol w:w="6166"/>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56" w:type="dxa"/>
            <w:gridSpan w:val="6"/>
          </w:tcPr>
          <w:p>
            <w:pPr>
              <w:pStyle w:val="11"/>
              <w:spacing w:line="200"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16" w:type="dxa"/>
            <w:vMerge w:val="restart"/>
            <w:vAlign w:val="center"/>
          </w:tcPr>
          <w:p>
            <w:pPr>
              <w:jc w:val="center"/>
              <w:rPr>
                <w:rFonts w:ascii="黑体" w:hAnsi="黑体" w:eastAsia="黑体"/>
              </w:rPr>
            </w:pPr>
            <w:r>
              <w:rPr>
                <w:rFonts w:hint="eastAsia" w:ascii="黑体" w:hAnsi="黑体" w:eastAsia="黑体"/>
              </w:rPr>
              <w:t>自评</w:t>
            </w:r>
          </w:p>
          <w:p>
            <w:pPr>
              <w:jc w:val="center"/>
            </w:pPr>
            <w:r>
              <w:rPr>
                <w:rFonts w:hint="eastAsia" w:ascii="黑体" w:hAnsi="黑体" w:eastAsia="黑体"/>
              </w:rPr>
              <w:t>分数</w:t>
            </w:r>
          </w:p>
        </w:tc>
        <w:tc>
          <w:tcPr>
            <w:tcW w:w="2126" w:type="dxa"/>
            <w:vMerge w:val="restart"/>
            <w:vAlign w:val="center"/>
          </w:tcPr>
          <w:p>
            <w:pPr>
              <w:pStyle w:val="11"/>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66" w:type="dxa"/>
            <w:vMerge w:val="restart"/>
            <w:vAlign w:val="center"/>
          </w:tcPr>
          <w:p>
            <w:pPr>
              <w:pStyle w:val="11"/>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18" w:type="dxa"/>
            <w:vMerge w:val="restart"/>
          </w:tcPr>
          <w:p>
            <w:pPr>
              <w:pStyle w:val="11"/>
              <w:spacing w:before="9"/>
              <w:rPr>
                <w:rFonts w:ascii="Times New Roman"/>
                <w:color w:val="000000" w:themeColor="text1"/>
                <w:kern w:val="2"/>
                <w:sz w:val="14"/>
                <w:szCs w:val="14"/>
              </w:rPr>
            </w:pPr>
          </w:p>
          <w:p>
            <w:pPr>
              <w:pStyle w:val="11"/>
              <w:spacing w:before="1"/>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1"/>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67" w:type="dxa"/>
            <w:vAlign w:val="center"/>
          </w:tcPr>
          <w:p>
            <w:pPr>
              <w:pStyle w:val="11"/>
              <w:jc w:val="center"/>
              <w:rPr>
                <w:rFonts w:ascii="Times New Roman"/>
                <w:color w:val="000000" w:themeColor="text1"/>
                <w:kern w:val="2"/>
                <w:sz w:val="14"/>
                <w:szCs w:val="14"/>
              </w:rPr>
            </w:pPr>
          </w:p>
        </w:tc>
        <w:tc>
          <w:tcPr>
            <w:tcW w:w="708" w:type="dxa"/>
            <w:vAlign w:val="center"/>
          </w:tcPr>
          <w:p>
            <w:pPr>
              <w:pStyle w:val="11"/>
              <w:spacing w:before="14" w:line="116" w:lineRule="exact"/>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二级指标</w:t>
            </w:r>
          </w:p>
        </w:tc>
        <w:tc>
          <w:tcPr>
            <w:tcW w:w="709" w:type="dxa"/>
            <w:vAlign w:val="center"/>
          </w:tcPr>
          <w:p>
            <w:pPr>
              <w:pStyle w:val="11"/>
              <w:jc w:val="center"/>
              <w:rPr>
                <w:rFonts w:ascii="Times New Roman"/>
                <w:color w:val="000000" w:themeColor="text1"/>
                <w:kern w:val="2"/>
                <w:sz w:val="14"/>
                <w:szCs w:val="14"/>
              </w:rPr>
            </w:pPr>
          </w:p>
        </w:tc>
        <w:tc>
          <w:tcPr>
            <w:tcW w:w="709" w:type="dxa"/>
            <w:vAlign w:val="center"/>
          </w:tcPr>
          <w:p>
            <w:pPr>
              <w:pStyle w:val="11"/>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709" w:type="dxa"/>
            <w:vAlign w:val="center"/>
          </w:tcPr>
          <w:p>
            <w:pPr>
              <w:pStyle w:val="11"/>
              <w:jc w:val="center"/>
              <w:rPr>
                <w:rFonts w:ascii="Times New Roman"/>
                <w:color w:val="000000" w:themeColor="text1"/>
                <w:kern w:val="2"/>
                <w:sz w:val="14"/>
                <w:szCs w:val="14"/>
              </w:rPr>
            </w:pPr>
          </w:p>
        </w:tc>
        <w:tc>
          <w:tcPr>
            <w:tcW w:w="716" w:type="dxa"/>
            <w:vMerge w:val="continue"/>
          </w:tcPr>
          <w:p>
            <w:pPr>
              <w:pStyle w:val="11"/>
              <w:rPr>
                <w:rFonts w:ascii="Times New Roman"/>
                <w:color w:val="000000" w:themeColor="text1"/>
                <w:kern w:val="2"/>
                <w:sz w:val="14"/>
                <w:szCs w:val="14"/>
              </w:rPr>
            </w:pPr>
          </w:p>
        </w:tc>
        <w:tc>
          <w:tcPr>
            <w:tcW w:w="2126" w:type="dxa"/>
            <w:vMerge w:val="continue"/>
          </w:tcPr>
          <w:p>
            <w:pPr>
              <w:pStyle w:val="11"/>
              <w:rPr>
                <w:rFonts w:ascii="Times New Roman"/>
                <w:color w:val="000000" w:themeColor="text1"/>
                <w:kern w:val="2"/>
                <w:sz w:val="14"/>
                <w:szCs w:val="14"/>
              </w:rPr>
            </w:pPr>
          </w:p>
        </w:tc>
        <w:tc>
          <w:tcPr>
            <w:tcW w:w="6166" w:type="dxa"/>
            <w:vMerge w:val="continue"/>
          </w:tcPr>
          <w:p>
            <w:pPr>
              <w:pStyle w:val="11"/>
              <w:spacing w:line="131" w:lineRule="exact"/>
              <w:jc w:val="center"/>
              <w:rPr>
                <w:rFonts w:ascii="黑体" w:eastAsia="黑体"/>
                <w:color w:val="000000" w:themeColor="text1"/>
                <w:kern w:val="2"/>
                <w:sz w:val="14"/>
                <w:szCs w:val="14"/>
              </w:rPr>
            </w:pPr>
          </w:p>
        </w:tc>
        <w:tc>
          <w:tcPr>
            <w:tcW w:w="1618"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1"/>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67" w:type="dxa"/>
            <w:vAlign w:val="center"/>
          </w:tcPr>
          <w:p>
            <w:pPr>
              <w:pStyle w:val="11"/>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8" w:type="dxa"/>
            <w:vAlign w:val="center"/>
          </w:tcPr>
          <w:p>
            <w:pPr>
              <w:pStyle w:val="11"/>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9"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9"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9"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16" w:type="dxa"/>
            <w:vMerge w:val="continue"/>
          </w:tcPr>
          <w:p>
            <w:pPr>
              <w:pStyle w:val="11"/>
              <w:rPr>
                <w:rFonts w:ascii="Times New Roman"/>
                <w:color w:val="000000" w:themeColor="text1"/>
                <w:kern w:val="2"/>
                <w:sz w:val="14"/>
                <w:szCs w:val="14"/>
              </w:rPr>
            </w:pPr>
          </w:p>
        </w:tc>
        <w:tc>
          <w:tcPr>
            <w:tcW w:w="2126" w:type="dxa"/>
            <w:vMerge w:val="continue"/>
          </w:tcPr>
          <w:p>
            <w:pPr>
              <w:pStyle w:val="11"/>
              <w:rPr>
                <w:rFonts w:ascii="Times New Roman"/>
                <w:color w:val="000000" w:themeColor="text1"/>
                <w:kern w:val="2"/>
                <w:sz w:val="14"/>
                <w:szCs w:val="14"/>
              </w:rPr>
            </w:pPr>
          </w:p>
        </w:tc>
        <w:tc>
          <w:tcPr>
            <w:tcW w:w="6166" w:type="dxa"/>
            <w:vMerge w:val="continue"/>
          </w:tcPr>
          <w:p>
            <w:pPr>
              <w:pStyle w:val="11"/>
              <w:spacing w:line="131" w:lineRule="exact"/>
              <w:jc w:val="center"/>
              <w:rPr>
                <w:rFonts w:ascii="黑体" w:eastAsia="黑体"/>
                <w:color w:val="000000" w:themeColor="text1"/>
                <w:kern w:val="2"/>
                <w:sz w:val="14"/>
                <w:szCs w:val="14"/>
              </w:rPr>
            </w:pPr>
          </w:p>
        </w:tc>
        <w:tc>
          <w:tcPr>
            <w:tcW w:w="1618"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854" w:type="dxa"/>
            <w:vMerge w:val="restart"/>
            <w:vAlign w:val="center"/>
          </w:tcPr>
          <w:p>
            <w:pPr>
              <w:pStyle w:val="11"/>
              <w:spacing w:line="232" w:lineRule="auto"/>
              <w:ind w:right="9"/>
              <w:jc w:val="center"/>
              <w:rPr>
                <w:color w:val="000000" w:themeColor="text1"/>
                <w:spacing w:val="-2"/>
                <w:kern w:val="2"/>
                <w:sz w:val="14"/>
                <w:szCs w:val="14"/>
              </w:rPr>
            </w:pPr>
            <w:r>
              <w:rPr>
                <w:color w:val="000000" w:themeColor="text1"/>
                <w:spacing w:val="-2"/>
                <w:kern w:val="2"/>
                <w:sz w:val="14"/>
                <w:szCs w:val="14"/>
              </w:rPr>
              <w:t>预算编制情况</w:t>
            </w:r>
          </w:p>
        </w:tc>
        <w:tc>
          <w:tcPr>
            <w:tcW w:w="667" w:type="dxa"/>
            <w:vMerge w:val="restart"/>
            <w:vAlign w:val="center"/>
          </w:tcPr>
          <w:p>
            <w:pPr>
              <w:pStyle w:val="11"/>
              <w:jc w:val="center"/>
              <w:rPr>
                <w:color w:val="000000" w:themeColor="text1"/>
                <w:kern w:val="2"/>
                <w:sz w:val="14"/>
                <w:szCs w:val="14"/>
              </w:rPr>
            </w:pPr>
            <w:r>
              <w:rPr>
                <w:color w:val="000000" w:themeColor="text1"/>
                <w:kern w:val="2"/>
                <w:sz w:val="14"/>
                <w:szCs w:val="14"/>
              </w:rPr>
              <w:t>28</w:t>
            </w:r>
          </w:p>
        </w:tc>
        <w:tc>
          <w:tcPr>
            <w:tcW w:w="708" w:type="dxa"/>
            <w:vMerge w:val="restart"/>
            <w:vAlign w:val="center"/>
          </w:tcPr>
          <w:p>
            <w:pPr>
              <w:pStyle w:val="11"/>
              <w:jc w:val="center"/>
              <w:rPr>
                <w:color w:val="000000" w:themeColor="text1"/>
                <w:kern w:val="2"/>
                <w:sz w:val="14"/>
                <w:szCs w:val="14"/>
              </w:rPr>
            </w:pPr>
            <w:r>
              <w:rPr>
                <w:color w:val="000000" w:themeColor="text1"/>
                <w:kern w:val="2"/>
                <w:sz w:val="14"/>
                <w:szCs w:val="14"/>
              </w:rPr>
              <w:t>预算编制</w:t>
            </w:r>
          </w:p>
        </w:tc>
        <w:tc>
          <w:tcPr>
            <w:tcW w:w="709" w:type="dxa"/>
            <w:vMerge w:val="restart"/>
            <w:vAlign w:val="center"/>
          </w:tcPr>
          <w:p>
            <w:pPr>
              <w:pStyle w:val="11"/>
              <w:ind w:right="60"/>
              <w:jc w:val="center"/>
              <w:rPr>
                <w:color w:val="000000" w:themeColor="text1"/>
                <w:kern w:val="2"/>
                <w:sz w:val="14"/>
                <w:szCs w:val="14"/>
              </w:rPr>
            </w:pPr>
            <w:r>
              <w:rPr>
                <w:color w:val="000000" w:themeColor="text1"/>
                <w:kern w:val="2"/>
                <w:sz w:val="14"/>
                <w:szCs w:val="14"/>
              </w:rPr>
              <w:t>18</w:t>
            </w:r>
          </w:p>
        </w:tc>
        <w:tc>
          <w:tcPr>
            <w:tcW w:w="709" w:type="dxa"/>
            <w:vAlign w:val="center"/>
          </w:tcPr>
          <w:p>
            <w:pPr>
              <w:pStyle w:val="11"/>
              <w:spacing w:before="1"/>
              <w:jc w:val="center"/>
              <w:rPr>
                <w:color w:val="000000" w:themeColor="text1"/>
                <w:kern w:val="2"/>
                <w:sz w:val="14"/>
                <w:szCs w:val="14"/>
              </w:rPr>
            </w:pPr>
            <w:r>
              <w:rPr>
                <w:color w:val="000000" w:themeColor="text1"/>
                <w:kern w:val="2"/>
                <w:sz w:val="14"/>
                <w:szCs w:val="14"/>
              </w:rPr>
              <w:t>预算编制合理性</w:t>
            </w:r>
          </w:p>
        </w:tc>
        <w:tc>
          <w:tcPr>
            <w:tcW w:w="709" w:type="dxa"/>
            <w:vAlign w:val="center"/>
          </w:tcPr>
          <w:p>
            <w:pPr>
              <w:pStyle w:val="11"/>
              <w:spacing w:before="1"/>
              <w:jc w:val="center"/>
              <w:rPr>
                <w:color w:val="000000" w:themeColor="text1"/>
                <w:kern w:val="2"/>
                <w:sz w:val="14"/>
                <w:szCs w:val="14"/>
              </w:rPr>
            </w:pPr>
            <w:r>
              <w:rPr>
                <w:color w:val="000000" w:themeColor="text1"/>
                <w:kern w:val="2"/>
                <w:sz w:val="14"/>
                <w:szCs w:val="14"/>
              </w:rPr>
              <w:t>5</w:t>
            </w:r>
          </w:p>
        </w:tc>
        <w:tc>
          <w:tcPr>
            <w:tcW w:w="716" w:type="dxa"/>
          </w:tcPr>
          <w:p>
            <w:pPr>
              <w:pStyle w:val="11"/>
              <w:spacing w:before="71" w:line="232" w:lineRule="auto"/>
              <w:ind w:right="26"/>
              <w:jc w:val="center"/>
              <w:rPr>
                <w:rFonts w:hint="eastAsia"/>
                <w:color w:val="000000" w:themeColor="text1"/>
                <w:kern w:val="2"/>
                <w:sz w:val="14"/>
                <w:szCs w:val="14"/>
                <w:lang w:val="en-US" w:eastAsia="zh-CN"/>
              </w:rPr>
            </w:pPr>
          </w:p>
          <w:p>
            <w:pPr>
              <w:pStyle w:val="11"/>
              <w:spacing w:before="71" w:line="232" w:lineRule="auto"/>
              <w:ind w:right="26"/>
              <w:jc w:val="center"/>
              <w:rPr>
                <w:rFonts w:hint="eastAsia"/>
                <w:color w:val="000000" w:themeColor="text1"/>
                <w:kern w:val="2"/>
                <w:sz w:val="14"/>
                <w:szCs w:val="14"/>
                <w:lang w:val="en-US" w:eastAsia="zh-CN"/>
              </w:rPr>
            </w:pPr>
          </w:p>
          <w:p>
            <w:pPr>
              <w:pStyle w:val="11"/>
              <w:spacing w:before="71" w:line="232" w:lineRule="auto"/>
              <w:ind w:right="2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6" w:type="dxa"/>
            <w:vAlign w:val="center"/>
          </w:tcPr>
          <w:p>
            <w:pPr>
              <w:pStyle w:val="11"/>
              <w:spacing w:before="71" w:line="232" w:lineRule="auto"/>
              <w:ind w:right="26"/>
              <w:jc w:val="both"/>
              <w:rPr>
                <w:color w:val="000000" w:themeColor="text1"/>
                <w:kern w:val="2"/>
                <w:sz w:val="14"/>
                <w:szCs w:val="14"/>
              </w:rPr>
            </w:pPr>
            <w:r>
              <w:rPr>
                <w:color w:val="000000" w:themeColor="text1"/>
                <w:kern w:val="2"/>
                <w:sz w:val="14"/>
                <w:szCs w:val="14"/>
              </w:rPr>
              <w:t>考核部门（单位）预算的合理性，即是否符合本部门职责、是否符合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政府的方针政策和工作要求，资金有无根据项目的轻重缓急进行分配。</w:t>
            </w:r>
          </w:p>
        </w:tc>
        <w:tc>
          <w:tcPr>
            <w:tcW w:w="6166" w:type="dxa"/>
            <w:vAlign w:val="center"/>
          </w:tcPr>
          <w:p>
            <w:pPr>
              <w:pStyle w:val="11"/>
              <w:tabs>
                <w:tab w:val="left" w:pos="268"/>
              </w:tabs>
              <w:spacing w:before="57"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部门预算编制、分配符合本部门职责、符合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政府方针政策和工作要求的，得1分；</w:t>
            </w:r>
          </w:p>
          <w:p>
            <w:pPr>
              <w:pStyle w:val="11"/>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部门预算资金能根据年度工作重点，在不同项目、不同用途之间分配合理的，得1分；</w:t>
            </w:r>
          </w:p>
          <w:p>
            <w:pPr>
              <w:pStyle w:val="11"/>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专项资金编制细化程度合理，未出现因年中调剂导致部门预决算差异过大的问题；</w:t>
            </w:r>
          </w:p>
          <w:p>
            <w:pPr>
              <w:pStyle w:val="11"/>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功能分类和经济分类编制准确，年度中间无大量调剂，项目之间未频繁调剂的，得1分；</w:t>
            </w:r>
          </w:p>
          <w:p>
            <w:pPr>
              <w:pStyle w:val="11"/>
              <w:tabs>
                <w:tab w:val="left" w:pos="268"/>
              </w:tabs>
              <w:spacing w:before="1"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部门预算分配不固化，能根据实际情况合理调整（如不存在项目支出完成不理想但连年持续安排预算的情况等），得1分。</w:t>
            </w:r>
          </w:p>
        </w:tc>
        <w:tc>
          <w:tcPr>
            <w:tcW w:w="1618" w:type="dxa"/>
          </w:tcPr>
          <w:p>
            <w:pPr>
              <w:pStyle w:val="11"/>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1"/>
              <w:jc w:val="center"/>
              <w:rPr>
                <w:color w:val="000000" w:themeColor="text1"/>
                <w:kern w:val="2"/>
                <w:sz w:val="14"/>
                <w:szCs w:val="14"/>
              </w:rPr>
            </w:pPr>
            <w:r>
              <w:rPr>
                <w:color w:val="000000" w:themeColor="text1"/>
                <w:kern w:val="2"/>
                <w:sz w:val="14"/>
                <w:szCs w:val="14"/>
              </w:rPr>
              <w:t>预算编制规范性</w:t>
            </w:r>
          </w:p>
        </w:tc>
        <w:tc>
          <w:tcPr>
            <w:tcW w:w="709" w:type="dxa"/>
            <w:vAlign w:val="center"/>
          </w:tcPr>
          <w:p>
            <w:pPr>
              <w:pStyle w:val="11"/>
              <w:jc w:val="center"/>
              <w:rPr>
                <w:color w:val="000000" w:themeColor="text1"/>
                <w:kern w:val="2"/>
                <w:sz w:val="14"/>
                <w:szCs w:val="14"/>
              </w:rPr>
            </w:pPr>
            <w:r>
              <w:rPr>
                <w:color w:val="000000" w:themeColor="text1"/>
                <w:kern w:val="2"/>
                <w:sz w:val="14"/>
                <w:szCs w:val="14"/>
              </w:rPr>
              <w:t>5</w:t>
            </w:r>
          </w:p>
        </w:tc>
        <w:tc>
          <w:tcPr>
            <w:tcW w:w="716" w:type="dxa"/>
          </w:tcPr>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6" w:type="dxa"/>
            <w:vAlign w:val="center"/>
          </w:tcPr>
          <w:p>
            <w:pPr>
              <w:pStyle w:val="11"/>
              <w:spacing w:line="232" w:lineRule="auto"/>
              <w:ind w:right="84"/>
              <w:jc w:val="both"/>
              <w:rPr>
                <w:color w:val="000000" w:themeColor="text1"/>
                <w:kern w:val="2"/>
                <w:sz w:val="14"/>
                <w:szCs w:val="14"/>
              </w:rPr>
            </w:pPr>
            <w:r>
              <w:rPr>
                <w:color w:val="000000" w:themeColor="text1"/>
                <w:kern w:val="2"/>
                <w:sz w:val="14"/>
                <w:szCs w:val="14"/>
              </w:rPr>
              <w:t>考核部门（单位）预算编制是否符合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财政当年度有关预算编制的原则，例如在规范性和细致程度方面是否符合要求等。</w:t>
            </w:r>
          </w:p>
        </w:tc>
        <w:tc>
          <w:tcPr>
            <w:tcW w:w="6166" w:type="dxa"/>
            <w:vAlign w:val="center"/>
          </w:tcPr>
          <w:p>
            <w:pPr>
              <w:pStyle w:val="11"/>
              <w:spacing w:line="232" w:lineRule="auto"/>
              <w:ind w:firstLine="280" w:firstLineChars="200"/>
              <w:jc w:val="both"/>
              <w:rPr>
                <w:color w:val="000000" w:themeColor="text1"/>
                <w:kern w:val="2"/>
                <w:sz w:val="14"/>
                <w:szCs w:val="14"/>
              </w:rPr>
            </w:pPr>
            <w:r>
              <w:rPr>
                <w:color w:val="000000" w:themeColor="text1"/>
                <w:kern w:val="2"/>
                <w:sz w:val="14"/>
                <w:szCs w:val="14"/>
              </w:rPr>
              <w:t>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财政当年度有关预算编制的原则和要求的，符合专项资金预算编制和项目库管理要求的，得5分；发现一项没有满足的扣1分，扣完为止。本指标由评价组对照相应年度的</w:t>
            </w:r>
            <w:r>
              <w:rPr>
                <w:rFonts w:hint="eastAsia"/>
                <w:color w:val="000000" w:themeColor="text1"/>
                <w:kern w:val="2"/>
                <w:sz w:val="14"/>
                <w:szCs w:val="14"/>
                <w:lang w:val="en-US" w:eastAsia="zh-CN"/>
              </w:rPr>
              <w:t>县</w:t>
            </w:r>
            <w:r>
              <w:rPr>
                <w:color w:val="000000" w:themeColor="text1"/>
                <w:kern w:val="2"/>
                <w:sz w:val="14"/>
                <w:szCs w:val="14"/>
              </w:rPr>
              <w:t>级预算编制文件和部门（单位）的部门预算，根据实际情况评定。</w:t>
            </w:r>
            <w:r>
              <w:rPr>
                <w:rFonts w:hint="eastAsia"/>
                <w:color w:val="000000" w:themeColor="text1"/>
                <w:kern w:val="2"/>
                <w:sz w:val="14"/>
                <w:szCs w:val="14"/>
                <w:lang w:val="en-US" w:eastAsia="zh-CN"/>
              </w:rPr>
              <w:t>县</w:t>
            </w:r>
            <w:r>
              <w:rPr>
                <w:color w:val="000000" w:themeColor="text1"/>
                <w:kern w:val="2"/>
                <w:sz w:val="14"/>
                <w:szCs w:val="14"/>
              </w:rPr>
              <w:t>级部门预算编制文件是指由</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印发的</w:t>
            </w:r>
            <w:r>
              <w:rPr>
                <w:rFonts w:hint="eastAsia"/>
                <w:color w:val="000000" w:themeColor="text1"/>
                <w:kern w:val="2"/>
                <w:sz w:val="14"/>
                <w:szCs w:val="14"/>
                <w:lang w:val="en-US" w:eastAsia="zh-CN"/>
              </w:rPr>
              <w:t>县</w:t>
            </w:r>
            <w:r>
              <w:rPr>
                <w:color w:val="000000" w:themeColor="text1"/>
                <w:kern w:val="2"/>
                <w:sz w:val="14"/>
                <w:szCs w:val="14"/>
              </w:rPr>
              <w:t>级预算编制工作方案和年度</w:t>
            </w:r>
            <w:r>
              <w:rPr>
                <w:rFonts w:hint="eastAsia"/>
                <w:color w:val="000000" w:themeColor="text1"/>
                <w:kern w:val="2"/>
                <w:sz w:val="14"/>
                <w:szCs w:val="14"/>
                <w:lang w:val="en-US" w:eastAsia="zh-CN"/>
              </w:rPr>
              <w:t>县</w:t>
            </w:r>
            <w:r>
              <w:rPr>
                <w:color w:val="000000" w:themeColor="text1"/>
                <w:kern w:val="2"/>
                <w:sz w:val="14"/>
                <w:szCs w:val="14"/>
              </w:rPr>
              <w:t>级部门预算编制 工作通知，以及其他与部门预算编制相关的文件和制度。</w:t>
            </w:r>
          </w:p>
        </w:tc>
        <w:tc>
          <w:tcPr>
            <w:tcW w:w="1618" w:type="dxa"/>
          </w:tcPr>
          <w:p>
            <w:pPr>
              <w:pStyle w:val="11"/>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1"/>
              <w:spacing w:before="93" w:line="232" w:lineRule="auto"/>
              <w:jc w:val="center"/>
              <w:rPr>
                <w:color w:val="000000" w:themeColor="text1"/>
                <w:kern w:val="2"/>
                <w:sz w:val="14"/>
                <w:szCs w:val="14"/>
              </w:rPr>
            </w:pPr>
            <w:r>
              <w:rPr>
                <w:color w:val="000000" w:themeColor="text1"/>
                <w:kern w:val="2"/>
                <w:sz w:val="14"/>
                <w:szCs w:val="14"/>
              </w:rPr>
              <w:t>财政拨款收入预决算差异率</w:t>
            </w:r>
          </w:p>
        </w:tc>
        <w:tc>
          <w:tcPr>
            <w:tcW w:w="709" w:type="dxa"/>
            <w:vAlign w:val="center"/>
          </w:tcPr>
          <w:p>
            <w:pPr>
              <w:pStyle w:val="11"/>
              <w:jc w:val="center"/>
              <w:rPr>
                <w:color w:val="000000" w:themeColor="text1"/>
                <w:kern w:val="2"/>
                <w:sz w:val="14"/>
                <w:szCs w:val="14"/>
              </w:rPr>
            </w:pPr>
            <w:r>
              <w:rPr>
                <w:color w:val="000000" w:themeColor="text1"/>
                <w:kern w:val="2"/>
                <w:sz w:val="14"/>
                <w:szCs w:val="14"/>
              </w:rPr>
              <w:t>4</w:t>
            </w:r>
          </w:p>
        </w:tc>
        <w:tc>
          <w:tcPr>
            <w:tcW w:w="716" w:type="dxa"/>
          </w:tcPr>
          <w:p>
            <w:pPr>
              <w:pStyle w:val="11"/>
              <w:jc w:val="center"/>
              <w:rPr>
                <w:rFonts w:hint="eastAsia"/>
                <w:color w:val="000000" w:themeColor="text1"/>
                <w:kern w:val="2"/>
                <w:sz w:val="14"/>
                <w:szCs w:val="14"/>
                <w:lang w:val="en-US" w:eastAsia="zh-CN"/>
              </w:rPr>
            </w:pPr>
          </w:p>
          <w:p>
            <w:pPr>
              <w:pStyle w:val="11"/>
              <w:jc w:val="center"/>
              <w:rPr>
                <w:rFonts w:hint="eastAsia"/>
                <w:color w:val="000000" w:themeColor="text1"/>
                <w:kern w:val="2"/>
                <w:sz w:val="14"/>
                <w:szCs w:val="14"/>
                <w:lang w:val="en-US" w:eastAsia="zh-CN"/>
              </w:rPr>
            </w:pPr>
          </w:p>
          <w:p>
            <w:pPr>
              <w:pStyle w:val="11"/>
              <w:jc w:val="center"/>
              <w:rPr>
                <w:rFonts w:hint="eastAsia"/>
                <w:color w:val="000000" w:themeColor="text1"/>
                <w:kern w:val="2"/>
                <w:sz w:val="14"/>
                <w:szCs w:val="14"/>
                <w:lang w:val="en-US" w:eastAsia="zh-CN"/>
              </w:rPr>
            </w:pPr>
          </w:p>
          <w:p>
            <w:pPr>
              <w:pStyle w:val="11"/>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1"/>
              <w:jc w:val="both"/>
              <w:rPr>
                <w:color w:val="000000" w:themeColor="text1"/>
                <w:kern w:val="2"/>
                <w:sz w:val="14"/>
                <w:szCs w:val="14"/>
              </w:rPr>
            </w:pPr>
            <w:r>
              <w:rPr>
                <w:color w:val="000000" w:themeColor="text1"/>
                <w:kern w:val="2"/>
                <w:sz w:val="14"/>
                <w:szCs w:val="14"/>
              </w:rPr>
              <w:t>反映部门（单位）收入预算编制的准确性。</w:t>
            </w:r>
          </w:p>
        </w:tc>
        <w:tc>
          <w:tcPr>
            <w:tcW w:w="6166" w:type="dxa"/>
            <w:vAlign w:val="center"/>
          </w:tcPr>
          <w:p>
            <w:pPr>
              <w:pStyle w:val="11"/>
              <w:spacing w:before="85"/>
              <w:ind w:firstLine="280" w:firstLineChars="200"/>
              <w:jc w:val="both"/>
              <w:rPr>
                <w:color w:val="000000" w:themeColor="text1"/>
                <w:kern w:val="2"/>
                <w:sz w:val="14"/>
                <w:szCs w:val="14"/>
              </w:rPr>
            </w:pPr>
            <w:r>
              <w:rPr>
                <w:color w:val="000000" w:themeColor="text1"/>
                <w:kern w:val="2"/>
                <w:sz w:val="14"/>
                <w:szCs w:val="14"/>
              </w:rPr>
              <w:t>财政拨款收入预决算差异率=（收入决算数-收入调整预算数）/收入调整预算数*100</w:t>
            </w:r>
            <w:r>
              <w:rPr>
                <w:rFonts w:hint="eastAsia"/>
                <w:color w:val="000000" w:themeColor="text1"/>
                <w:kern w:val="2"/>
                <w:sz w:val="14"/>
                <w:szCs w:val="14"/>
              </w:rPr>
              <w:t>%</w:t>
            </w:r>
            <w:r>
              <w:rPr>
                <w:color w:val="000000" w:themeColor="text1"/>
                <w:kern w:val="2"/>
                <w:sz w:val="14"/>
                <w:szCs w:val="14"/>
              </w:rPr>
              <w:t>（取绝对值）</w:t>
            </w:r>
            <w:r>
              <w:rPr>
                <w:rFonts w:hint="eastAsia"/>
                <w:color w:val="000000" w:themeColor="text1"/>
                <w:kern w:val="2"/>
                <w:sz w:val="14"/>
                <w:szCs w:val="14"/>
              </w:rPr>
              <w:t>。</w:t>
            </w:r>
            <w:r>
              <w:rPr>
                <w:color w:val="000000" w:themeColor="text1"/>
                <w:kern w:val="2"/>
                <w:sz w:val="14"/>
                <w:szCs w:val="14"/>
              </w:rPr>
              <w:t>差异率=0，本项指标得满分；每增加5（含）扣减0.5分，直至扣完为止。</w:t>
            </w:r>
          </w:p>
        </w:tc>
        <w:tc>
          <w:tcPr>
            <w:tcW w:w="1618" w:type="dxa"/>
            <w:vAlign w:val="center"/>
          </w:tcPr>
          <w:p>
            <w:pPr>
              <w:pStyle w:val="11"/>
              <w:spacing w:before="83" w:line="232" w:lineRule="auto"/>
              <w:ind w:left="23"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1"/>
              <w:jc w:val="center"/>
              <w:rPr>
                <w:color w:val="000000" w:themeColor="text1"/>
                <w:kern w:val="2"/>
                <w:sz w:val="14"/>
                <w:szCs w:val="14"/>
                <w:lang w:val="en-US"/>
              </w:rPr>
            </w:pPr>
            <w:r>
              <w:rPr>
                <w:rFonts w:hint="eastAsia"/>
                <w:color w:val="000000" w:themeColor="text1"/>
                <w:kern w:val="2"/>
                <w:sz w:val="14"/>
                <w:szCs w:val="14"/>
                <w:lang w:val="en-US"/>
              </w:rPr>
              <w:t>预算编制的及时性</w:t>
            </w:r>
          </w:p>
        </w:tc>
        <w:tc>
          <w:tcPr>
            <w:tcW w:w="709" w:type="dxa"/>
            <w:vAlign w:val="center"/>
          </w:tcPr>
          <w:p>
            <w:pPr>
              <w:pStyle w:val="11"/>
              <w:jc w:val="center"/>
              <w:rPr>
                <w:color w:val="000000" w:themeColor="text1"/>
                <w:kern w:val="2"/>
                <w:sz w:val="14"/>
                <w:szCs w:val="14"/>
              </w:rPr>
            </w:pPr>
            <w:r>
              <w:rPr>
                <w:color w:val="000000" w:themeColor="text1"/>
                <w:kern w:val="2"/>
                <w:sz w:val="14"/>
                <w:szCs w:val="14"/>
              </w:rPr>
              <w:t>4</w:t>
            </w:r>
          </w:p>
        </w:tc>
        <w:tc>
          <w:tcPr>
            <w:tcW w:w="716" w:type="dxa"/>
          </w:tcPr>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1"/>
              <w:spacing w:line="232" w:lineRule="auto"/>
              <w:ind w:right="86"/>
              <w:jc w:val="both"/>
              <w:rPr>
                <w:color w:val="000000" w:themeColor="text1"/>
                <w:kern w:val="2"/>
                <w:sz w:val="14"/>
                <w:szCs w:val="14"/>
              </w:rPr>
            </w:pPr>
            <w:r>
              <w:rPr>
                <w:color w:val="000000" w:themeColor="text1"/>
                <w:kern w:val="2"/>
                <w:sz w:val="14"/>
                <w:szCs w:val="14"/>
              </w:rPr>
              <w:t>反映部门是否</w:t>
            </w:r>
            <w:r>
              <w:rPr>
                <w:rFonts w:hint="eastAsia"/>
                <w:color w:val="000000" w:themeColor="text1"/>
                <w:kern w:val="2"/>
                <w:sz w:val="14"/>
                <w:szCs w:val="14"/>
                <w:lang w:val="en-US"/>
              </w:rPr>
              <w:t>在规定时间内</w:t>
            </w:r>
            <w:r>
              <w:rPr>
                <w:color w:val="000000" w:themeColor="text1"/>
                <w:kern w:val="2"/>
                <w:sz w:val="14"/>
                <w:szCs w:val="14"/>
              </w:rPr>
              <w:t>按要求</w:t>
            </w:r>
            <w:r>
              <w:rPr>
                <w:rFonts w:hint="eastAsia"/>
                <w:color w:val="000000" w:themeColor="text1"/>
                <w:kern w:val="2"/>
                <w:sz w:val="14"/>
                <w:szCs w:val="14"/>
                <w:lang w:val="en-US"/>
              </w:rPr>
              <w:t>报送年度部门预算编制</w:t>
            </w:r>
            <w:r>
              <w:rPr>
                <w:color w:val="000000" w:themeColor="text1"/>
                <w:kern w:val="2"/>
                <w:sz w:val="14"/>
                <w:szCs w:val="14"/>
              </w:rPr>
              <w:t>。</w:t>
            </w:r>
          </w:p>
        </w:tc>
        <w:tc>
          <w:tcPr>
            <w:tcW w:w="6166" w:type="dxa"/>
            <w:vAlign w:val="center"/>
          </w:tcPr>
          <w:p>
            <w:pPr>
              <w:pStyle w:val="11"/>
              <w:spacing w:line="232" w:lineRule="auto"/>
              <w:ind w:left="24" w:firstLine="280" w:firstLineChars="200"/>
              <w:jc w:val="both"/>
              <w:rPr>
                <w:color w:val="000000" w:themeColor="text1"/>
                <w:kern w:val="2"/>
                <w:sz w:val="14"/>
                <w:szCs w:val="14"/>
                <w:lang w:val="en-US"/>
              </w:rPr>
            </w:pPr>
            <w:r>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1618" w:type="dxa"/>
            <w:vAlign w:val="center"/>
          </w:tcPr>
          <w:p>
            <w:pPr>
              <w:pStyle w:val="11"/>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854" w:type="dxa"/>
            <w:vMerge w:val="continue"/>
            <w:tcBorders>
              <w:top w:val="nil"/>
            </w:tcBorders>
          </w:tcPr>
          <w:p>
            <w:pPr>
              <w:rPr>
                <w:color w:val="000000" w:themeColor="text1"/>
                <w:kern w:val="2"/>
                <w:sz w:val="14"/>
                <w:szCs w:val="14"/>
              </w:rPr>
            </w:pPr>
          </w:p>
        </w:tc>
        <w:tc>
          <w:tcPr>
            <w:tcW w:w="667" w:type="dxa"/>
            <w:vMerge w:val="continue"/>
            <w:tcBorders>
              <w:top w:val="nil"/>
            </w:tcBorders>
          </w:tcPr>
          <w:p>
            <w:pPr>
              <w:rPr>
                <w:color w:val="000000" w:themeColor="text1"/>
                <w:kern w:val="2"/>
                <w:sz w:val="14"/>
                <w:szCs w:val="14"/>
              </w:rPr>
            </w:pPr>
          </w:p>
        </w:tc>
        <w:tc>
          <w:tcPr>
            <w:tcW w:w="708" w:type="dxa"/>
            <w:vMerge w:val="restart"/>
            <w:vAlign w:val="center"/>
          </w:tcPr>
          <w:p>
            <w:pPr>
              <w:pStyle w:val="11"/>
              <w:jc w:val="center"/>
              <w:rPr>
                <w:color w:val="000000" w:themeColor="text1"/>
                <w:kern w:val="2"/>
                <w:sz w:val="14"/>
                <w:szCs w:val="14"/>
              </w:rPr>
            </w:pPr>
            <w:r>
              <w:rPr>
                <w:color w:val="000000" w:themeColor="text1"/>
                <w:kern w:val="2"/>
                <w:sz w:val="14"/>
                <w:szCs w:val="14"/>
              </w:rPr>
              <w:t>目标设置</w:t>
            </w:r>
          </w:p>
        </w:tc>
        <w:tc>
          <w:tcPr>
            <w:tcW w:w="709" w:type="dxa"/>
            <w:vMerge w:val="restart"/>
            <w:vAlign w:val="center"/>
          </w:tcPr>
          <w:p>
            <w:pPr>
              <w:pStyle w:val="11"/>
              <w:jc w:val="center"/>
              <w:rPr>
                <w:color w:val="000000" w:themeColor="text1"/>
                <w:kern w:val="2"/>
                <w:sz w:val="14"/>
                <w:szCs w:val="14"/>
              </w:rPr>
            </w:pPr>
            <w:r>
              <w:rPr>
                <w:color w:val="000000" w:themeColor="text1"/>
                <w:kern w:val="2"/>
                <w:sz w:val="14"/>
                <w:szCs w:val="14"/>
              </w:rPr>
              <w:t>10</w:t>
            </w:r>
          </w:p>
        </w:tc>
        <w:tc>
          <w:tcPr>
            <w:tcW w:w="709" w:type="dxa"/>
            <w:vAlign w:val="center"/>
          </w:tcPr>
          <w:p>
            <w:pPr>
              <w:pStyle w:val="11"/>
              <w:jc w:val="center"/>
              <w:rPr>
                <w:color w:val="000000" w:themeColor="text1"/>
                <w:kern w:val="2"/>
                <w:sz w:val="14"/>
                <w:szCs w:val="14"/>
              </w:rPr>
            </w:pPr>
            <w:r>
              <w:rPr>
                <w:color w:val="000000" w:themeColor="text1"/>
                <w:kern w:val="2"/>
                <w:sz w:val="14"/>
                <w:szCs w:val="14"/>
              </w:rPr>
              <w:t>绩效目标合理性</w:t>
            </w:r>
          </w:p>
        </w:tc>
        <w:tc>
          <w:tcPr>
            <w:tcW w:w="709" w:type="dxa"/>
            <w:vAlign w:val="center"/>
          </w:tcPr>
          <w:p>
            <w:pPr>
              <w:pStyle w:val="11"/>
              <w:jc w:val="center"/>
              <w:rPr>
                <w:color w:val="000000" w:themeColor="text1"/>
                <w:kern w:val="2"/>
                <w:sz w:val="14"/>
                <w:szCs w:val="14"/>
              </w:rPr>
            </w:pPr>
            <w:r>
              <w:rPr>
                <w:color w:val="000000" w:themeColor="text1"/>
                <w:kern w:val="2"/>
                <w:sz w:val="14"/>
                <w:szCs w:val="14"/>
              </w:rPr>
              <w:t>5</w:t>
            </w:r>
          </w:p>
        </w:tc>
        <w:tc>
          <w:tcPr>
            <w:tcW w:w="716" w:type="dxa"/>
          </w:tcPr>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1"/>
              <w:spacing w:line="232" w:lineRule="auto"/>
              <w:ind w:right="86"/>
              <w:jc w:val="both"/>
              <w:rPr>
                <w:color w:val="000000" w:themeColor="text1"/>
                <w:kern w:val="2"/>
                <w:sz w:val="14"/>
                <w:szCs w:val="14"/>
              </w:rPr>
            </w:pPr>
            <w:r>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6166" w:type="dxa"/>
            <w:vAlign w:val="center"/>
          </w:tcPr>
          <w:p>
            <w:pPr>
              <w:pStyle w:val="11"/>
              <w:tabs>
                <w:tab w:val="left" w:pos="389"/>
              </w:tabs>
              <w:spacing w:before="93" w:line="152"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整体绩效目标能体现部门（单位）“三定”方案规定的部门职能的，得1分；</w:t>
            </w:r>
          </w:p>
          <w:p>
            <w:pPr>
              <w:pStyle w:val="11"/>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整体绩效目标能体现部门（单位）中长期规划和年度工作计划的，得1分；</w:t>
            </w:r>
          </w:p>
          <w:p>
            <w:pPr>
              <w:pStyle w:val="11"/>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整体绩效目标能分解成具体工作任务的，得1分；</w:t>
            </w:r>
          </w:p>
          <w:p>
            <w:pPr>
              <w:pStyle w:val="11"/>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整体绩效目标与本年度部门预算资金相匹配的，得1分；</w:t>
            </w:r>
          </w:p>
          <w:p>
            <w:pPr>
              <w:pStyle w:val="11"/>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部门申报的项目有进行可行性研究和充分论证的，得1分；对上述5项标准，没有完全符合的，可酌情扣分。</w:t>
            </w:r>
          </w:p>
        </w:tc>
        <w:tc>
          <w:tcPr>
            <w:tcW w:w="1618" w:type="dxa"/>
          </w:tcPr>
          <w:p>
            <w:pPr>
              <w:pStyle w:val="11"/>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854" w:type="dxa"/>
            <w:vMerge w:val="continue"/>
            <w:tcBorders>
              <w:top w:val="nil"/>
            </w:tcBorders>
          </w:tcPr>
          <w:p>
            <w:pPr>
              <w:rPr>
                <w:color w:val="000000" w:themeColor="text1"/>
                <w:kern w:val="2"/>
                <w:sz w:val="14"/>
                <w:szCs w:val="14"/>
              </w:rPr>
            </w:pPr>
          </w:p>
        </w:tc>
        <w:tc>
          <w:tcPr>
            <w:tcW w:w="667" w:type="dxa"/>
            <w:vMerge w:val="continue"/>
            <w:tcBorders>
              <w:top w:val="nil"/>
            </w:tcBorders>
          </w:tcPr>
          <w:p>
            <w:pP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1"/>
              <w:jc w:val="center"/>
              <w:rPr>
                <w:color w:val="000000" w:themeColor="text1"/>
                <w:kern w:val="2"/>
                <w:sz w:val="14"/>
                <w:szCs w:val="14"/>
              </w:rPr>
            </w:pPr>
            <w:r>
              <w:rPr>
                <w:color w:val="000000" w:themeColor="text1"/>
                <w:kern w:val="2"/>
                <w:sz w:val="14"/>
                <w:szCs w:val="14"/>
              </w:rPr>
              <w:t>绩效指标明确性</w:t>
            </w:r>
          </w:p>
        </w:tc>
        <w:tc>
          <w:tcPr>
            <w:tcW w:w="709" w:type="dxa"/>
            <w:vAlign w:val="center"/>
          </w:tcPr>
          <w:p>
            <w:pPr>
              <w:pStyle w:val="11"/>
              <w:jc w:val="center"/>
              <w:rPr>
                <w:color w:val="000000" w:themeColor="text1"/>
                <w:kern w:val="2"/>
                <w:sz w:val="14"/>
                <w:szCs w:val="14"/>
              </w:rPr>
            </w:pPr>
            <w:r>
              <w:rPr>
                <w:color w:val="000000" w:themeColor="text1"/>
                <w:kern w:val="2"/>
                <w:sz w:val="14"/>
                <w:szCs w:val="14"/>
              </w:rPr>
              <w:t>5</w:t>
            </w:r>
          </w:p>
        </w:tc>
        <w:tc>
          <w:tcPr>
            <w:tcW w:w="716" w:type="dxa"/>
          </w:tcPr>
          <w:p>
            <w:pPr>
              <w:pStyle w:val="11"/>
              <w:spacing w:line="235" w:lineRule="auto"/>
              <w:ind w:right="86"/>
              <w:jc w:val="center"/>
              <w:rPr>
                <w:rFonts w:hint="eastAsia"/>
                <w:color w:val="000000" w:themeColor="text1"/>
                <w:kern w:val="2"/>
                <w:sz w:val="14"/>
                <w:szCs w:val="14"/>
                <w:lang w:val="en-US" w:eastAsia="zh-CN"/>
              </w:rPr>
            </w:pPr>
          </w:p>
          <w:p>
            <w:pPr>
              <w:pStyle w:val="11"/>
              <w:spacing w:line="235" w:lineRule="auto"/>
              <w:ind w:right="86"/>
              <w:jc w:val="center"/>
              <w:rPr>
                <w:rFonts w:hint="eastAsia"/>
                <w:color w:val="000000" w:themeColor="text1"/>
                <w:kern w:val="2"/>
                <w:sz w:val="14"/>
                <w:szCs w:val="14"/>
                <w:lang w:val="en-US" w:eastAsia="zh-CN"/>
              </w:rPr>
            </w:pPr>
          </w:p>
          <w:p>
            <w:pPr>
              <w:pStyle w:val="11"/>
              <w:spacing w:line="235" w:lineRule="auto"/>
              <w:ind w:right="86"/>
              <w:jc w:val="center"/>
              <w:rPr>
                <w:rFonts w:hint="eastAsia"/>
                <w:color w:val="000000" w:themeColor="text1"/>
                <w:kern w:val="2"/>
                <w:sz w:val="14"/>
                <w:szCs w:val="14"/>
                <w:lang w:val="en-US" w:eastAsia="zh-CN"/>
              </w:rPr>
            </w:pPr>
          </w:p>
          <w:p>
            <w:pPr>
              <w:pStyle w:val="11"/>
              <w:spacing w:line="235"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1"/>
              <w:spacing w:line="235" w:lineRule="auto"/>
              <w:ind w:right="86"/>
              <w:jc w:val="both"/>
              <w:rPr>
                <w:color w:val="000000" w:themeColor="text1"/>
                <w:kern w:val="2"/>
                <w:sz w:val="14"/>
                <w:szCs w:val="14"/>
              </w:rPr>
            </w:pPr>
            <w:r>
              <w:rPr>
                <w:color w:val="000000" w:themeColor="text1"/>
                <w:kern w:val="2"/>
                <w:sz w:val="14"/>
                <w:szCs w:val="14"/>
              </w:rPr>
              <w:t>部门（单位）依据整体绩效目标所设定的绩效指标是否清晰、细化、可量化，用以反映和考核部门（单位）整体绩效目标的明细化情况。</w:t>
            </w:r>
          </w:p>
        </w:tc>
        <w:tc>
          <w:tcPr>
            <w:tcW w:w="6166" w:type="dxa"/>
            <w:vAlign w:val="center"/>
          </w:tcPr>
          <w:p>
            <w:pPr>
              <w:pStyle w:val="11"/>
              <w:tabs>
                <w:tab w:val="left" w:pos="389"/>
              </w:tabs>
              <w:spacing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绩效指标中包含能够明确体现部门（单位）履职效果的社会经济效益指标的，得2分；</w:t>
            </w:r>
          </w:p>
          <w:p>
            <w:pPr>
              <w:pStyle w:val="11"/>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绩效指标具有清晰、可衡量的指标值的，得1分；</w:t>
            </w:r>
          </w:p>
          <w:p>
            <w:pPr>
              <w:pStyle w:val="11"/>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绩效指标包含可量化的指标的，得1分；完全没有可量化的指标的，不得分；</w:t>
            </w:r>
          </w:p>
          <w:p>
            <w:pPr>
              <w:pStyle w:val="11"/>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绩效目标的目标值测算能提供相关依据或符合客观实际情况的，得1分；对上述4项标准，没有完全符合的，可酌情扣分。</w:t>
            </w:r>
          </w:p>
        </w:tc>
        <w:tc>
          <w:tcPr>
            <w:tcW w:w="1618" w:type="dxa"/>
          </w:tcPr>
          <w:p>
            <w:pPr>
              <w:pStyle w:val="11"/>
              <w:rPr>
                <w:rFonts w:ascii="Times New Roman"/>
                <w:color w:val="000000" w:themeColor="text1"/>
                <w:kern w:val="2"/>
                <w:sz w:val="14"/>
                <w:szCs w:val="14"/>
              </w:rPr>
            </w:pPr>
          </w:p>
        </w:tc>
      </w:tr>
    </w:tbl>
    <w:p>
      <w:pPr>
        <w:rPr>
          <w:rFonts w:ascii="Times New Roman"/>
          <w:color w:val="000000" w:themeColor="text1"/>
          <w:kern w:val="2"/>
          <w:sz w:val="12"/>
        </w:rPr>
        <w:sectPr>
          <w:footerReference r:id="rId3" w:type="even"/>
          <w:pgSz w:w="16840" w:h="11900" w:orient="landscape"/>
          <w:pgMar w:top="1134" w:right="1418" w:bottom="1134" w:left="1418" w:header="0" w:footer="0" w:gutter="0"/>
          <w:cols w:space="720" w:num="1"/>
        </w:sectPr>
      </w:pPr>
    </w:p>
    <w:p>
      <w:pPr>
        <w:pStyle w:val="3"/>
        <w:rPr>
          <w:rFonts w:ascii="Times New Roman"/>
          <w:color w:val="000000" w:themeColor="text1"/>
          <w:kern w:val="2"/>
          <w:sz w:val="20"/>
        </w:rPr>
      </w:pPr>
      <w:r>
        <w:rPr>
          <w:color w:val="000000" w:themeColor="text1"/>
          <w:kern w:val="2"/>
        </w:rPr>
        <w:pict>
          <v:shape id="_x0000_s1040" o:spid="_x0000_s1040" style="position:absolute;left:0pt;margin-left:930.55pt;margin-top:1.8pt;height:48.15pt;width:67.95pt;mso-position-horizontal-relative:page;mso-position-vertical-relative:page;z-index:-251657216;mso-width-relative:page;mso-height-relative:page;" stroked="f" coordorigin="1034,2" coordsize="1359,963" path="m1359,0l1359,0,0,0,0,963,28,963,57,963,1301,963,1330,963,1359,963,1359,0e">
            <v:path arrowok="t"/>
            <v:fill focussize="0,0"/>
            <v:stroke on="f"/>
            <v:imagedata o:title=""/>
            <o:lock v:ext="edit"/>
          </v:shape>
        </w:pict>
      </w:r>
    </w:p>
    <w:tbl>
      <w:tblPr>
        <w:tblStyle w:val="7"/>
        <w:tblW w:w="15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90"/>
        <w:gridCol w:w="448"/>
        <w:gridCol w:w="700"/>
        <w:gridCol w:w="994"/>
        <w:gridCol w:w="672"/>
        <w:gridCol w:w="795"/>
        <w:gridCol w:w="2099"/>
        <w:gridCol w:w="6173"/>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82" w:type="dxa"/>
            <w:gridSpan w:val="6"/>
            <w:vAlign w:val="center"/>
          </w:tcPr>
          <w:p>
            <w:pPr>
              <w:pStyle w:val="11"/>
              <w:spacing w:line="131" w:lineRule="exact"/>
              <w:ind w:left="1623" w:right="1607"/>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95"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099" w:type="dxa"/>
            <w:vMerge w:val="restart"/>
            <w:vAlign w:val="center"/>
          </w:tcPr>
          <w:p>
            <w:pPr>
              <w:pStyle w:val="11"/>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73" w:type="dxa"/>
            <w:vMerge w:val="restart"/>
            <w:vAlign w:val="center"/>
          </w:tcPr>
          <w:p>
            <w:pPr>
              <w:pStyle w:val="11"/>
              <w:spacing w:line="131" w:lineRule="exact"/>
              <w:ind w:left="2773"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50" w:type="dxa"/>
            <w:vMerge w:val="restart"/>
          </w:tcPr>
          <w:p>
            <w:pPr>
              <w:pStyle w:val="11"/>
              <w:spacing w:before="9"/>
              <w:rPr>
                <w:rFonts w:ascii="Times New Roman"/>
                <w:color w:val="000000" w:themeColor="text1"/>
                <w:kern w:val="2"/>
                <w:sz w:val="14"/>
                <w:szCs w:val="14"/>
              </w:rPr>
            </w:pPr>
          </w:p>
          <w:p>
            <w:pPr>
              <w:pStyle w:val="11"/>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1"/>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90" w:type="dxa"/>
            <w:vAlign w:val="center"/>
          </w:tcPr>
          <w:p>
            <w:pPr>
              <w:pStyle w:val="11"/>
              <w:jc w:val="center"/>
              <w:rPr>
                <w:rFonts w:ascii="Times New Roman"/>
                <w:color w:val="000000" w:themeColor="text1"/>
                <w:kern w:val="2"/>
                <w:sz w:val="14"/>
                <w:szCs w:val="14"/>
              </w:rPr>
            </w:pPr>
          </w:p>
        </w:tc>
        <w:tc>
          <w:tcPr>
            <w:tcW w:w="448" w:type="dxa"/>
            <w:vAlign w:val="center"/>
          </w:tcPr>
          <w:p>
            <w:pPr>
              <w:pStyle w:val="11"/>
              <w:spacing w:before="14" w:line="116" w:lineRule="exact"/>
              <w:ind w:left="25"/>
              <w:jc w:val="center"/>
              <w:rPr>
                <w:rFonts w:ascii="黑体" w:eastAsia="黑体"/>
                <w:color w:val="000000" w:themeColor="text1"/>
                <w:spacing w:val="-2"/>
                <w:kern w:val="2"/>
                <w:sz w:val="14"/>
                <w:szCs w:val="14"/>
              </w:rPr>
            </w:pPr>
            <w:r>
              <w:rPr>
                <w:rFonts w:hint="eastAsia" w:ascii="黑体" w:eastAsia="黑体"/>
                <w:color w:val="000000" w:themeColor="text1"/>
                <w:spacing w:val="-2"/>
                <w:kern w:val="2"/>
                <w:sz w:val="14"/>
                <w:szCs w:val="14"/>
              </w:rPr>
              <w:t>二级指标</w:t>
            </w:r>
          </w:p>
        </w:tc>
        <w:tc>
          <w:tcPr>
            <w:tcW w:w="700" w:type="dxa"/>
            <w:vAlign w:val="center"/>
          </w:tcPr>
          <w:p>
            <w:pPr>
              <w:pStyle w:val="11"/>
              <w:jc w:val="center"/>
              <w:rPr>
                <w:rFonts w:ascii="Times New Roman"/>
                <w:color w:val="000000" w:themeColor="text1"/>
                <w:kern w:val="2"/>
                <w:sz w:val="14"/>
                <w:szCs w:val="14"/>
              </w:rPr>
            </w:pPr>
          </w:p>
        </w:tc>
        <w:tc>
          <w:tcPr>
            <w:tcW w:w="994" w:type="dxa"/>
            <w:vAlign w:val="center"/>
          </w:tcPr>
          <w:p>
            <w:pPr>
              <w:pStyle w:val="11"/>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672" w:type="dxa"/>
            <w:vAlign w:val="center"/>
          </w:tcPr>
          <w:p>
            <w:pPr>
              <w:pStyle w:val="11"/>
              <w:jc w:val="center"/>
              <w:rPr>
                <w:rFonts w:ascii="Times New Roman"/>
                <w:color w:val="000000" w:themeColor="text1"/>
                <w:kern w:val="2"/>
                <w:sz w:val="14"/>
                <w:szCs w:val="14"/>
              </w:rPr>
            </w:pPr>
          </w:p>
        </w:tc>
        <w:tc>
          <w:tcPr>
            <w:tcW w:w="795" w:type="dxa"/>
            <w:vMerge w:val="continue"/>
          </w:tcPr>
          <w:p>
            <w:pPr>
              <w:pStyle w:val="11"/>
              <w:rPr>
                <w:rFonts w:ascii="Times New Roman"/>
                <w:color w:val="000000" w:themeColor="text1"/>
                <w:kern w:val="2"/>
                <w:sz w:val="14"/>
                <w:szCs w:val="14"/>
              </w:rPr>
            </w:pPr>
          </w:p>
        </w:tc>
        <w:tc>
          <w:tcPr>
            <w:tcW w:w="2099" w:type="dxa"/>
            <w:vMerge w:val="continue"/>
          </w:tcPr>
          <w:p>
            <w:pPr>
              <w:pStyle w:val="11"/>
              <w:rPr>
                <w:rFonts w:ascii="Times New Roman"/>
                <w:color w:val="000000" w:themeColor="text1"/>
                <w:kern w:val="2"/>
                <w:sz w:val="14"/>
                <w:szCs w:val="14"/>
              </w:rPr>
            </w:pPr>
          </w:p>
        </w:tc>
        <w:tc>
          <w:tcPr>
            <w:tcW w:w="6173" w:type="dxa"/>
            <w:vMerge w:val="continue"/>
          </w:tcPr>
          <w:p>
            <w:pPr>
              <w:pStyle w:val="11"/>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1"/>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90" w:type="dxa"/>
            <w:vAlign w:val="center"/>
          </w:tcPr>
          <w:p>
            <w:pPr>
              <w:pStyle w:val="11"/>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448" w:type="dxa"/>
            <w:vAlign w:val="center"/>
          </w:tcPr>
          <w:p>
            <w:pPr>
              <w:pStyle w:val="11"/>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0"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权重（ </w:t>
            </w:r>
            <w:r>
              <w:rPr>
                <w:rFonts w:ascii="黑体" w:eastAsia="黑体"/>
                <w:color w:val="000000" w:themeColor="text1"/>
                <w:kern w:val="2"/>
                <w:sz w:val="14"/>
                <w:szCs w:val="14"/>
              </w:rPr>
              <w:t>）</w:t>
            </w:r>
          </w:p>
        </w:tc>
        <w:tc>
          <w:tcPr>
            <w:tcW w:w="994"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72" w:type="dxa"/>
            <w:vAlign w:val="center"/>
          </w:tcPr>
          <w:p>
            <w:pPr>
              <w:pStyle w:val="11"/>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95" w:type="dxa"/>
            <w:vMerge w:val="continue"/>
          </w:tcPr>
          <w:p>
            <w:pPr>
              <w:pStyle w:val="11"/>
              <w:rPr>
                <w:rFonts w:ascii="Times New Roman"/>
                <w:color w:val="000000" w:themeColor="text1"/>
                <w:kern w:val="2"/>
                <w:sz w:val="14"/>
                <w:szCs w:val="14"/>
              </w:rPr>
            </w:pPr>
          </w:p>
        </w:tc>
        <w:tc>
          <w:tcPr>
            <w:tcW w:w="2099" w:type="dxa"/>
            <w:vMerge w:val="continue"/>
          </w:tcPr>
          <w:p>
            <w:pPr>
              <w:pStyle w:val="11"/>
              <w:rPr>
                <w:rFonts w:ascii="Times New Roman"/>
                <w:color w:val="000000" w:themeColor="text1"/>
                <w:kern w:val="2"/>
                <w:sz w:val="14"/>
                <w:szCs w:val="14"/>
              </w:rPr>
            </w:pPr>
          </w:p>
        </w:tc>
        <w:tc>
          <w:tcPr>
            <w:tcW w:w="6173" w:type="dxa"/>
            <w:vMerge w:val="continue"/>
          </w:tcPr>
          <w:p>
            <w:pPr>
              <w:pStyle w:val="11"/>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878" w:type="dxa"/>
            <w:vMerge w:val="restart"/>
            <w:tcBorders>
              <w:bottom w:val="single" w:color="000000" w:sz="8" w:space="0"/>
            </w:tcBorders>
          </w:tcPr>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rPr>
                <w:rFonts w:ascii="Times New Roman"/>
                <w:color w:val="000000" w:themeColor="text1"/>
                <w:kern w:val="2"/>
                <w:sz w:val="12"/>
              </w:rPr>
            </w:pPr>
          </w:p>
          <w:p>
            <w:pPr>
              <w:pStyle w:val="11"/>
              <w:spacing w:before="8"/>
              <w:rPr>
                <w:rFonts w:ascii="Times New Roman"/>
                <w:color w:val="000000" w:themeColor="text1"/>
                <w:kern w:val="2"/>
                <w:sz w:val="14"/>
              </w:rPr>
            </w:pPr>
          </w:p>
          <w:p>
            <w:pPr>
              <w:pStyle w:val="11"/>
              <w:spacing w:line="232" w:lineRule="auto"/>
              <w:ind w:right="9" w:firstLine="28"/>
              <w:rPr>
                <w:color w:val="000000" w:themeColor="text1"/>
                <w:spacing w:val="-2"/>
                <w:kern w:val="2"/>
                <w:sz w:val="14"/>
                <w:szCs w:val="14"/>
              </w:rPr>
            </w:pPr>
            <w:r>
              <w:rPr>
                <w:color w:val="000000" w:themeColor="text1"/>
                <w:spacing w:val="-2"/>
                <w:kern w:val="2"/>
                <w:sz w:val="14"/>
                <w:szCs w:val="14"/>
              </w:rPr>
              <w:t>预算执行情况</w:t>
            </w:r>
          </w:p>
        </w:tc>
        <w:tc>
          <w:tcPr>
            <w:tcW w:w="690" w:type="dxa"/>
            <w:vMerge w:val="restart"/>
            <w:tcBorders>
              <w:bottom w:val="single" w:color="000000" w:sz="8" w:space="0"/>
            </w:tcBorders>
          </w:tcPr>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rPr>
                <w:rFonts w:ascii="Times New Roman"/>
                <w:color w:val="000000" w:themeColor="text1"/>
                <w:kern w:val="2"/>
                <w:sz w:val="14"/>
                <w:szCs w:val="14"/>
              </w:rPr>
            </w:pPr>
          </w:p>
          <w:p>
            <w:pPr>
              <w:pStyle w:val="11"/>
              <w:spacing w:before="102"/>
              <w:ind w:left="210" w:right="193"/>
              <w:jc w:val="center"/>
              <w:rPr>
                <w:color w:val="000000" w:themeColor="text1"/>
                <w:kern w:val="2"/>
                <w:sz w:val="14"/>
                <w:szCs w:val="14"/>
              </w:rPr>
            </w:pPr>
            <w:r>
              <w:rPr>
                <w:color w:val="000000" w:themeColor="text1"/>
                <w:kern w:val="2"/>
                <w:sz w:val="14"/>
                <w:szCs w:val="14"/>
              </w:rPr>
              <w:t>42</w:t>
            </w:r>
          </w:p>
        </w:tc>
        <w:tc>
          <w:tcPr>
            <w:tcW w:w="448" w:type="dxa"/>
            <w:vMerge w:val="restart"/>
            <w:vAlign w:val="center"/>
          </w:tcPr>
          <w:p>
            <w:pPr>
              <w:pStyle w:val="11"/>
              <w:jc w:val="center"/>
              <w:rPr>
                <w:color w:val="000000" w:themeColor="text1"/>
                <w:kern w:val="2"/>
                <w:sz w:val="14"/>
                <w:szCs w:val="14"/>
              </w:rPr>
            </w:pPr>
            <w:r>
              <w:rPr>
                <w:color w:val="000000" w:themeColor="text1"/>
                <w:kern w:val="2"/>
                <w:sz w:val="14"/>
                <w:szCs w:val="14"/>
              </w:rPr>
              <w:t>资金管理</w:t>
            </w:r>
          </w:p>
        </w:tc>
        <w:tc>
          <w:tcPr>
            <w:tcW w:w="700" w:type="dxa"/>
            <w:vMerge w:val="restart"/>
            <w:vAlign w:val="center"/>
          </w:tcPr>
          <w:p>
            <w:pPr>
              <w:pStyle w:val="11"/>
              <w:ind w:right="60"/>
              <w:jc w:val="center"/>
              <w:rPr>
                <w:color w:val="000000" w:themeColor="text1"/>
                <w:kern w:val="2"/>
                <w:sz w:val="14"/>
                <w:szCs w:val="14"/>
              </w:rPr>
            </w:pPr>
            <w:r>
              <w:rPr>
                <w:color w:val="000000" w:themeColor="text1"/>
                <w:kern w:val="2"/>
                <w:sz w:val="14"/>
                <w:szCs w:val="14"/>
              </w:rPr>
              <w:t>24</w:t>
            </w:r>
          </w:p>
        </w:tc>
        <w:tc>
          <w:tcPr>
            <w:tcW w:w="994" w:type="dxa"/>
            <w:vAlign w:val="center"/>
          </w:tcPr>
          <w:p>
            <w:pPr>
              <w:pStyle w:val="11"/>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上级专项资金</w:t>
            </w:r>
          </w:p>
          <w:p>
            <w:pPr>
              <w:pStyle w:val="11"/>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分配的及时性</w:t>
            </w:r>
          </w:p>
        </w:tc>
        <w:tc>
          <w:tcPr>
            <w:tcW w:w="672" w:type="dxa"/>
            <w:vAlign w:val="center"/>
          </w:tcPr>
          <w:p>
            <w:pPr>
              <w:pStyle w:val="11"/>
              <w:jc w:val="center"/>
              <w:rPr>
                <w:color w:val="000000" w:themeColor="text1"/>
                <w:kern w:val="2"/>
                <w:sz w:val="14"/>
                <w:szCs w:val="14"/>
              </w:rPr>
            </w:pPr>
            <w:r>
              <w:rPr>
                <w:rFonts w:hint="eastAsia"/>
                <w:color w:val="000000" w:themeColor="text1"/>
                <w:kern w:val="2"/>
                <w:sz w:val="14"/>
                <w:szCs w:val="14"/>
                <w:lang w:val="en-US"/>
              </w:rPr>
              <w:t>4</w:t>
            </w:r>
          </w:p>
        </w:tc>
        <w:tc>
          <w:tcPr>
            <w:tcW w:w="795" w:type="dxa"/>
          </w:tcPr>
          <w:p>
            <w:pPr>
              <w:pStyle w:val="11"/>
              <w:jc w:val="center"/>
              <w:rPr>
                <w:rFonts w:hint="eastAsia"/>
                <w:color w:val="000000" w:themeColor="text1"/>
                <w:kern w:val="2"/>
                <w:sz w:val="14"/>
                <w:szCs w:val="14"/>
                <w:lang w:val="en-US" w:eastAsia="zh-CN"/>
              </w:rPr>
            </w:pPr>
          </w:p>
          <w:p>
            <w:pPr>
              <w:pStyle w:val="11"/>
              <w:jc w:val="center"/>
              <w:rPr>
                <w:rFonts w:hint="eastAsia"/>
                <w:color w:val="000000" w:themeColor="text1"/>
                <w:kern w:val="2"/>
                <w:sz w:val="14"/>
                <w:szCs w:val="14"/>
                <w:lang w:val="en-US" w:eastAsia="zh-CN"/>
              </w:rPr>
            </w:pPr>
          </w:p>
          <w:p>
            <w:pPr>
              <w:pStyle w:val="11"/>
              <w:jc w:val="center"/>
              <w:rPr>
                <w:rFonts w:hint="eastAsia"/>
                <w:color w:val="000000" w:themeColor="text1"/>
                <w:kern w:val="2"/>
                <w:sz w:val="14"/>
                <w:szCs w:val="14"/>
                <w:lang w:val="en-US" w:eastAsia="zh-CN"/>
              </w:rPr>
            </w:pPr>
            <w:r>
              <w:rPr>
                <w:rFonts w:hint="eastAsia"/>
                <w:color w:val="000000" w:themeColor="text1"/>
                <w:kern w:val="2"/>
                <w:sz w:val="14"/>
                <w:szCs w:val="14"/>
                <w:lang w:val="en-US" w:eastAsia="zh-CN"/>
              </w:rPr>
              <w:t>0</w:t>
            </w:r>
          </w:p>
        </w:tc>
        <w:tc>
          <w:tcPr>
            <w:tcW w:w="2099" w:type="dxa"/>
            <w:vAlign w:val="center"/>
          </w:tcPr>
          <w:p>
            <w:pPr>
              <w:pStyle w:val="11"/>
              <w:spacing w:line="232" w:lineRule="auto"/>
              <w:ind w:right="84"/>
              <w:jc w:val="both"/>
              <w:rPr>
                <w:color w:val="000000" w:themeColor="text1"/>
                <w:kern w:val="2"/>
                <w:sz w:val="14"/>
                <w:szCs w:val="14"/>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法》和上级有关专项资金管理办法对上级转移支付资金再分配的时效</w:t>
            </w:r>
            <w:r>
              <w:rPr>
                <w:color w:val="000000" w:themeColor="text1"/>
                <w:kern w:val="2"/>
                <w:sz w:val="14"/>
                <w:szCs w:val="14"/>
              </w:rPr>
              <w:t>。</w:t>
            </w:r>
          </w:p>
        </w:tc>
        <w:tc>
          <w:tcPr>
            <w:tcW w:w="6173" w:type="dxa"/>
            <w:vAlign w:val="center"/>
          </w:tcPr>
          <w:p>
            <w:pPr>
              <w:pStyle w:val="11"/>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在规定时间内及时分配的本项得满分。</w:t>
            </w:r>
          </w:p>
          <w:p>
            <w:pPr>
              <w:pStyle w:val="11"/>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未按时分配的，本项得分=4*财政对部门的考核得分</w:t>
            </w:r>
            <w:r>
              <w:rPr>
                <w:color w:val="000000" w:themeColor="text1"/>
                <w:kern w:val="2"/>
                <w:sz w:val="14"/>
                <w:szCs w:val="14"/>
              </w:rPr>
              <w:t>÷</w:t>
            </w:r>
            <w:r>
              <w:rPr>
                <w:rFonts w:hint="eastAsia"/>
                <w:color w:val="000000" w:themeColor="text1"/>
                <w:kern w:val="2"/>
                <w:sz w:val="14"/>
                <w:szCs w:val="14"/>
                <w:lang w:val="en-US"/>
              </w:rPr>
              <w:t>20（报告年度内部门无上级专项资金分配的本项4分权重调整至</w:t>
            </w:r>
            <w:r>
              <w:rPr>
                <w:color w:val="000000" w:themeColor="text1"/>
                <w:kern w:val="2"/>
                <w:sz w:val="14"/>
                <w:szCs w:val="14"/>
              </w:rPr>
              <w:t>结转结余率</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结转结余率</w:t>
            </w:r>
            <w:r>
              <w:rPr>
                <w:rFonts w:hint="eastAsia"/>
                <w:color w:val="000000" w:themeColor="text1"/>
                <w:kern w:val="2"/>
                <w:sz w:val="14"/>
                <w:szCs w:val="14"/>
                <w:lang w:val="en-US"/>
              </w:rPr>
              <w:t>调整后权重分为8分）</w:t>
            </w:r>
          </w:p>
        </w:tc>
        <w:tc>
          <w:tcPr>
            <w:tcW w:w="1650" w:type="dxa"/>
            <w:vAlign w:val="center"/>
          </w:tcPr>
          <w:p>
            <w:pPr>
              <w:pStyle w:val="11"/>
              <w:spacing w:before="49" w:line="232" w:lineRule="auto"/>
              <w:ind w:left="23"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1"/>
              <w:ind w:right="2"/>
              <w:jc w:val="center"/>
              <w:rPr>
                <w:color w:val="000000" w:themeColor="text1"/>
                <w:kern w:val="2"/>
                <w:sz w:val="14"/>
                <w:szCs w:val="14"/>
                <w:highlight w:val="none"/>
              </w:rPr>
            </w:pPr>
            <w:r>
              <w:rPr>
                <w:color w:val="000000" w:themeColor="text1"/>
                <w:kern w:val="2"/>
                <w:sz w:val="14"/>
                <w:szCs w:val="14"/>
                <w:highlight w:val="none"/>
              </w:rPr>
              <w:t>结转结余率</w:t>
            </w:r>
          </w:p>
        </w:tc>
        <w:tc>
          <w:tcPr>
            <w:tcW w:w="672" w:type="dxa"/>
            <w:vAlign w:val="center"/>
          </w:tcPr>
          <w:p>
            <w:pPr>
              <w:pStyle w:val="11"/>
              <w:jc w:val="center"/>
              <w:rPr>
                <w:color w:val="000000" w:themeColor="text1"/>
                <w:kern w:val="2"/>
                <w:sz w:val="14"/>
                <w:szCs w:val="14"/>
                <w:highlight w:val="none"/>
              </w:rPr>
            </w:pPr>
            <w:r>
              <w:rPr>
                <w:rFonts w:hint="eastAsia"/>
                <w:color w:val="000000" w:themeColor="text1"/>
                <w:kern w:val="2"/>
                <w:sz w:val="14"/>
                <w:szCs w:val="14"/>
                <w:highlight w:val="none"/>
                <w:lang w:val="en-US"/>
              </w:rPr>
              <w:t>4</w:t>
            </w:r>
          </w:p>
        </w:tc>
        <w:tc>
          <w:tcPr>
            <w:tcW w:w="795" w:type="dxa"/>
          </w:tcPr>
          <w:p>
            <w:pPr>
              <w:pStyle w:val="11"/>
              <w:jc w:val="center"/>
              <w:rPr>
                <w:rFonts w:hint="eastAsia"/>
                <w:color w:val="000000" w:themeColor="text1"/>
                <w:kern w:val="2"/>
                <w:sz w:val="14"/>
                <w:szCs w:val="14"/>
                <w:highlight w:val="none"/>
                <w:lang w:val="en-US" w:eastAsia="zh-CN"/>
              </w:rPr>
            </w:pPr>
          </w:p>
          <w:p>
            <w:pPr>
              <w:pStyle w:val="11"/>
              <w:jc w:val="center"/>
              <w:rPr>
                <w:rFonts w:hint="eastAsia"/>
                <w:color w:val="000000" w:themeColor="text1"/>
                <w:kern w:val="2"/>
                <w:sz w:val="14"/>
                <w:szCs w:val="14"/>
                <w:highlight w:val="none"/>
                <w:lang w:val="en-US" w:eastAsia="zh-CN"/>
              </w:rPr>
            </w:pPr>
          </w:p>
          <w:p>
            <w:pPr>
              <w:pStyle w:val="11"/>
              <w:jc w:val="center"/>
              <w:rPr>
                <w:rFonts w:hint="eastAsia"/>
                <w:color w:val="000000" w:themeColor="text1"/>
                <w:kern w:val="2"/>
                <w:sz w:val="14"/>
                <w:szCs w:val="14"/>
                <w:highlight w:val="none"/>
                <w:lang w:val="en-US" w:eastAsia="zh-CN"/>
              </w:rPr>
            </w:pPr>
          </w:p>
          <w:p>
            <w:pPr>
              <w:pStyle w:val="11"/>
              <w:jc w:val="center"/>
              <w:rPr>
                <w:rFonts w:hint="eastAsia"/>
                <w:color w:val="000000" w:themeColor="text1"/>
                <w:kern w:val="2"/>
                <w:sz w:val="14"/>
                <w:szCs w:val="14"/>
                <w:highlight w:val="none"/>
                <w:lang w:val="en-US" w:eastAsia="zh-CN"/>
              </w:rPr>
            </w:pPr>
            <w:r>
              <w:rPr>
                <w:rFonts w:hint="eastAsia"/>
                <w:color w:val="000000" w:themeColor="text1"/>
                <w:kern w:val="2"/>
                <w:sz w:val="14"/>
                <w:szCs w:val="14"/>
                <w:highlight w:val="none"/>
                <w:lang w:val="en-US" w:eastAsia="zh-CN"/>
              </w:rPr>
              <w:t>8</w:t>
            </w:r>
          </w:p>
        </w:tc>
        <w:tc>
          <w:tcPr>
            <w:tcW w:w="2099" w:type="dxa"/>
            <w:vAlign w:val="center"/>
          </w:tcPr>
          <w:p>
            <w:pPr>
              <w:pStyle w:val="11"/>
              <w:spacing w:line="235" w:lineRule="auto"/>
              <w:ind w:right="26"/>
              <w:jc w:val="both"/>
              <w:rPr>
                <w:color w:val="000000" w:themeColor="text1"/>
                <w:kern w:val="2"/>
                <w:sz w:val="14"/>
                <w:szCs w:val="14"/>
                <w:highlight w:val="none"/>
              </w:rPr>
            </w:pPr>
            <w:r>
              <w:rPr>
                <w:color w:val="000000" w:themeColor="text1"/>
                <w:kern w:val="2"/>
                <w:sz w:val="14"/>
                <w:szCs w:val="14"/>
                <w:highlight w:val="none"/>
              </w:rPr>
              <w:t>部门（单位）当年度结转结余额与当年度预算总额的比率，用以反映和考核部门（单位）对结转结余资金的实际控制程度。</w:t>
            </w:r>
          </w:p>
        </w:tc>
        <w:tc>
          <w:tcPr>
            <w:tcW w:w="6173" w:type="dxa"/>
            <w:vAlign w:val="center"/>
          </w:tcPr>
          <w:p>
            <w:pPr>
              <w:pStyle w:val="11"/>
              <w:spacing w:line="232" w:lineRule="auto"/>
              <w:ind w:firstLine="280" w:firstLineChars="200"/>
              <w:jc w:val="both"/>
              <w:rPr>
                <w:color w:val="000000" w:themeColor="text1"/>
                <w:kern w:val="2"/>
                <w:sz w:val="14"/>
                <w:szCs w:val="14"/>
                <w:highlight w:val="none"/>
              </w:rPr>
            </w:pPr>
            <w:r>
              <w:rPr>
                <w:color w:val="000000" w:themeColor="text1"/>
                <w:kern w:val="2"/>
                <w:sz w:val="14"/>
                <w:szCs w:val="14"/>
                <w:highlight w:val="none"/>
              </w:rPr>
              <w:t>结余结转率=年末财政拨款结转和结余决算数/（年初财政拨款结转和结余收入决算数+一般公共预算财政拨款决算数+政府性基金预算财政拨款决算数）×100</w:t>
            </w:r>
            <w:r>
              <w:rPr>
                <w:rFonts w:hint="eastAsia"/>
                <w:color w:val="000000" w:themeColor="text1"/>
                <w:kern w:val="2"/>
                <w:sz w:val="14"/>
                <w:szCs w:val="14"/>
                <w:highlight w:val="none"/>
              </w:rPr>
              <w:t>%</w:t>
            </w:r>
          </w:p>
          <w:p>
            <w:pPr>
              <w:pStyle w:val="11"/>
              <w:spacing w:line="145" w:lineRule="exact"/>
              <w:ind w:left="266"/>
              <w:jc w:val="both"/>
              <w:rPr>
                <w:color w:val="000000" w:themeColor="text1"/>
                <w:kern w:val="2"/>
                <w:sz w:val="14"/>
                <w:szCs w:val="14"/>
                <w:highlight w:val="none"/>
              </w:rPr>
            </w:pPr>
            <w:r>
              <w:rPr>
                <w:color w:val="000000" w:themeColor="text1"/>
                <w:kern w:val="2"/>
                <w:sz w:val="14"/>
                <w:szCs w:val="14"/>
                <w:highlight w:val="none"/>
              </w:rPr>
              <w:t>1.结余结转率≤10</w:t>
            </w:r>
            <w:r>
              <w:rPr>
                <w:rFonts w:hint="eastAsia"/>
                <w:color w:val="000000" w:themeColor="text1"/>
                <w:kern w:val="2"/>
                <w:sz w:val="14"/>
                <w:szCs w:val="14"/>
                <w:highlight w:val="none"/>
              </w:rPr>
              <w:t>%</w:t>
            </w:r>
            <w:r>
              <w:rPr>
                <w:color w:val="000000" w:themeColor="text1"/>
                <w:kern w:val="2"/>
                <w:sz w:val="14"/>
                <w:szCs w:val="14"/>
                <w:highlight w:val="none"/>
              </w:rPr>
              <w:t>的，得</w:t>
            </w:r>
            <w:r>
              <w:rPr>
                <w:rFonts w:hint="eastAsia"/>
                <w:color w:val="000000" w:themeColor="text1"/>
                <w:kern w:val="2"/>
                <w:sz w:val="14"/>
                <w:szCs w:val="14"/>
                <w:highlight w:val="none"/>
                <w:lang w:val="en-US"/>
              </w:rPr>
              <w:t>4</w:t>
            </w:r>
            <w:r>
              <w:rPr>
                <w:color w:val="000000" w:themeColor="text1"/>
                <w:kern w:val="2"/>
                <w:sz w:val="14"/>
                <w:szCs w:val="14"/>
                <w:highlight w:val="none"/>
              </w:rPr>
              <w:t>分；</w:t>
            </w:r>
          </w:p>
          <w:p>
            <w:pPr>
              <w:pStyle w:val="11"/>
              <w:spacing w:line="149" w:lineRule="exact"/>
              <w:ind w:left="266"/>
              <w:jc w:val="both"/>
              <w:rPr>
                <w:color w:val="000000" w:themeColor="text1"/>
                <w:kern w:val="2"/>
                <w:sz w:val="14"/>
                <w:szCs w:val="14"/>
                <w:highlight w:val="none"/>
              </w:rPr>
            </w:pPr>
            <w:r>
              <w:rPr>
                <w:color w:val="000000" w:themeColor="text1"/>
                <w:kern w:val="2"/>
                <w:sz w:val="14"/>
                <w:szCs w:val="14"/>
                <w:highlight w:val="none"/>
              </w:rPr>
              <w:t>2.10</w:t>
            </w:r>
            <w:r>
              <w:rPr>
                <w:rFonts w:hint="eastAsia"/>
                <w:color w:val="000000" w:themeColor="text1"/>
                <w:kern w:val="2"/>
                <w:sz w:val="14"/>
                <w:szCs w:val="14"/>
                <w:highlight w:val="none"/>
              </w:rPr>
              <w:t>%</w:t>
            </w:r>
            <w:r>
              <w:rPr>
                <w:color w:val="000000" w:themeColor="text1"/>
                <w:kern w:val="2"/>
                <w:sz w:val="14"/>
                <w:szCs w:val="14"/>
                <w:highlight w:val="none"/>
              </w:rPr>
              <w:t>＜结余结转率≤20</w:t>
            </w:r>
            <w:r>
              <w:rPr>
                <w:rFonts w:hint="eastAsia"/>
                <w:color w:val="000000" w:themeColor="text1"/>
                <w:kern w:val="2"/>
                <w:sz w:val="14"/>
                <w:szCs w:val="14"/>
                <w:highlight w:val="none"/>
              </w:rPr>
              <w:t>%</w:t>
            </w:r>
            <w:r>
              <w:rPr>
                <w:color w:val="000000" w:themeColor="text1"/>
                <w:kern w:val="2"/>
                <w:sz w:val="14"/>
                <w:szCs w:val="14"/>
                <w:highlight w:val="none"/>
              </w:rPr>
              <w:t>的，得</w:t>
            </w:r>
            <w:r>
              <w:rPr>
                <w:rFonts w:hint="eastAsia"/>
                <w:color w:val="000000" w:themeColor="text1"/>
                <w:kern w:val="2"/>
                <w:sz w:val="14"/>
                <w:szCs w:val="14"/>
                <w:highlight w:val="none"/>
                <w:lang w:val="en-US"/>
              </w:rPr>
              <w:t>3</w:t>
            </w:r>
            <w:r>
              <w:rPr>
                <w:color w:val="000000" w:themeColor="text1"/>
                <w:kern w:val="2"/>
                <w:sz w:val="14"/>
                <w:szCs w:val="14"/>
                <w:highlight w:val="none"/>
              </w:rPr>
              <w:t>分；</w:t>
            </w:r>
          </w:p>
          <w:p>
            <w:pPr>
              <w:pStyle w:val="11"/>
              <w:spacing w:line="225" w:lineRule="auto"/>
              <w:ind w:left="266"/>
              <w:jc w:val="both"/>
              <w:rPr>
                <w:color w:val="000000" w:themeColor="text1"/>
                <w:kern w:val="2"/>
                <w:sz w:val="14"/>
                <w:szCs w:val="14"/>
                <w:highlight w:val="none"/>
              </w:rPr>
            </w:pPr>
            <w:r>
              <w:rPr>
                <w:color w:val="000000" w:themeColor="text1"/>
                <w:kern w:val="2"/>
                <w:sz w:val="14"/>
                <w:szCs w:val="14"/>
                <w:highlight w:val="none"/>
              </w:rPr>
              <w:t>3.20</w:t>
            </w:r>
            <w:r>
              <w:rPr>
                <w:rFonts w:hint="eastAsia"/>
                <w:color w:val="000000" w:themeColor="text1"/>
                <w:kern w:val="2"/>
                <w:sz w:val="14"/>
                <w:szCs w:val="14"/>
                <w:highlight w:val="none"/>
              </w:rPr>
              <w:t>%</w:t>
            </w:r>
            <w:r>
              <w:rPr>
                <w:color w:val="000000" w:themeColor="text1"/>
                <w:kern w:val="2"/>
                <w:sz w:val="14"/>
                <w:szCs w:val="14"/>
                <w:highlight w:val="none"/>
              </w:rPr>
              <w:t>＜结余结转率≤30</w:t>
            </w:r>
            <w:r>
              <w:rPr>
                <w:rFonts w:hint="eastAsia"/>
                <w:color w:val="000000" w:themeColor="text1"/>
                <w:kern w:val="2"/>
                <w:sz w:val="14"/>
                <w:szCs w:val="14"/>
                <w:highlight w:val="none"/>
              </w:rPr>
              <w:t>%</w:t>
            </w:r>
            <w:r>
              <w:rPr>
                <w:color w:val="000000" w:themeColor="text1"/>
                <w:kern w:val="2"/>
                <w:sz w:val="14"/>
                <w:szCs w:val="14"/>
                <w:highlight w:val="none"/>
              </w:rPr>
              <w:t>的，得1分</w:t>
            </w:r>
          </w:p>
          <w:p>
            <w:pPr>
              <w:pStyle w:val="11"/>
              <w:spacing w:line="225" w:lineRule="auto"/>
              <w:ind w:left="266"/>
              <w:jc w:val="both"/>
              <w:rPr>
                <w:color w:val="000000" w:themeColor="text1"/>
                <w:kern w:val="2"/>
                <w:sz w:val="14"/>
                <w:szCs w:val="14"/>
                <w:highlight w:val="none"/>
              </w:rPr>
            </w:pPr>
            <w:r>
              <w:rPr>
                <w:rFonts w:hint="eastAsia"/>
                <w:color w:val="000000" w:themeColor="text1"/>
                <w:kern w:val="2"/>
                <w:sz w:val="14"/>
                <w:szCs w:val="14"/>
                <w:highlight w:val="none"/>
              </w:rPr>
              <w:t>4</w:t>
            </w:r>
            <w:r>
              <w:rPr>
                <w:color w:val="000000" w:themeColor="text1"/>
                <w:kern w:val="2"/>
                <w:sz w:val="14"/>
                <w:szCs w:val="14"/>
                <w:highlight w:val="none"/>
              </w:rPr>
              <w:t>.结余结转率＞30</w:t>
            </w:r>
            <w:r>
              <w:rPr>
                <w:rFonts w:hint="eastAsia"/>
                <w:color w:val="000000" w:themeColor="text1"/>
                <w:kern w:val="2"/>
                <w:sz w:val="14"/>
                <w:szCs w:val="14"/>
                <w:highlight w:val="none"/>
              </w:rPr>
              <w:t>%</w:t>
            </w:r>
            <w:r>
              <w:rPr>
                <w:color w:val="000000" w:themeColor="text1"/>
                <w:kern w:val="2"/>
                <w:sz w:val="14"/>
                <w:szCs w:val="14"/>
                <w:highlight w:val="none"/>
              </w:rPr>
              <w:t>的，得0分。</w:t>
            </w:r>
          </w:p>
        </w:tc>
        <w:tc>
          <w:tcPr>
            <w:tcW w:w="1650" w:type="dxa"/>
            <w:vAlign w:val="center"/>
          </w:tcPr>
          <w:p>
            <w:pPr>
              <w:pStyle w:val="11"/>
              <w:spacing w:line="232" w:lineRule="auto"/>
              <w:ind w:right="125"/>
              <w:jc w:val="both"/>
              <w:rPr>
                <w:color w:val="000000" w:themeColor="text1"/>
                <w:kern w:val="2"/>
                <w:sz w:val="14"/>
                <w:szCs w:val="14"/>
                <w:highlight w:val="none"/>
              </w:rPr>
            </w:pPr>
            <w:r>
              <w:rPr>
                <w:color w:val="000000" w:themeColor="text1"/>
                <w:kern w:val="2"/>
                <w:sz w:val="14"/>
                <w:szCs w:val="14"/>
                <w:highlight w:val="none"/>
              </w:rPr>
              <w:t>本指标根据部门决算报表财决01-1表《财政拨款收入支出决算总表》相关数据计算。</w:t>
            </w:r>
            <w:r>
              <w:rPr>
                <w:rFonts w:hint="eastAsia"/>
                <w:color w:val="000000" w:themeColor="text1"/>
                <w:kern w:val="2"/>
                <w:sz w:val="14"/>
                <w:szCs w:val="14"/>
                <w:highlight w:val="none"/>
                <w:lang w:val="en-US"/>
              </w:rPr>
              <w:t>报告年度内本部门无上级专项资金分配的本项权重分调整为8分。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1"/>
              <w:spacing w:line="200" w:lineRule="exact"/>
              <w:jc w:val="center"/>
              <w:rPr>
                <w:color w:val="000000" w:themeColor="text1"/>
                <w:kern w:val="2"/>
                <w:sz w:val="14"/>
                <w:szCs w:val="14"/>
                <w:lang w:val="en-US"/>
              </w:rPr>
            </w:pPr>
            <w:r>
              <w:rPr>
                <w:rFonts w:hint="eastAsia"/>
                <w:color w:val="000000" w:themeColor="text1"/>
                <w:kern w:val="2"/>
                <w:sz w:val="14"/>
                <w:szCs w:val="14"/>
                <w:lang w:val="en-US"/>
              </w:rPr>
              <w:t>上级专项资金的</w:t>
            </w:r>
          </w:p>
          <w:p>
            <w:pPr>
              <w:pStyle w:val="11"/>
              <w:spacing w:line="200" w:lineRule="exact"/>
              <w:jc w:val="center"/>
              <w:rPr>
                <w:color w:val="000000" w:themeColor="text1"/>
                <w:kern w:val="2"/>
                <w:sz w:val="14"/>
                <w:szCs w:val="14"/>
                <w:lang w:val="en-US"/>
              </w:rPr>
            </w:pPr>
            <w:r>
              <w:rPr>
                <w:rFonts w:hint="eastAsia"/>
                <w:color w:val="000000" w:themeColor="text1"/>
                <w:kern w:val="2"/>
                <w:sz w:val="14"/>
                <w:szCs w:val="14"/>
                <w:lang w:val="en-US"/>
              </w:rPr>
              <w:t>支出执行率</w:t>
            </w:r>
          </w:p>
        </w:tc>
        <w:tc>
          <w:tcPr>
            <w:tcW w:w="672" w:type="dxa"/>
            <w:vAlign w:val="center"/>
          </w:tcPr>
          <w:p>
            <w:pPr>
              <w:pStyle w:val="11"/>
              <w:jc w:val="center"/>
              <w:rPr>
                <w:color w:val="000000" w:themeColor="text1"/>
                <w:kern w:val="2"/>
                <w:sz w:val="14"/>
                <w:szCs w:val="14"/>
              </w:rPr>
            </w:pPr>
            <w:r>
              <w:rPr>
                <w:rFonts w:hint="eastAsia"/>
                <w:color w:val="000000" w:themeColor="text1"/>
                <w:kern w:val="2"/>
                <w:sz w:val="14"/>
                <w:szCs w:val="14"/>
                <w:lang w:val="en-US"/>
              </w:rPr>
              <w:t>6</w:t>
            </w:r>
          </w:p>
        </w:tc>
        <w:tc>
          <w:tcPr>
            <w:tcW w:w="795" w:type="dxa"/>
          </w:tcPr>
          <w:p>
            <w:pPr>
              <w:pStyle w:val="11"/>
              <w:jc w:val="center"/>
              <w:rPr>
                <w:rFonts w:hint="eastAsia"/>
                <w:color w:val="000000" w:themeColor="text1"/>
                <w:kern w:val="2"/>
                <w:sz w:val="14"/>
                <w:szCs w:val="14"/>
                <w:lang w:val="en-US" w:eastAsia="zh-CN"/>
              </w:rPr>
            </w:pPr>
          </w:p>
          <w:p>
            <w:pPr>
              <w:pStyle w:val="11"/>
              <w:jc w:val="center"/>
              <w:rPr>
                <w:rFonts w:hint="eastAsia"/>
                <w:color w:val="000000" w:themeColor="text1"/>
                <w:kern w:val="2"/>
                <w:sz w:val="14"/>
                <w:szCs w:val="14"/>
                <w:lang w:val="en-US" w:eastAsia="zh-CN"/>
              </w:rPr>
            </w:pPr>
          </w:p>
          <w:p>
            <w:pPr>
              <w:pStyle w:val="11"/>
              <w:jc w:val="center"/>
              <w:rPr>
                <w:rFonts w:hint="default"/>
                <w:color w:val="000000" w:themeColor="text1"/>
                <w:kern w:val="2"/>
                <w:sz w:val="14"/>
                <w:szCs w:val="14"/>
                <w:lang w:val="en-US" w:eastAsia="zh-CN"/>
              </w:rPr>
            </w:pPr>
            <w:r>
              <w:rPr>
                <w:rFonts w:hint="eastAsia"/>
                <w:color w:val="000000" w:themeColor="text1"/>
                <w:kern w:val="2"/>
                <w:sz w:val="14"/>
                <w:szCs w:val="14"/>
                <w:lang w:val="en-US" w:eastAsia="zh-CN"/>
              </w:rPr>
              <w:t>0</w:t>
            </w:r>
          </w:p>
        </w:tc>
        <w:tc>
          <w:tcPr>
            <w:tcW w:w="2099" w:type="dxa"/>
            <w:vAlign w:val="center"/>
          </w:tcPr>
          <w:p>
            <w:pPr>
              <w:pStyle w:val="11"/>
              <w:spacing w:line="232" w:lineRule="auto"/>
              <w:ind w:right="86"/>
              <w:jc w:val="both"/>
              <w:rPr>
                <w:color w:val="000000" w:themeColor="text1"/>
                <w:kern w:val="2"/>
                <w:sz w:val="14"/>
                <w:szCs w:val="14"/>
                <w:lang w:val="en-US"/>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pPr>
              <w:pStyle w:val="11"/>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在规定时间内及时规范支出的本项得满分。</w:t>
            </w:r>
          </w:p>
          <w:p>
            <w:pPr>
              <w:pStyle w:val="11"/>
              <w:spacing w:line="151" w:lineRule="exact"/>
              <w:ind w:firstLine="280" w:firstLineChars="200"/>
              <w:jc w:val="both"/>
              <w:rPr>
                <w:color w:val="000000" w:themeColor="text1"/>
                <w:kern w:val="2"/>
                <w:sz w:val="14"/>
                <w:szCs w:val="14"/>
                <w:lang w:val="en-US"/>
              </w:rPr>
            </w:pPr>
            <w:r>
              <w:rPr>
                <w:rFonts w:hint="eastAsia"/>
                <w:color w:val="000000" w:themeColor="text1"/>
                <w:kern w:val="2"/>
                <w:sz w:val="14"/>
                <w:szCs w:val="14"/>
                <w:lang w:val="en-US"/>
              </w:rPr>
              <w:t>未及时规范支出的，本项得分=6*财政对部门的考核得分</w:t>
            </w:r>
            <w:r>
              <w:rPr>
                <w:color w:val="000000" w:themeColor="text1"/>
                <w:kern w:val="2"/>
                <w:sz w:val="14"/>
                <w:szCs w:val="14"/>
              </w:rPr>
              <w:t>÷</w:t>
            </w:r>
            <w:r>
              <w:rPr>
                <w:rFonts w:hint="eastAsia"/>
                <w:color w:val="000000" w:themeColor="text1"/>
                <w:kern w:val="2"/>
                <w:sz w:val="14"/>
                <w:szCs w:val="14"/>
                <w:lang w:val="en-US"/>
              </w:rPr>
              <w:t>30（报告年度内部门无上级专项资金分配的本项4分权重调整至</w:t>
            </w:r>
            <w:r>
              <w:rPr>
                <w:color w:val="000000" w:themeColor="text1"/>
                <w:kern w:val="2"/>
                <w:sz w:val="14"/>
                <w:szCs w:val="14"/>
              </w:rPr>
              <w:t>财务合规性</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财务合规性</w:t>
            </w:r>
            <w:r>
              <w:rPr>
                <w:rFonts w:hint="eastAsia"/>
                <w:color w:val="000000" w:themeColor="text1"/>
                <w:kern w:val="2"/>
                <w:sz w:val="14"/>
                <w:szCs w:val="14"/>
                <w:lang w:val="en-US"/>
              </w:rPr>
              <w:t>调整后权重分为10分）</w:t>
            </w:r>
          </w:p>
        </w:tc>
        <w:tc>
          <w:tcPr>
            <w:tcW w:w="1650" w:type="dxa"/>
            <w:vAlign w:val="center"/>
          </w:tcPr>
          <w:p>
            <w:pPr>
              <w:pStyle w:val="11"/>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1"/>
              <w:ind w:right="2"/>
              <w:jc w:val="center"/>
              <w:rPr>
                <w:color w:val="000000" w:themeColor="text1"/>
                <w:kern w:val="2"/>
                <w:sz w:val="14"/>
                <w:szCs w:val="14"/>
              </w:rPr>
            </w:pPr>
            <w:r>
              <w:rPr>
                <w:color w:val="000000" w:themeColor="text1"/>
                <w:kern w:val="2"/>
                <w:sz w:val="14"/>
                <w:szCs w:val="14"/>
              </w:rPr>
              <w:t>政府采购执行率</w:t>
            </w:r>
          </w:p>
        </w:tc>
        <w:tc>
          <w:tcPr>
            <w:tcW w:w="672" w:type="dxa"/>
            <w:vAlign w:val="center"/>
          </w:tcPr>
          <w:p>
            <w:pPr>
              <w:pStyle w:val="11"/>
              <w:jc w:val="center"/>
              <w:rPr>
                <w:color w:val="000000" w:themeColor="text1"/>
                <w:kern w:val="2"/>
                <w:sz w:val="14"/>
                <w:szCs w:val="14"/>
              </w:rPr>
            </w:pPr>
            <w:r>
              <w:rPr>
                <w:color w:val="000000" w:themeColor="text1"/>
                <w:kern w:val="2"/>
                <w:sz w:val="14"/>
                <w:szCs w:val="14"/>
              </w:rPr>
              <w:t>2</w:t>
            </w:r>
          </w:p>
        </w:tc>
        <w:tc>
          <w:tcPr>
            <w:tcW w:w="795" w:type="dxa"/>
          </w:tcPr>
          <w:p>
            <w:pPr>
              <w:pStyle w:val="11"/>
              <w:spacing w:before="1" w:line="232" w:lineRule="auto"/>
              <w:ind w:right="86"/>
              <w:jc w:val="center"/>
              <w:rPr>
                <w:rFonts w:hint="eastAsia"/>
                <w:color w:val="000000" w:themeColor="text1"/>
                <w:kern w:val="2"/>
                <w:sz w:val="14"/>
                <w:szCs w:val="14"/>
                <w:lang w:val="en-US" w:eastAsia="zh-CN"/>
              </w:rPr>
            </w:pPr>
          </w:p>
          <w:p>
            <w:pPr>
              <w:pStyle w:val="11"/>
              <w:spacing w:before="1" w:line="232" w:lineRule="auto"/>
              <w:ind w:right="86"/>
              <w:jc w:val="center"/>
              <w:rPr>
                <w:rFonts w:hint="eastAsia"/>
                <w:color w:val="000000" w:themeColor="text1"/>
                <w:kern w:val="2"/>
                <w:sz w:val="14"/>
                <w:szCs w:val="14"/>
                <w:lang w:val="en-US" w:eastAsia="zh-CN"/>
              </w:rPr>
            </w:pPr>
          </w:p>
          <w:p>
            <w:pPr>
              <w:pStyle w:val="11"/>
              <w:spacing w:before="1"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2</w:t>
            </w:r>
          </w:p>
        </w:tc>
        <w:tc>
          <w:tcPr>
            <w:tcW w:w="2099" w:type="dxa"/>
            <w:vAlign w:val="center"/>
          </w:tcPr>
          <w:p>
            <w:pPr>
              <w:pStyle w:val="11"/>
              <w:spacing w:before="1" w:line="232" w:lineRule="auto"/>
              <w:ind w:right="86"/>
              <w:jc w:val="both"/>
              <w:rPr>
                <w:color w:val="000000" w:themeColor="text1"/>
                <w:kern w:val="2"/>
                <w:sz w:val="14"/>
                <w:szCs w:val="14"/>
              </w:rPr>
            </w:pPr>
            <w:r>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pPr>
              <w:pStyle w:val="11"/>
              <w:ind w:left="266"/>
              <w:jc w:val="both"/>
              <w:rPr>
                <w:color w:val="000000" w:themeColor="text1"/>
                <w:kern w:val="2"/>
                <w:sz w:val="14"/>
                <w:szCs w:val="14"/>
              </w:rPr>
            </w:pPr>
            <w:r>
              <w:rPr>
                <w:color w:val="000000" w:themeColor="text1"/>
                <w:kern w:val="2"/>
                <w:sz w:val="14"/>
                <w:szCs w:val="14"/>
              </w:rPr>
              <w:t>本指标得分=本指标满分分值×政府采购执行率</w:t>
            </w:r>
          </w:p>
          <w:p>
            <w:pPr>
              <w:pStyle w:val="11"/>
              <w:spacing w:line="225" w:lineRule="auto"/>
              <w:ind w:left="266"/>
              <w:jc w:val="both"/>
              <w:rPr>
                <w:color w:val="000000" w:themeColor="text1"/>
                <w:kern w:val="2"/>
                <w:sz w:val="14"/>
                <w:szCs w:val="14"/>
              </w:rPr>
            </w:pPr>
            <w:r>
              <w:rPr>
                <w:color w:val="000000" w:themeColor="text1"/>
                <w:kern w:val="2"/>
                <w:sz w:val="14"/>
                <w:szCs w:val="14"/>
              </w:rPr>
              <w:t>其中：政府采购执行率=（实际采购金额合计数/采购计划金额合计数）×100</w:t>
            </w:r>
            <w:r>
              <w:rPr>
                <w:rFonts w:hint="eastAsia"/>
                <w:color w:val="000000" w:themeColor="text1"/>
                <w:kern w:val="2"/>
                <w:sz w:val="14"/>
                <w:szCs w:val="14"/>
                <w:lang w:val="en-US" w:bidi="ar-SA"/>
              </w:rPr>
              <w:t>%</w:t>
            </w:r>
            <w:r>
              <w:rPr>
                <w:color w:val="000000" w:themeColor="text1"/>
                <w:kern w:val="2"/>
                <w:sz w:val="14"/>
                <w:szCs w:val="14"/>
              </w:rPr>
              <w:t>；如实际采购金额大于采购计划金额则本项不得分。</w:t>
            </w:r>
          </w:p>
          <w:p>
            <w:pPr>
              <w:pStyle w:val="11"/>
              <w:spacing w:line="148" w:lineRule="exact"/>
              <w:ind w:left="266"/>
              <w:jc w:val="both"/>
              <w:rPr>
                <w:color w:val="000000" w:themeColor="text1"/>
                <w:kern w:val="2"/>
                <w:sz w:val="14"/>
                <w:szCs w:val="14"/>
              </w:rPr>
            </w:pPr>
            <w:r>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pPr>
              <w:pStyle w:val="11"/>
              <w:spacing w:before="1" w:line="232" w:lineRule="auto"/>
              <w:ind w:right="125"/>
              <w:jc w:val="both"/>
              <w:rPr>
                <w:color w:val="000000" w:themeColor="text1"/>
                <w:kern w:val="2"/>
                <w:sz w:val="14"/>
                <w:szCs w:val="14"/>
              </w:rPr>
            </w:pPr>
            <w:r>
              <w:rPr>
                <w:color w:val="000000" w:themeColor="text1"/>
                <w:kern w:val="2"/>
                <w:sz w:val="14"/>
                <w:szCs w:val="14"/>
              </w:rPr>
              <w:t>本指标根据部门决算报表附表《政府采购情况表相关》数据计算。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1"/>
              <w:ind w:right="2"/>
              <w:jc w:val="center"/>
              <w:rPr>
                <w:color w:val="000000" w:themeColor="text1"/>
                <w:kern w:val="2"/>
                <w:sz w:val="14"/>
                <w:szCs w:val="14"/>
              </w:rPr>
            </w:pPr>
            <w:r>
              <w:rPr>
                <w:color w:val="000000" w:themeColor="text1"/>
                <w:kern w:val="2"/>
                <w:sz w:val="14"/>
                <w:szCs w:val="14"/>
              </w:rPr>
              <w:t>财务合规性</w:t>
            </w:r>
          </w:p>
        </w:tc>
        <w:tc>
          <w:tcPr>
            <w:tcW w:w="672" w:type="dxa"/>
            <w:vAlign w:val="center"/>
          </w:tcPr>
          <w:p>
            <w:pPr>
              <w:pStyle w:val="11"/>
              <w:jc w:val="center"/>
              <w:rPr>
                <w:color w:val="000000" w:themeColor="text1"/>
                <w:kern w:val="2"/>
                <w:sz w:val="14"/>
                <w:szCs w:val="14"/>
              </w:rPr>
            </w:pPr>
            <w:r>
              <w:rPr>
                <w:color w:val="000000" w:themeColor="text1"/>
                <w:kern w:val="2"/>
                <w:sz w:val="14"/>
                <w:szCs w:val="14"/>
              </w:rPr>
              <w:t>4</w:t>
            </w:r>
          </w:p>
        </w:tc>
        <w:tc>
          <w:tcPr>
            <w:tcW w:w="795" w:type="dxa"/>
          </w:tcPr>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eastAsia"/>
                <w:color w:val="000000" w:themeColor="text1"/>
                <w:kern w:val="2"/>
                <w:sz w:val="14"/>
                <w:szCs w:val="14"/>
                <w:lang w:val="en-US" w:eastAsia="zh-CN"/>
              </w:rPr>
            </w:pPr>
          </w:p>
          <w:p>
            <w:pPr>
              <w:pStyle w:val="11"/>
              <w:spacing w:line="232" w:lineRule="auto"/>
              <w:ind w:right="86"/>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10</w:t>
            </w:r>
          </w:p>
        </w:tc>
        <w:tc>
          <w:tcPr>
            <w:tcW w:w="2099" w:type="dxa"/>
            <w:vAlign w:val="center"/>
          </w:tcPr>
          <w:p>
            <w:pPr>
              <w:pStyle w:val="11"/>
              <w:spacing w:line="232" w:lineRule="auto"/>
              <w:ind w:right="86"/>
              <w:jc w:val="both"/>
              <w:rPr>
                <w:color w:val="000000" w:themeColor="text1"/>
                <w:kern w:val="2"/>
                <w:sz w:val="14"/>
                <w:szCs w:val="14"/>
              </w:rPr>
            </w:pPr>
            <w:r>
              <w:rPr>
                <w:color w:val="000000" w:themeColor="text1"/>
                <w:kern w:val="2"/>
                <w:sz w:val="14"/>
                <w:szCs w:val="14"/>
              </w:rPr>
              <w:t>反映部门（单位）资金支出规范性，包括资金管理、费用支出等制度是否严格执行；会计核算是否规范</w:t>
            </w:r>
            <w:r>
              <w:rPr>
                <w:rFonts w:hint="eastAsia"/>
                <w:color w:val="000000" w:themeColor="text1"/>
                <w:kern w:val="2"/>
                <w:sz w:val="14"/>
                <w:szCs w:val="14"/>
              </w:rPr>
              <w:t>，</w:t>
            </w:r>
            <w:r>
              <w:rPr>
                <w:color w:val="000000" w:themeColor="text1"/>
                <w:kern w:val="2"/>
                <w:sz w:val="14"/>
                <w:szCs w:val="14"/>
              </w:rPr>
              <w:t>反映是否存在支出依据不合规、虚列项目支出的情况；是否存在截留、挤占、挪用项目资金情况。</w:t>
            </w:r>
          </w:p>
        </w:tc>
        <w:tc>
          <w:tcPr>
            <w:tcW w:w="6173" w:type="dxa"/>
            <w:vAlign w:val="center"/>
          </w:tcPr>
          <w:p>
            <w:pPr>
              <w:pStyle w:val="11"/>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预算执行规范性1分，按规定履行调整报批手续或未发生调整的，且按事项完成进度支付资金的得满分，否则酌情扣分。</w:t>
            </w:r>
          </w:p>
          <w:p>
            <w:pPr>
              <w:pStyle w:val="11"/>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事项支出的合规性1分，资金管理、费用标准、支付符合有关制度规定的得满分，超范围、超标准支出，虚列支出，截留、挤占、挪用资金的，以及其他不符合制度规定支出的，视情节严重情况扣分，直至扣到0分。</w:t>
            </w:r>
          </w:p>
          <w:p>
            <w:pPr>
              <w:pStyle w:val="11"/>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会计核算规范性1分，规范执行会计核算制度得满分，未按规定设专账核算，或支出凭证不符合规定，或其他核算不规范的，视具体情况扣分。</w:t>
            </w:r>
          </w:p>
          <w:p>
            <w:pPr>
              <w:pStyle w:val="11"/>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重大项目支出经过评估论证和必要决策程序的得1分，否则酌情扣分。</w:t>
            </w:r>
          </w:p>
        </w:tc>
        <w:tc>
          <w:tcPr>
            <w:tcW w:w="1650" w:type="dxa"/>
            <w:vAlign w:val="center"/>
          </w:tcPr>
          <w:p>
            <w:pPr>
              <w:pStyle w:val="11"/>
              <w:jc w:val="both"/>
              <w:rPr>
                <w:rFonts w:ascii="Times New Roman"/>
                <w:color w:val="000000" w:themeColor="text1"/>
                <w:kern w:val="2"/>
                <w:sz w:val="14"/>
                <w:szCs w:val="14"/>
              </w:rPr>
            </w:pPr>
            <w:r>
              <w:rPr>
                <w:rFonts w:hint="eastAsia"/>
                <w:color w:val="000000" w:themeColor="text1"/>
                <w:kern w:val="2"/>
                <w:sz w:val="14"/>
                <w:szCs w:val="14"/>
                <w:lang w:val="en-US"/>
              </w:rPr>
              <w:t>报告年度内本部门无上级专项资金分配的本项权重分调整为10分。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1"/>
              <w:spacing w:line="200" w:lineRule="exact"/>
              <w:jc w:val="center"/>
              <w:rPr>
                <w:color w:val="000000" w:themeColor="text1"/>
                <w:kern w:val="2"/>
                <w:sz w:val="14"/>
                <w:szCs w:val="14"/>
              </w:rPr>
            </w:pPr>
            <w:r>
              <w:rPr>
                <w:color w:val="000000" w:themeColor="text1"/>
                <w:kern w:val="2"/>
                <w:sz w:val="14"/>
                <w:szCs w:val="14"/>
              </w:rPr>
              <w:t>预决算信息</w:t>
            </w:r>
          </w:p>
          <w:p>
            <w:pPr>
              <w:pStyle w:val="11"/>
              <w:spacing w:line="200" w:lineRule="exact"/>
              <w:jc w:val="center"/>
              <w:rPr>
                <w:color w:val="000000" w:themeColor="text1"/>
                <w:kern w:val="2"/>
                <w:sz w:val="14"/>
                <w:szCs w:val="14"/>
              </w:rPr>
            </w:pPr>
            <w:r>
              <w:rPr>
                <w:color w:val="000000" w:themeColor="text1"/>
                <w:kern w:val="2"/>
                <w:sz w:val="14"/>
                <w:szCs w:val="14"/>
              </w:rPr>
              <w:t>公开性</w:t>
            </w:r>
          </w:p>
        </w:tc>
        <w:tc>
          <w:tcPr>
            <w:tcW w:w="672" w:type="dxa"/>
            <w:vAlign w:val="center"/>
          </w:tcPr>
          <w:p>
            <w:pPr>
              <w:pStyle w:val="11"/>
              <w:jc w:val="center"/>
              <w:rPr>
                <w:color w:val="000000" w:themeColor="text1"/>
                <w:kern w:val="2"/>
                <w:sz w:val="14"/>
                <w:szCs w:val="14"/>
              </w:rPr>
            </w:pPr>
            <w:r>
              <w:rPr>
                <w:color w:val="000000" w:themeColor="text1"/>
                <w:kern w:val="2"/>
                <w:sz w:val="14"/>
                <w:szCs w:val="14"/>
              </w:rPr>
              <w:t>4</w:t>
            </w:r>
          </w:p>
        </w:tc>
        <w:tc>
          <w:tcPr>
            <w:tcW w:w="795" w:type="dxa"/>
          </w:tcPr>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color w:val="000000" w:themeColor="text1"/>
                <w:kern w:val="2"/>
                <w:sz w:val="14"/>
                <w:szCs w:val="14"/>
                <w:lang w:val="en-US" w:eastAsia="zh-CN"/>
              </w:rPr>
            </w:pPr>
          </w:p>
          <w:p>
            <w:pPr>
              <w:pStyle w:val="11"/>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pPr>
              <w:pStyle w:val="11"/>
              <w:spacing w:line="232" w:lineRule="auto"/>
              <w:ind w:right="84"/>
              <w:jc w:val="both"/>
              <w:rPr>
                <w:color w:val="000000" w:themeColor="text1"/>
                <w:kern w:val="2"/>
                <w:sz w:val="14"/>
                <w:szCs w:val="14"/>
              </w:rPr>
            </w:pPr>
            <w:r>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pPr>
              <w:pStyle w:val="11"/>
              <w:spacing w:line="151" w:lineRule="exact"/>
              <w:ind w:firstLine="280" w:firstLineChars="200"/>
              <w:rPr>
                <w:color w:val="000000" w:themeColor="text1"/>
                <w:kern w:val="2"/>
                <w:sz w:val="14"/>
                <w:szCs w:val="14"/>
              </w:rPr>
            </w:pPr>
            <w:r>
              <w:rPr>
                <w:color w:val="000000" w:themeColor="text1"/>
                <w:kern w:val="2"/>
                <w:sz w:val="14"/>
                <w:szCs w:val="14"/>
              </w:rPr>
              <w:t>1.部门预算公开得分：</w:t>
            </w:r>
          </w:p>
          <w:p>
            <w:pPr>
              <w:pStyle w:val="11"/>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1"/>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1"/>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1"/>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1"/>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部门决算公开得分：</w:t>
            </w:r>
          </w:p>
          <w:p>
            <w:pPr>
              <w:pStyle w:val="11"/>
              <w:tabs>
                <w:tab w:val="left" w:pos="572"/>
              </w:tabs>
              <w:spacing w:line="148"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1"/>
              <w:tabs>
                <w:tab w:val="left" w:pos="572"/>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1"/>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1"/>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1"/>
              <w:tabs>
                <w:tab w:val="left" w:pos="572"/>
              </w:tabs>
              <w:spacing w:line="232" w:lineRule="auto"/>
              <w:ind w:firstLine="280" w:firstLineChars="200"/>
              <w:jc w:val="both"/>
              <w:rPr>
                <w:color w:val="000000" w:themeColor="text1"/>
                <w:kern w:val="2"/>
                <w:sz w:val="14"/>
                <w:szCs w:val="14"/>
              </w:rPr>
            </w:pPr>
            <w:r>
              <w:rPr>
                <w:color w:val="000000" w:themeColor="text1"/>
                <w:kern w:val="2"/>
                <w:sz w:val="14"/>
                <w:szCs w:val="14"/>
              </w:rPr>
              <w:t>本指标得分=部门预算公开得分+部门决算公开得分</w:t>
            </w:r>
          </w:p>
        </w:tc>
        <w:tc>
          <w:tcPr>
            <w:tcW w:w="1650" w:type="dxa"/>
          </w:tcPr>
          <w:p>
            <w:pPr>
              <w:pStyle w:val="11"/>
              <w:rPr>
                <w:rFonts w:ascii="Times New Roman"/>
                <w:color w:val="000000" w:themeColor="text1"/>
                <w:kern w:val="2"/>
                <w:sz w:val="14"/>
                <w:szCs w:val="14"/>
              </w:rPr>
            </w:pPr>
          </w:p>
        </w:tc>
      </w:tr>
    </w:tbl>
    <w:p>
      <w:pPr>
        <w:rPr>
          <w:rFonts w:ascii="Times New Roman"/>
          <w:color w:val="000000" w:themeColor="text1"/>
          <w:kern w:val="2"/>
          <w:sz w:val="12"/>
        </w:rPr>
        <w:sectPr>
          <w:footerReference r:id="rId4" w:type="default"/>
          <w:pgSz w:w="16840" w:h="11900" w:orient="landscape"/>
          <w:pgMar w:top="1134" w:right="1418" w:bottom="1134" w:left="1418" w:header="0" w:footer="0" w:gutter="0"/>
          <w:cols w:space="720" w:num="1"/>
        </w:sectPr>
      </w:pPr>
      <w:r>
        <w:rPr>
          <w:color w:val="000000" w:themeColor="text1"/>
          <w:kern w:val="2"/>
        </w:rPr>
        <w:pict>
          <v:shape id="_x0000_s1041" o:spid="_x0000_s1041" o:spt="202" type="#_x0000_t202" style="position:absolute;left:0pt;margin-left:33.95pt;margin-top:510.35pt;height:43.8pt;width:15.9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txbxContent>
            </v:textbox>
          </v:shape>
        </w:pict>
      </w:r>
    </w:p>
    <w:p>
      <w:pPr>
        <w:pStyle w:val="3"/>
        <w:rPr>
          <w:rFonts w:ascii="Times New Roman"/>
          <w:color w:val="000000" w:themeColor="text1"/>
          <w:kern w:val="2"/>
          <w:sz w:val="20"/>
        </w:rPr>
      </w:pPr>
      <w:r>
        <w:rPr>
          <w:color w:val="000000" w:themeColor="text1"/>
          <w:kern w:val="2"/>
        </w:rPr>
        <w:pict>
          <v:shape id="_x0000_s1044" o:spid="_x0000_s1044" o:spt="202" type="#_x0000_t202" style="position:absolute;left:0pt;margin-left:33.95pt;margin-top:71.45pt;height:43.8pt;width:15.95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txbxContent>
            </v:textbox>
          </v:shape>
        </w:pict>
      </w:r>
    </w:p>
    <w:tbl>
      <w:tblPr>
        <w:tblStyle w:val="7"/>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553"/>
        <w:gridCol w:w="533"/>
        <w:gridCol w:w="571"/>
        <w:gridCol w:w="644"/>
        <w:gridCol w:w="614"/>
        <w:gridCol w:w="801"/>
        <w:gridCol w:w="2364"/>
        <w:gridCol w:w="5742"/>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594" w:type="dxa"/>
            <w:gridSpan w:val="6"/>
          </w:tcPr>
          <w:p>
            <w:pPr>
              <w:pStyle w:val="11"/>
              <w:spacing w:line="131" w:lineRule="exact"/>
              <w:ind w:left="1623" w:right="1607"/>
              <w:jc w:val="center"/>
              <w:rPr>
                <w:rFonts w:ascii="黑体" w:eastAsia="黑体"/>
                <w:color w:val="000000" w:themeColor="text1"/>
                <w:kern w:val="2"/>
                <w:sz w:val="13"/>
              </w:rPr>
            </w:pPr>
            <w:r>
              <w:rPr>
                <w:rFonts w:hint="eastAsia" w:ascii="黑体" w:eastAsia="黑体"/>
                <w:color w:val="000000" w:themeColor="text1"/>
                <w:kern w:val="2"/>
                <w:sz w:val="13"/>
              </w:rPr>
              <w:t>评价指标</w:t>
            </w:r>
          </w:p>
        </w:tc>
        <w:tc>
          <w:tcPr>
            <w:tcW w:w="801"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364" w:type="dxa"/>
            <w:vMerge w:val="restart"/>
            <w:vAlign w:val="center"/>
          </w:tcPr>
          <w:p>
            <w:pPr>
              <w:pStyle w:val="11"/>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5742" w:type="dxa"/>
            <w:vMerge w:val="restart"/>
            <w:vAlign w:val="center"/>
          </w:tcPr>
          <w:p>
            <w:pPr>
              <w:pStyle w:val="11"/>
              <w:spacing w:line="131" w:lineRule="exact"/>
              <w:ind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                                 评分标准</w:t>
            </w:r>
          </w:p>
        </w:tc>
        <w:tc>
          <w:tcPr>
            <w:tcW w:w="1448" w:type="dxa"/>
            <w:vMerge w:val="restart"/>
            <w:vAlign w:val="center"/>
          </w:tcPr>
          <w:p>
            <w:pPr>
              <w:pStyle w:val="11"/>
              <w:ind w:right="649"/>
              <w:jc w:val="center"/>
              <w:rPr>
                <w:rFonts w:ascii="黑体" w:eastAsia="黑体"/>
                <w:color w:val="000000" w:themeColor="text1"/>
                <w:kern w:val="2"/>
                <w:sz w:val="13"/>
              </w:rPr>
            </w:pPr>
            <w:r>
              <w:rPr>
                <w:rFonts w:hint="eastAsia" w:ascii="Times New Roman"/>
                <w:color w:val="000000" w:themeColor="text1"/>
                <w:kern w:val="2"/>
                <w:sz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679" w:type="dxa"/>
          </w:tcPr>
          <w:p>
            <w:pPr>
              <w:pStyle w:val="11"/>
              <w:spacing w:before="14" w:line="116" w:lineRule="exact"/>
              <w:ind w:left="23"/>
              <w:rPr>
                <w:rFonts w:ascii="黑体" w:eastAsia="黑体"/>
                <w:color w:val="000000" w:themeColor="text1"/>
                <w:kern w:val="2"/>
                <w:sz w:val="11"/>
              </w:rPr>
            </w:pPr>
            <w:r>
              <w:rPr>
                <w:rFonts w:hint="eastAsia" w:ascii="黑体" w:eastAsia="黑体"/>
                <w:color w:val="000000" w:themeColor="text1"/>
                <w:kern w:val="2"/>
                <w:sz w:val="11"/>
              </w:rPr>
              <w:t>一级指标</w:t>
            </w:r>
          </w:p>
        </w:tc>
        <w:tc>
          <w:tcPr>
            <w:tcW w:w="553" w:type="dxa"/>
          </w:tcPr>
          <w:p>
            <w:pPr>
              <w:pStyle w:val="11"/>
              <w:rPr>
                <w:rFonts w:ascii="Times New Roman"/>
                <w:color w:val="000000" w:themeColor="text1"/>
                <w:kern w:val="2"/>
                <w:sz w:val="8"/>
              </w:rPr>
            </w:pPr>
          </w:p>
        </w:tc>
        <w:tc>
          <w:tcPr>
            <w:tcW w:w="533" w:type="dxa"/>
          </w:tcPr>
          <w:p>
            <w:pPr>
              <w:pStyle w:val="11"/>
              <w:spacing w:before="14" w:line="116" w:lineRule="exact"/>
              <w:ind w:left="25"/>
              <w:rPr>
                <w:rFonts w:ascii="黑体" w:eastAsia="黑体"/>
                <w:color w:val="000000" w:themeColor="text1"/>
                <w:kern w:val="2"/>
                <w:sz w:val="11"/>
              </w:rPr>
            </w:pPr>
            <w:r>
              <w:rPr>
                <w:rFonts w:hint="eastAsia" w:ascii="黑体" w:eastAsia="黑体"/>
                <w:color w:val="000000" w:themeColor="text1"/>
                <w:kern w:val="2"/>
                <w:sz w:val="11"/>
              </w:rPr>
              <w:t>二级指标</w:t>
            </w:r>
          </w:p>
        </w:tc>
        <w:tc>
          <w:tcPr>
            <w:tcW w:w="571" w:type="dxa"/>
          </w:tcPr>
          <w:p>
            <w:pPr>
              <w:pStyle w:val="11"/>
              <w:rPr>
                <w:rFonts w:ascii="Times New Roman"/>
                <w:color w:val="000000" w:themeColor="text1"/>
                <w:kern w:val="2"/>
                <w:sz w:val="8"/>
              </w:rPr>
            </w:pPr>
          </w:p>
        </w:tc>
        <w:tc>
          <w:tcPr>
            <w:tcW w:w="644" w:type="dxa"/>
          </w:tcPr>
          <w:p>
            <w:pPr>
              <w:pStyle w:val="11"/>
              <w:spacing w:before="14" w:line="116" w:lineRule="exact"/>
              <w:ind w:left="24"/>
              <w:rPr>
                <w:rFonts w:ascii="黑体" w:eastAsia="黑体"/>
                <w:color w:val="000000" w:themeColor="text1"/>
                <w:kern w:val="2"/>
                <w:sz w:val="11"/>
              </w:rPr>
            </w:pPr>
            <w:r>
              <w:rPr>
                <w:rFonts w:hint="eastAsia" w:ascii="黑体" w:eastAsia="黑体"/>
                <w:color w:val="000000" w:themeColor="text1"/>
                <w:kern w:val="2"/>
                <w:sz w:val="11"/>
              </w:rPr>
              <w:t>三级指标</w:t>
            </w:r>
          </w:p>
        </w:tc>
        <w:tc>
          <w:tcPr>
            <w:tcW w:w="614" w:type="dxa"/>
          </w:tcPr>
          <w:p>
            <w:pPr>
              <w:pStyle w:val="11"/>
              <w:rPr>
                <w:rFonts w:ascii="Times New Roman"/>
                <w:color w:val="000000" w:themeColor="text1"/>
                <w:kern w:val="2"/>
                <w:sz w:val="8"/>
              </w:rPr>
            </w:pPr>
          </w:p>
        </w:tc>
        <w:tc>
          <w:tcPr>
            <w:tcW w:w="801" w:type="dxa"/>
            <w:vMerge w:val="continue"/>
          </w:tcPr>
          <w:p>
            <w:pPr>
              <w:pStyle w:val="11"/>
              <w:rPr>
                <w:rFonts w:ascii="Times New Roman"/>
                <w:color w:val="000000" w:themeColor="text1"/>
                <w:kern w:val="2"/>
                <w:sz w:val="8"/>
              </w:rPr>
            </w:pPr>
          </w:p>
        </w:tc>
        <w:tc>
          <w:tcPr>
            <w:tcW w:w="2364" w:type="dxa"/>
            <w:vMerge w:val="continue"/>
          </w:tcPr>
          <w:p>
            <w:pPr>
              <w:pStyle w:val="11"/>
              <w:rPr>
                <w:rFonts w:ascii="Times New Roman"/>
                <w:color w:val="000000" w:themeColor="text1"/>
                <w:kern w:val="2"/>
                <w:sz w:val="8"/>
              </w:rPr>
            </w:pPr>
          </w:p>
        </w:tc>
        <w:tc>
          <w:tcPr>
            <w:tcW w:w="5742" w:type="dxa"/>
            <w:vMerge w:val="continue"/>
          </w:tcPr>
          <w:p>
            <w:pPr>
              <w:pStyle w:val="11"/>
              <w:rPr>
                <w:rFonts w:ascii="Times New Roman"/>
                <w:color w:val="000000" w:themeColor="text1"/>
                <w:kern w:val="2"/>
                <w:sz w:val="8"/>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79" w:type="dxa"/>
          </w:tcPr>
          <w:p>
            <w:pPr>
              <w:pStyle w:val="11"/>
              <w:spacing w:before="46"/>
              <w:ind w:left="23"/>
              <w:rPr>
                <w:rFonts w:ascii="黑体" w:eastAsia="黑体"/>
                <w:color w:val="000000" w:themeColor="text1"/>
                <w:kern w:val="2"/>
                <w:sz w:val="11"/>
              </w:rPr>
            </w:pPr>
            <w:r>
              <w:rPr>
                <w:rFonts w:hint="eastAsia" w:ascii="黑体" w:eastAsia="黑体"/>
                <w:color w:val="000000" w:themeColor="text1"/>
                <w:kern w:val="2"/>
                <w:sz w:val="11"/>
              </w:rPr>
              <w:t>名称</w:t>
            </w:r>
          </w:p>
        </w:tc>
        <w:tc>
          <w:tcPr>
            <w:tcW w:w="553" w:type="dxa"/>
          </w:tcPr>
          <w:p>
            <w:pPr>
              <w:pStyle w:val="11"/>
              <w:spacing w:before="46"/>
              <w:ind w:left="23"/>
              <w:rPr>
                <w:rFonts w:ascii="黑体" w:eastAsia="黑体"/>
                <w:color w:val="000000" w:themeColor="text1"/>
                <w:kern w:val="2"/>
                <w:sz w:val="11"/>
              </w:rPr>
            </w:pPr>
            <w:r>
              <w:rPr>
                <w:rFonts w:hint="eastAsia" w:ascii="黑体" w:eastAsia="黑体"/>
                <w:color w:val="000000" w:themeColor="text1"/>
                <w:kern w:val="2"/>
                <w:sz w:val="11"/>
              </w:rPr>
              <w:t>权重（ ）</w:t>
            </w:r>
          </w:p>
        </w:tc>
        <w:tc>
          <w:tcPr>
            <w:tcW w:w="533" w:type="dxa"/>
          </w:tcPr>
          <w:p>
            <w:pPr>
              <w:pStyle w:val="11"/>
              <w:spacing w:before="46"/>
              <w:ind w:left="25"/>
              <w:rPr>
                <w:rFonts w:ascii="黑体" w:eastAsia="黑体"/>
                <w:color w:val="000000" w:themeColor="text1"/>
                <w:kern w:val="2"/>
                <w:sz w:val="11"/>
              </w:rPr>
            </w:pPr>
            <w:r>
              <w:rPr>
                <w:rFonts w:hint="eastAsia" w:ascii="黑体" w:eastAsia="黑体"/>
                <w:color w:val="000000" w:themeColor="text1"/>
                <w:kern w:val="2"/>
                <w:sz w:val="11"/>
              </w:rPr>
              <w:t>名称</w:t>
            </w:r>
          </w:p>
        </w:tc>
        <w:tc>
          <w:tcPr>
            <w:tcW w:w="571" w:type="dxa"/>
          </w:tcPr>
          <w:p>
            <w:pPr>
              <w:pStyle w:val="11"/>
              <w:spacing w:before="46"/>
              <w:ind w:left="6" w:right="60"/>
              <w:jc w:val="center"/>
              <w:rPr>
                <w:rFonts w:ascii="黑体" w:eastAsia="黑体"/>
                <w:color w:val="000000" w:themeColor="text1"/>
                <w:kern w:val="2"/>
                <w:sz w:val="11"/>
              </w:rPr>
            </w:pPr>
            <w:r>
              <w:rPr>
                <w:rFonts w:hint="eastAsia" w:ascii="黑体" w:eastAsia="黑体"/>
                <w:color w:val="000000" w:themeColor="text1"/>
                <w:kern w:val="2"/>
                <w:sz w:val="11"/>
              </w:rPr>
              <w:t>权重（ ）</w:t>
            </w:r>
          </w:p>
        </w:tc>
        <w:tc>
          <w:tcPr>
            <w:tcW w:w="644" w:type="dxa"/>
          </w:tcPr>
          <w:p>
            <w:pPr>
              <w:pStyle w:val="11"/>
              <w:spacing w:before="46"/>
              <w:ind w:left="24"/>
              <w:rPr>
                <w:rFonts w:ascii="黑体" w:eastAsia="黑体"/>
                <w:color w:val="000000" w:themeColor="text1"/>
                <w:kern w:val="2"/>
                <w:sz w:val="11"/>
              </w:rPr>
            </w:pPr>
            <w:r>
              <w:rPr>
                <w:rFonts w:hint="eastAsia" w:ascii="黑体" w:eastAsia="黑体"/>
                <w:color w:val="000000" w:themeColor="text1"/>
                <w:kern w:val="2"/>
                <w:sz w:val="11"/>
              </w:rPr>
              <w:t>名称</w:t>
            </w:r>
          </w:p>
        </w:tc>
        <w:tc>
          <w:tcPr>
            <w:tcW w:w="614" w:type="dxa"/>
          </w:tcPr>
          <w:p>
            <w:pPr>
              <w:pStyle w:val="11"/>
              <w:spacing w:before="46"/>
              <w:ind w:left="24"/>
              <w:rPr>
                <w:rFonts w:ascii="黑体" w:eastAsia="黑体"/>
                <w:color w:val="000000" w:themeColor="text1"/>
                <w:kern w:val="2"/>
                <w:sz w:val="11"/>
              </w:rPr>
            </w:pPr>
            <w:r>
              <w:rPr>
                <w:rFonts w:hint="eastAsia" w:ascii="黑体" w:eastAsia="黑体"/>
                <w:color w:val="000000" w:themeColor="text1"/>
                <w:kern w:val="2"/>
                <w:sz w:val="11"/>
              </w:rPr>
              <w:t>权重（ ）</w:t>
            </w:r>
          </w:p>
        </w:tc>
        <w:tc>
          <w:tcPr>
            <w:tcW w:w="801" w:type="dxa"/>
            <w:vMerge w:val="continue"/>
          </w:tcPr>
          <w:p>
            <w:pPr>
              <w:pStyle w:val="11"/>
              <w:rPr>
                <w:rFonts w:ascii="Times New Roman"/>
                <w:color w:val="000000" w:themeColor="text1"/>
                <w:kern w:val="2"/>
                <w:sz w:val="12"/>
              </w:rPr>
            </w:pPr>
          </w:p>
        </w:tc>
        <w:tc>
          <w:tcPr>
            <w:tcW w:w="2364" w:type="dxa"/>
            <w:vMerge w:val="continue"/>
          </w:tcPr>
          <w:p>
            <w:pPr>
              <w:pStyle w:val="11"/>
              <w:rPr>
                <w:rFonts w:ascii="Times New Roman"/>
                <w:color w:val="000000" w:themeColor="text1"/>
                <w:kern w:val="2"/>
                <w:sz w:val="12"/>
              </w:rPr>
            </w:pPr>
          </w:p>
        </w:tc>
        <w:tc>
          <w:tcPr>
            <w:tcW w:w="5742" w:type="dxa"/>
            <w:vMerge w:val="continue"/>
          </w:tcPr>
          <w:p>
            <w:pPr>
              <w:pStyle w:val="11"/>
              <w:rPr>
                <w:rFonts w:ascii="Times New Roman"/>
                <w:color w:val="000000" w:themeColor="text1"/>
                <w:kern w:val="2"/>
                <w:sz w:val="12"/>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79" w:type="dxa"/>
            <w:vMerge w:val="restart"/>
          </w:tcPr>
          <w:p>
            <w:pPr>
              <w:pStyle w:val="11"/>
              <w:rPr>
                <w:rFonts w:ascii="Times New Roman"/>
                <w:color w:val="000000" w:themeColor="text1"/>
                <w:kern w:val="2"/>
                <w:sz w:val="15"/>
                <w:szCs w:val="15"/>
              </w:rPr>
            </w:pPr>
          </w:p>
        </w:tc>
        <w:tc>
          <w:tcPr>
            <w:tcW w:w="553" w:type="dxa"/>
            <w:vMerge w:val="restart"/>
          </w:tcPr>
          <w:p>
            <w:pPr>
              <w:pStyle w:val="11"/>
              <w:rPr>
                <w:rFonts w:asciiTheme="minorEastAsia" w:hAnsiTheme="minorEastAsia" w:eastAsiaTheme="minorEastAsia"/>
                <w:color w:val="000000" w:themeColor="text1"/>
                <w:kern w:val="2"/>
                <w:sz w:val="14"/>
                <w:szCs w:val="14"/>
              </w:rPr>
            </w:pPr>
          </w:p>
        </w:tc>
        <w:tc>
          <w:tcPr>
            <w:tcW w:w="533"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w:t>
            </w:r>
          </w:p>
          <w:p>
            <w:pPr>
              <w:pStyle w:val="11"/>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89"/>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99"/>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项目实施程序</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99"/>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1"/>
              <w:spacing w:before="17" w:line="232" w:lineRule="auto"/>
              <w:ind w:left="24" w:right="26"/>
              <w:jc w:val="center"/>
              <w:rPr>
                <w:rFonts w:hint="eastAsia" w:asciiTheme="minorEastAsia" w:hAnsiTheme="minorEastAsia" w:eastAsiaTheme="minorEastAsia"/>
                <w:color w:val="000000" w:themeColor="text1"/>
                <w:kern w:val="2"/>
                <w:sz w:val="14"/>
                <w:szCs w:val="14"/>
                <w:lang w:val="en-US" w:eastAsia="zh-CN"/>
              </w:rPr>
            </w:pPr>
          </w:p>
          <w:p>
            <w:pPr>
              <w:pStyle w:val="11"/>
              <w:spacing w:before="17" w:line="232" w:lineRule="auto"/>
              <w:ind w:left="24"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1"/>
              <w:spacing w:before="17" w:line="232" w:lineRule="auto"/>
              <w:ind w:left="24" w:right="2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pPr>
              <w:pStyle w:val="11"/>
              <w:numPr>
                <w:ilvl w:val="0"/>
                <w:numId w:val="1"/>
              </w:numPr>
              <w:tabs>
                <w:tab w:val="left" w:pos="389"/>
              </w:tabs>
              <w:spacing w:before="88"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项目的设立及调整按规定履行报批程</w:t>
            </w:r>
            <w:r>
              <w:rPr>
                <w:rFonts w:hint="eastAsia" w:asciiTheme="minorEastAsia" w:hAnsiTheme="minorEastAsia" w:eastAsiaTheme="minorEastAsia"/>
                <w:color w:val="000000" w:themeColor="text1"/>
                <w:kern w:val="2"/>
                <w:sz w:val="14"/>
                <w:szCs w:val="14"/>
              </w:rPr>
              <w:t>序</w:t>
            </w:r>
            <w:r>
              <w:rPr>
                <w:rFonts w:asciiTheme="minorEastAsia" w:hAnsiTheme="minorEastAsia" w:eastAsiaTheme="minorEastAsia"/>
                <w:color w:val="000000" w:themeColor="text1"/>
                <w:kern w:val="2"/>
                <w:sz w:val="14"/>
                <w:szCs w:val="14"/>
              </w:rPr>
              <w:t>，得1分；</w:t>
            </w:r>
          </w:p>
          <w:p>
            <w:pPr>
              <w:pStyle w:val="11"/>
              <w:numPr>
                <w:ilvl w:val="0"/>
                <w:numId w:val="1"/>
              </w:numPr>
              <w:tabs>
                <w:tab w:val="left" w:pos="389"/>
              </w:tabs>
              <w:spacing w:before="1" w:line="232" w:lineRule="auto"/>
              <w:ind w:left="266" w:right="1750"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6"/>
              <w:jc w:val="center"/>
              <w:rPr>
                <w:rFonts w:asciiTheme="minorEastAsia" w:hAnsiTheme="minorEastAsia" w:eastAsiaTheme="minorEastAsia"/>
                <w:color w:val="000000" w:themeColor="text1"/>
                <w:kern w:val="2"/>
                <w:sz w:val="14"/>
                <w:szCs w:val="14"/>
              </w:rPr>
            </w:pPr>
          </w:p>
          <w:p>
            <w:pPr>
              <w:pStyle w:val="1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项目监管</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6"/>
              <w:rPr>
                <w:rFonts w:asciiTheme="minorEastAsia" w:hAnsiTheme="minorEastAsia" w:eastAsiaTheme="minorEastAsia"/>
                <w:color w:val="000000" w:themeColor="text1"/>
                <w:kern w:val="2"/>
                <w:sz w:val="14"/>
                <w:szCs w:val="14"/>
              </w:rPr>
            </w:pPr>
          </w:p>
          <w:p>
            <w:pPr>
              <w:pStyle w:val="1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801" w:type="dxa"/>
          </w:tcPr>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pPr>
              <w:pStyle w:val="11"/>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反映部门（单位）对所实施项目（包括</w:t>
            </w:r>
            <w:r>
              <w:rPr>
                <w:rFonts w:hint="eastAsia" w:asciiTheme="minorEastAsia" w:hAnsiTheme="minorEastAsia" w:eastAsiaTheme="minorEastAsia"/>
                <w:color w:val="000000" w:themeColor="text1"/>
                <w:kern w:val="2"/>
                <w:sz w:val="14"/>
                <w:szCs w:val="14"/>
              </w:rPr>
              <w:t>部门主管的</w:t>
            </w:r>
            <w:r>
              <w:rPr>
                <w:rFonts w:hint="eastAsia" w:asciiTheme="minorEastAsia" w:hAnsiTheme="minorEastAsia" w:eastAsiaTheme="minorEastAsia"/>
                <w:color w:val="000000" w:themeColor="text1"/>
                <w:kern w:val="2"/>
                <w:sz w:val="14"/>
                <w:szCs w:val="14"/>
                <w:lang w:eastAsia="zh-CN"/>
              </w:rPr>
              <w:t>县</w:t>
            </w:r>
            <w:r>
              <w:rPr>
                <w:rFonts w:hint="eastAsia" w:asciiTheme="minorEastAsia" w:hAnsiTheme="minorEastAsia" w:eastAsiaTheme="minorEastAsia"/>
                <w:color w:val="000000" w:themeColor="text1"/>
                <w:kern w:val="2"/>
                <w:sz w:val="14"/>
                <w:szCs w:val="14"/>
              </w:rPr>
              <w:t>级专项资金与专项经费分配给县实施的项目）</w:t>
            </w:r>
            <w:r>
              <w:rPr>
                <w:rFonts w:asciiTheme="minorEastAsia" w:hAnsiTheme="minorEastAsia" w:eastAsiaTheme="minorEastAsia"/>
                <w:color w:val="000000" w:themeColor="text1"/>
                <w:kern w:val="2"/>
                <w:sz w:val="14"/>
                <w:szCs w:val="14"/>
              </w:rPr>
              <w:t>的检查、监控、督促等管理等情况。</w:t>
            </w:r>
          </w:p>
        </w:tc>
        <w:tc>
          <w:tcPr>
            <w:tcW w:w="5742" w:type="dxa"/>
          </w:tcPr>
          <w:p>
            <w:pPr>
              <w:pStyle w:val="11"/>
              <w:tabs>
                <w:tab w:val="left" w:pos="389"/>
              </w:tabs>
              <w:spacing w:before="30" w:line="151" w:lineRule="exact"/>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 xml:space="preserve">    按规定对专项资金和项目支出的管理使用以及项目实施开展有效的监管，具体包括：</w:t>
            </w:r>
          </w:p>
          <w:p>
            <w:pPr>
              <w:pStyle w:val="11"/>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pPr>
              <w:pStyle w:val="11"/>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pStyle w:val="11"/>
              <w:spacing w:line="148" w:lineRule="exact"/>
              <w:ind w:left="266"/>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3.通过审计、报告等方式落实检查或监控发现问题整改到位的，得2分；</w:t>
            </w:r>
          </w:p>
          <w:p>
            <w:pPr>
              <w:pStyle w:val="11"/>
              <w:spacing w:line="148" w:lineRule="exact"/>
              <w:ind w:firstLine="309" w:firstLineChars="221"/>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w:t>
            </w:r>
          </w:p>
          <w:p>
            <w:pPr>
              <w:pStyle w:val="11"/>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106"/>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8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资产管理安全性</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8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1"/>
              <w:spacing w:before="73" w:line="232" w:lineRule="auto"/>
              <w:ind w:left="24" w:right="26" w:firstLine="62"/>
              <w:jc w:val="center"/>
              <w:rPr>
                <w:rFonts w:hint="eastAsia" w:asciiTheme="minorEastAsia" w:hAnsiTheme="minorEastAsia" w:eastAsiaTheme="minorEastAsia"/>
                <w:color w:val="000000" w:themeColor="text1"/>
                <w:kern w:val="2"/>
                <w:sz w:val="14"/>
                <w:szCs w:val="14"/>
                <w:lang w:val="en-US" w:eastAsia="zh-CN"/>
              </w:rPr>
            </w:pPr>
          </w:p>
          <w:p>
            <w:pPr>
              <w:pStyle w:val="11"/>
              <w:spacing w:before="73" w:line="232" w:lineRule="auto"/>
              <w:ind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1"/>
              <w:spacing w:before="73" w:line="232" w:lineRule="auto"/>
              <w:ind w:left="24" w:right="26" w:firstLine="6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部门（单位）的资产是否保存完整、使用合规、配置合理、处置规范、收入及时足额上缴，用于反映和考核部门（单位）资产安全运行情况。</w:t>
            </w:r>
          </w:p>
        </w:tc>
        <w:tc>
          <w:tcPr>
            <w:tcW w:w="5742" w:type="dxa"/>
          </w:tcPr>
          <w:p>
            <w:pPr>
              <w:pStyle w:val="11"/>
              <w:spacing w:before="5"/>
              <w:rPr>
                <w:rFonts w:asciiTheme="minorEastAsia" w:hAnsiTheme="minorEastAsia" w:eastAsiaTheme="minorEastAsia"/>
                <w:color w:val="000000" w:themeColor="text1"/>
                <w:kern w:val="2"/>
                <w:sz w:val="14"/>
                <w:szCs w:val="14"/>
              </w:rPr>
            </w:pPr>
          </w:p>
          <w:p>
            <w:pPr>
              <w:pStyle w:val="11"/>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资产配置合理、保管完整，账实相符的，的，得1分；</w:t>
            </w:r>
          </w:p>
          <w:p>
            <w:pPr>
              <w:pStyle w:val="11"/>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资产有偿使用及处置收入及时足额上缴，得1分。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jc w:val="cente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87"/>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固定资产利用率</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87"/>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1"/>
              <w:spacing w:before="80"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80"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1"/>
              <w:spacing w:before="80" w:line="232" w:lineRule="auto"/>
              <w:ind w:left="24"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pPr>
              <w:pStyle w:val="11"/>
              <w:spacing w:line="151"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的，得3分；</w:t>
            </w:r>
          </w:p>
          <w:p>
            <w:pPr>
              <w:pStyle w:val="11"/>
              <w:spacing w:before="5" w:line="146"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1"/>
              <w:spacing w:before="4" w:line="148"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w:t>
            </w: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分；</w:t>
            </w:r>
          </w:p>
          <w:p>
            <w:pPr>
              <w:pStyle w:val="11"/>
              <w:spacing w:before="4" w:line="148" w:lineRule="exact"/>
              <w:ind w:left="266" w:right="25"/>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1"/>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人员</w:t>
            </w:r>
          </w:p>
          <w:p>
            <w:pPr>
              <w:pStyle w:val="11"/>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1"/>
              <w:spacing w:before="105"/>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644" w:type="dxa"/>
          </w:tcPr>
          <w:p>
            <w:pPr>
              <w:pStyle w:val="11"/>
              <w:spacing w:before="34"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财政供养人员控制率</w:t>
            </w:r>
          </w:p>
        </w:tc>
        <w:tc>
          <w:tcPr>
            <w:tcW w:w="614" w:type="dxa"/>
          </w:tcPr>
          <w:p>
            <w:pPr>
              <w:pStyle w:val="11"/>
              <w:spacing w:before="10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1"/>
              <w:spacing w:before="34"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34"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1"/>
              <w:spacing w:before="34"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部门（单位）本年度在编人数（含工勤人员）与核定编制数（含工勤人员）的比率。</w:t>
            </w:r>
          </w:p>
        </w:tc>
        <w:tc>
          <w:tcPr>
            <w:tcW w:w="5742" w:type="dxa"/>
          </w:tcPr>
          <w:p>
            <w:pPr>
              <w:pStyle w:val="11"/>
              <w:spacing w:before="2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1"/>
              <w:spacing w:before="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Align w:val="center"/>
          </w:tcPr>
          <w:p>
            <w:pPr>
              <w:pStyle w:val="11"/>
              <w:spacing w:before="1"/>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制度</w:t>
            </w:r>
          </w:p>
          <w:p>
            <w:pPr>
              <w:pStyle w:val="11"/>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1"/>
              <w:rPr>
                <w:rFonts w:asciiTheme="minorEastAsia" w:hAnsiTheme="minorEastAsia" w:eastAsiaTheme="minorEastAsia"/>
                <w:color w:val="000000" w:themeColor="text1"/>
                <w:kern w:val="2"/>
                <w:sz w:val="14"/>
                <w:szCs w:val="14"/>
              </w:rPr>
            </w:pPr>
          </w:p>
          <w:p>
            <w:pPr>
              <w:pStyle w:val="11"/>
              <w:spacing w:before="8"/>
              <w:rPr>
                <w:rFonts w:asciiTheme="minorEastAsia" w:hAnsiTheme="minorEastAsia" w:eastAsiaTheme="minorEastAsia"/>
                <w:color w:val="000000" w:themeColor="text1"/>
                <w:kern w:val="2"/>
                <w:sz w:val="14"/>
                <w:szCs w:val="14"/>
              </w:rPr>
            </w:pPr>
          </w:p>
          <w:p>
            <w:pPr>
              <w:pStyle w:val="11"/>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8"/>
              <w:jc w:val="center"/>
              <w:rPr>
                <w:rFonts w:asciiTheme="minorEastAsia" w:hAnsiTheme="minorEastAsia" w:eastAsiaTheme="minorEastAsia"/>
                <w:color w:val="000000" w:themeColor="text1"/>
                <w:kern w:val="2"/>
                <w:sz w:val="14"/>
                <w:szCs w:val="14"/>
              </w:rPr>
            </w:pPr>
          </w:p>
          <w:p>
            <w:pPr>
              <w:pStyle w:val="11"/>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管理制度健全性</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8"/>
              <w:rPr>
                <w:rFonts w:asciiTheme="minorEastAsia" w:hAnsiTheme="minorEastAsia" w:eastAsiaTheme="minorEastAsia"/>
                <w:color w:val="000000" w:themeColor="text1"/>
                <w:kern w:val="2"/>
                <w:sz w:val="14"/>
                <w:szCs w:val="14"/>
              </w:rPr>
            </w:pPr>
          </w:p>
          <w:p>
            <w:pPr>
              <w:pStyle w:val="11"/>
              <w:spacing w:before="1"/>
              <w:ind w:left="17"/>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1"/>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pPr>
              <w:pStyle w:val="11"/>
              <w:tabs>
                <w:tab w:val="left" w:pos="389"/>
              </w:tabs>
              <w:spacing w:before="107"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部门制订了财政资金管理、内部财务、内部控制等制度的，得1分；</w:t>
            </w:r>
          </w:p>
          <w:p>
            <w:pPr>
              <w:pStyle w:val="11"/>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上述资金、财务和内控制度得到有效执行，能提供相关佐证材料的，得1分；</w:t>
            </w:r>
          </w:p>
          <w:p>
            <w:pPr>
              <w:pStyle w:val="11"/>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w:t>
            </w:r>
            <w:r>
              <w:rPr>
                <w:rFonts w:asciiTheme="minorEastAsia" w:hAnsiTheme="minorEastAsia" w:eastAsiaTheme="minorEastAsia"/>
                <w:color w:val="000000" w:themeColor="text1"/>
                <w:kern w:val="2"/>
                <w:sz w:val="14"/>
                <w:szCs w:val="14"/>
              </w:rPr>
              <w:t>部门制订了本部门预算绩效管理制度的得1分；</w:t>
            </w:r>
          </w:p>
          <w:p>
            <w:pPr>
              <w:pStyle w:val="11"/>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4.</w:t>
            </w:r>
            <w:r>
              <w:rPr>
                <w:rFonts w:asciiTheme="minorEastAsia" w:hAnsiTheme="minorEastAsia" w:eastAsiaTheme="minorEastAsia"/>
                <w:color w:val="000000" w:themeColor="text1"/>
                <w:kern w:val="2"/>
                <w:sz w:val="14"/>
                <w:szCs w:val="14"/>
              </w:rPr>
              <w:t>部门落实了预算绩效管理制度，在本级及下属单位开展绩效评价等工作，能提供相关佐证材料的，得1分。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79" w:type="dxa"/>
            <w:vMerge w:val="restart"/>
          </w:tcPr>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jc w:val="center"/>
              <w:rPr>
                <w:rFonts w:ascii="Times New Roman"/>
                <w:color w:val="000000" w:themeColor="text1"/>
                <w:kern w:val="2"/>
                <w:sz w:val="15"/>
                <w:szCs w:val="15"/>
              </w:rPr>
            </w:pPr>
          </w:p>
          <w:p>
            <w:pPr>
              <w:pStyle w:val="11"/>
              <w:spacing w:before="2"/>
              <w:jc w:val="center"/>
              <w:rPr>
                <w:rFonts w:ascii="Times New Roman"/>
                <w:color w:val="000000" w:themeColor="text1"/>
                <w:kern w:val="2"/>
                <w:sz w:val="15"/>
                <w:szCs w:val="15"/>
              </w:rPr>
            </w:pPr>
          </w:p>
          <w:p>
            <w:pPr>
              <w:pStyle w:val="11"/>
              <w:spacing w:line="232" w:lineRule="auto"/>
              <w:ind w:left="148" w:right="9" w:hanging="120"/>
              <w:jc w:val="center"/>
              <w:rPr>
                <w:color w:val="000000" w:themeColor="text1"/>
                <w:kern w:val="2"/>
                <w:sz w:val="15"/>
                <w:szCs w:val="15"/>
              </w:rPr>
            </w:pPr>
            <w:r>
              <w:rPr>
                <w:color w:val="000000" w:themeColor="text1"/>
                <w:kern w:val="2"/>
                <w:sz w:val="15"/>
                <w:szCs w:val="15"/>
              </w:rPr>
              <w:t>预算使用效益</w:t>
            </w:r>
          </w:p>
          <w:p>
            <w:pPr>
              <w:pStyle w:val="11"/>
              <w:spacing w:line="232" w:lineRule="auto"/>
              <w:ind w:left="148" w:right="9" w:hanging="120"/>
              <w:jc w:val="center"/>
              <w:rPr>
                <w:color w:val="000000" w:themeColor="text1"/>
                <w:kern w:val="2"/>
                <w:sz w:val="15"/>
                <w:szCs w:val="15"/>
              </w:rPr>
            </w:pPr>
          </w:p>
          <w:p>
            <w:pPr>
              <w:pStyle w:val="11"/>
              <w:spacing w:line="232" w:lineRule="auto"/>
              <w:ind w:left="148" w:right="9" w:hanging="120"/>
              <w:jc w:val="center"/>
              <w:rPr>
                <w:color w:val="000000" w:themeColor="text1"/>
                <w:kern w:val="2"/>
                <w:sz w:val="15"/>
                <w:szCs w:val="15"/>
              </w:rPr>
            </w:pPr>
          </w:p>
          <w:p>
            <w:pPr>
              <w:pStyle w:val="11"/>
              <w:spacing w:line="232" w:lineRule="auto"/>
              <w:ind w:left="148" w:right="9" w:hanging="120"/>
              <w:jc w:val="center"/>
              <w:rPr>
                <w:color w:val="000000" w:themeColor="text1"/>
                <w:kern w:val="2"/>
                <w:sz w:val="15"/>
                <w:szCs w:val="15"/>
              </w:rPr>
            </w:pPr>
          </w:p>
          <w:p>
            <w:pPr>
              <w:pStyle w:val="11"/>
              <w:spacing w:line="232" w:lineRule="auto"/>
              <w:ind w:left="148" w:right="9" w:hanging="120"/>
              <w:jc w:val="center"/>
              <w:rPr>
                <w:color w:val="000000" w:themeColor="text1"/>
                <w:kern w:val="2"/>
                <w:sz w:val="15"/>
                <w:szCs w:val="15"/>
              </w:rPr>
            </w:pPr>
          </w:p>
          <w:p>
            <w:pPr>
              <w:pStyle w:val="11"/>
              <w:spacing w:line="232" w:lineRule="auto"/>
              <w:ind w:left="148" w:right="9" w:hanging="120"/>
              <w:jc w:val="center"/>
              <w:rPr>
                <w:color w:val="000000" w:themeColor="text1"/>
                <w:kern w:val="2"/>
                <w:sz w:val="15"/>
                <w:szCs w:val="15"/>
              </w:rPr>
            </w:pPr>
          </w:p>
          <w:p>
            <w:pPr>
              <w:pStyle w:val="11"/>
              <w:spacing w:line="232" w:lineRule="auto"/>
              <w:ind w:left="148" w:right="9" w:hanging="120"/>
              <w:jc w:val="center"/>
              <w:rPr>
                <w:color w:val="000000" w:themeColor="text1"/>
                <w:kern w:val="2"/>
                <w:sz w:val="15"/>
                <w:szCs w:val="15"/>
              </w:rPr>
            </w:pPr>
          </w:p>
        </w:tc>
        <w:tc>
          <w:tcPr>
            <w:tcW w:w="553" w:type="dxa"/>
            <w:vMerge w:val="restart"/>
          </w:tcPr>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30</w:t>
            </w: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left="210" w:right="193"/>
              <w:jc w:val="center"/>
              <w:rPr>
                <w:rFonts w:asciiTheme="minorEastAsia" w:hAnsiTheme="minorEastAsia" w:eastAsiaTheme="minorEastAsia"/>
                <w:color w:val="000000" w:themeColor="text1"/>
                <w:kern w:val="2"/>
                <w:sz w:val="14"/>
                <w:szCs w:val="14"/>
              </w:rPr>
            </w:pPr>
          </w:p>
          <w:p>
            <w:pPr>
              <w:pStyle w:val="11"/>
              <w:spacing w:before="73"/>
              <w:ind w:right="193"/>
              <w:rPr>
                <w:rFonts w:asciiTheme="minorEastAsia" w:hAnsiTheme="minorEastAsia" w:eastAsiaTheme="minorEastAsia"/>
                <w:color w:val="000000" w:themeColor="text1"/>
                <w:kern w:val="2"/>
                <w:sz w:val="14"/>
                <w:szCs w:val="14"/>
              </w:rPr>
            </w:pPr>
          </w:p>
        </w:tc>
        <w:tc>
          <w:tcPr>
            <w:tcW w:w="533"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2"/>
              <w:rPr>
                <w:rFonts w:asciiTheme="minorEastAsia" w:hAnsiTheme="minorEastAsia" w:eastAsiaTheme="minorEastAsia"/>
                <w:color w:val="000000" w:themeColor="text1"/>
                <w:kern w:val="2"/>
                <w:sz w:val="14"/>
                <w:szCs w:val="14"/>
              </w:rPr>
            </w:pPr>
          </w:p>
          <w:p>
            <w:pPr>
              <w:pStyle w:val="11"/>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经济性</w:t>
            </w:r>
          </w:p>
        </w:tc>
        <w:tc>
          <w:tcPr>
            <w:tcW w:w="571"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2"/>
              <w:rPr>
                <w:rFonts w:asciiTheme="minorEastAsia" w:hAnsiTheme="minorEastAsia" w:eastAsiaTheme="minorEastAsia"/>
                <w:color w:val="000000" w:themeColor="text1"/>
                <w:kern w:val="2"/>
                <w:sz w:val="14"/>
                <w:szCs w:val="14"/>
              </w:rPr>
            </w:pPr>
          </w:p>
          <w:p>
            <w:pPr>
              <w:pStyle w:val="1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spacing w:before="2"/>
              <w:jc w:val="center"/>
              <w:rPr>
                <w:rFonts w:asciiTheme="minorEastAsia" w:hAnsiTheme="minorEastAsia" w:eastAsiaTheme="minorEastAsia"/>
                <w:color w:val="000000" w:themeColor="text1"/>
                <w:kern w:val="2"/>
                <w:sz w:val="14"/>
                <w:szCs w:val="14"/>
              </w:rPr>
            </w:pPr>
          </w:p>
          <w:p>
            <w:pPr>
              <w:pStyle w:val="1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公用经费控制率</w:t>
            </w:r>
          </w:p>
        </w:tc>
        <w:tc>
          <w:tcPr>
            <w:tcW w:w="614"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2"/>
              <w:rPr>
                <w:rFonts w:asciiTheme="minorEastAsia" w:hAnsiTheme="minorEastAsia" w:eastAsiaTheme="minorEastAsia"/>
                <w:color w:val="000000" w:themeColor="text1"/>
                <w:kern w:val="2"/>
                <w:sz w:val="14"/>
                <w:szCs w:val="14"/>
              </w:rPr>
            </w:pPr>
          </w:p>
          <w:p>
            <w:pPr>
              <w:pStyle w:val="1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1"/>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pPr>
              <w:pStyle w:val="11"/>
              <w:spacing w:before="93"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pPr>
              <w:pStyle w:val="11"/>
              <w:spacing w:line="149" w:lineRule="exact"/>
              <w:ind w:left="24"/>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w:t>
            </w:r>
          </w:p>
        </w:tc>
        <w:tc>
          <w:tcPr>
            <w:tcW w:w="5742"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tabs>
                <w:tab w:val="left" w:pos="389"/>
              </w:tabs>
              <w:spacing w:before="10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“三公”经费实际支出数≤预算安排的三公经费数,得2分，否则不得分；</w:t>
            </w:r>
          </w:p>
          <w:p>
            <w:pPr>
              <w:pStyle w:val="11"/>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日常公用经费决算数≤日常公用经费调整预算数，得2分，否则不得分；</w:t>
            </w:r>
          </w:p>
        </w:tc>
        <w:tc>
          <w:tcPr>
            <w:tcW w:w="1448" w:type="dxa"/>
          </w:tcPr>
          <w:p>
            <w:pPr>
              <w:pStyle w:val="11"/>
              <w:spacing w:before="8" w:line="232" w:lineRule="auto"/>
              <w:ind w:left="23" w:right="125"/>
              <w:jc w:val="both"/>
              <w:rPr>
                <w:color w:val="000000" w:themeColor="text1"/>
                <w:kern w:val="2"/>
                <w:sz w:val="15"/>
                <w:szCs w:val="15"/>
              </w:rPr>
            </w:pPr>
            <w:r>
              <w:rPr>
                <w:color w:val="000000" w:themeColor="text1"/>
                <w:kern w:val="2"/>
                <w:sz w:val="15"/>
                <w:szCs w:val="15"/>
              </w:rPr>
              <w:t>本指标中公用经费根据部门决算报表财决01-1表（财政拨款收入支出决算总表）相关数据计算，三公经费根据部门决算附表《</w:t>
            </w:r>
            <w:r>
              <w:rPr>
                <w:rFonts w:hint="eastAsia"/>
                <w:color w:val="000000" w:themeColor="text1"/>
                <w:kern w:val="2"/>
                <w:sz w:val="15"/>
                <w:szCs w:val="15"/>
              </w:rPr>
              <w:t>机构</w:t>
            </w:r>
            <w:r>
              <w:rPr>
                <w:color w:val="000000" w:themeColor="text1"/>
                <w:kern w:val="2"/>
                <w:sz w:val="15"/>
                <w:szCs w:val="15"/>
              </w:rPr>
              <w:t>运行信息表》相关数据计算。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9"/>
              <w:rPr>
                <w:rFonts w:asciiTheme="minorEastAsia" w:hAnsiTheme="minorEastAsia" w:eastAsiaTheme="minorEastAsia"/>
                <w:color w:val="000000" w:themeColor="text1"/>
                <w:kern w:val="2"/>
                <w:sz w:val="14"/>
                <w:szCs w:val="14"/>
              </w:rPr>
            </w:pPr>
          </w:p>
          <w:p>
            <w:pPr>
              <w:pStyle w:val="11"/>
              <w:spacing w:before="1"/>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效率性</w:t>
            </w:r>
          </w:p>
        </w:tc>
        <w:tc>
          <w:tcPr>
            <w:tcW w:w="571"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9"/>
              <w:rPr>
                <w:rFonts w:asciiTheme="minorEastAsia" w:hAnsiTheme="minorEastAsia" w:eastAsiaTheme="minorEastAsia"/>
                <w:color w:val="000000" w:themeColor="text1"/>
                <w:kern w:val="2"/>
                <w:sz w:val="14"/>
                <w:szCs w:val="14"/>
              </w:rPr>
            </w:pPr>
          </w:p>
          <w:p>
            <w:pPr>
              <w:pStyle w:val="11"/>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9</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spacing w:before="8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8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1"/>
              <w:spacing w:before="78" w:line="232" w:lineRule="auto"/>
              <w:ind w:left="24" w:right="26" w:firstLine="182"/>
              <w:jc w:val="center"/>
              <w:rPr>
                <w:rFonts w:hint="eastAsia" w:asciiTheme="minorEastAsia" w:hAnsiTheme="minorEastAsia" w:eastAsiaTheme="minorEastAsia"/>
                <w:color w:val="000000" w:themeColor="text1"/>
                <w:kern w:val="2"/>
                <w:sz w:val="14"/>
                <w:szCs w:val="14"/>
                <w:lang w:val="en-US" w:eastAsia="zh-CN"/>
              </w:rPr>
            </w:pPr>
          </w:p>
          <w:p>
            <w:pPr>
              <w:pStyle w:val="11"/>
              <w:spacing w:before="78" w:line="232" w:lineRule="auto"/>
              <w:ind w:left="24" w:right="26" w:firstLine="18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1"/>
              <w:spacing w:before="78" w:line="232" w:lineRule="auto"/>
              <w:ind w:left="24" w:right="26" w:firstLine="18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pPr>
              <w:pStyle w:val="11"/>
              <w:spacing w:line="151" w:lineRule="exact"/>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重点工作完成率=重点工作实际完成数/重点工作总数×100</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w:t>
            </w:r>
          </w:p>
          <w:p>
            <w:pPr>
              <w:pStyle w:val="11"/>
              <w:spacing w:before="1" w:line="232" w:lineRule="auto"/>
              <w:ind w:left="266" w:right="25"/>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重点工作是指</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人大、</w:t>
            </w:r>
            <w:r>
              <w:rPr>
                <w:rFonts w:hint="eastAsia" w:asciiTheme="minorEastAsia" w:hAnsiTheme="minorEastAsia" w:eastAsiaTheme="minorEastAsia"/>
                <w:color w:val="000000" w:themeColor="text1"/>
                <w:kern w:val="2"/>
                <w:sz w:val="14"/>
                <w:szCs w:val="14"/>
                <w:lang w:val="en-US"/>
              </w:rPr>
              <w:t>省</w:t>
            </w:r>
            <w:r>
              <w:rPr>
                <w:rFonts w:asciiTheme="minorEastAsia" w:hAnsiTheme="minorEastAsia" w:eastAsiaTheme="minorEastAsia"/>
                <w:color w:val="000000" w:themeColor="text1"/>
                <w:kern w:val="2"/>
                <w:sz w:val="14"/>
                <w:szCs w:val="14"/>
              </w:rPr>
              <w:t>相关部门交办或下达的工作任务。</w:t>
            </w:r>
          </w:p>
          <w:p>
            <w:pPr>
              <w:pStyle w:val="11"/>
              <w:spacing w:before="1" w:line="232" w:lineRule="auto"/>
              <w:ind w:left="266" w:right="169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本指标得分=重点工作完成率×3</w:t>
            </w:r>
          </w:p>
          <w:p>
            <w:pPr>
              <w:pStyle w:val="11"/>
              <w:spacing w:before="1" w:line="232" w:lineRule="auto"/>
              <w:ind w:left="266" w:right="47"/>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注：重点</w:t>
            </w:r>
            <w:r>
              <w:rPr>
                <w:rFonts w:asciiTheme="minorEastAsia" w:hAnsiTheme="minorEastAsia" w:eastAsiaTheme="minorEastAsia"/>
                <w:color w:val="000000" w:themeColor="text1"/>
                <w:kern w:val="2"/>
                <w:sz w:val="14"/>
                <w:szCs w:val="14"/>
              </w:rPr>
              <w:t>工作完成率可以参考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府督查室或其他权威部门的统计数据（如有）</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1"/>
              <w:spacing w:before="8"/>
              <w:jc w:val="center"/>
              <w:rPr>
                <w:rFonts w:asciiTheme="minorEastAsia" w:hAnsiTheme="minorEastAsia" w:eastAsiaTheme="minorEastAsia"/>
                <w:color w:val="000000" w:themeColor="text1"/>
                <w:kern w:val="2"/>
                <w:sz w:val="14"/>
                <w:szCs w:val="14"/>
              </w:rPr>
            </w:pPr>
          </w:p>
          <w:p>
            <w:pPr>
              <w:pStyle w:val="1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w:t>
            </w:r>
          </w:p>
        </w:tc>
        <w:tc>
          <w:tcPr>
            <w:tcW w:w="614" w:type="dxa"/>
          </w:tcPr>
          <w:p>
            <w:pPr>
              <w:pStyle w:val="11"/>
              <w:spacing w:before="8"/>
              <w:rPr>
                <w:rFonts w:asciiTheme="minorEastAsia" w:hAnsiTheme="minorEastAsia" w:eastAsiaTheme="minorEastAsia"/>
                <w:color w:val="000000" w:themeColor="text1"/>
                <w:kern w:val="2"/>
                <w:sz w:val="14"/>
                <w:szCs w:val="14"/>
              </w:rPr>
            </w:pPr>
          </w:p>
          <w:p>
            <w:pPr>
              <w:pStyle w:val="1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1"/>
              <w:spacing w:before="75"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p>
          <w:p>
            <w:pPr>
              <w:pStyle w:val="11"/>
              <w:spacing w:before="75"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1"/>
              <w:spacing w:before="75"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部门（单位）整体绩效目标中各项目标的完成情况，反映部门整体支出绩效目标的实现程度。</w:t>
            </w:r>
          </w:p>
        </w:tc>
        <w:tc>
          <w:tcPr>
            <w:tcW w:w="5742" w:type="dxa"/>
          </w:tcPr>
          <w:p>
            <w:pPr>
              <w:pStyle w:val="11"/>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绩效目标完成率=部门整体支出绩效目标申报表中已实现目标数/申报目标数×100</w:t>
            </w:r>
            <w:r>
              <w:rPr>
                <w:rFonts w:hint="eastAsia" w:asciiTheme="minorEastAsia" w:hAnsiTheme="minorEastAsia" w:eastAsiaTheme="minorEastAsia"/>
                <w:color w:val="000000" w:themeColor="text1"/>
                <w:kern w:val="2"/>
                <w:sz w:val="14"/>
                <w:szCs w:val="14"/>
              </w:rPr>
              <w:t>%</w:t>
            </w:r>
          </w:p>
          <w:p>
            <w:pPr>
              <w:pStyle w:val="11"/>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本指标得分=绩效目标完成率×3。</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1"/>
              <w:spacing w:before="8"/>
              <w:jc w:val="center"/>
              <w:rPr>
                <w:rFonts w:asciiTheme="minorEastAsia" w:hAnsiTheme="minorEastAsia" w:eastAsiaTheme="minorEastAsia"/>
                <w:color w:val="000000" w:themeColor="text1"/>
                <w:kern w:val="2"/>
                <w:sz w:val="14"/>
                <w:szCs w:val="14"/>
              </w:rPr>
            </w:pPr>
          </w:p>
          <w:p>
            <w:pPr>
              <w:pStyle w:val="11"/>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项目完成及时性</w:t>
            </w:r>
          </w:p>
        </w:tc>
        <w:tc>
          <w:tcPr>
            <w:tcW w:w="614" w:type="dxa"/>
          </w:tcPr>
          <w:p>
            <w:pPr>
              <w:pStyle w:val="11"/>
              <w:spacing w:before="8"/>
              <w:rPr>
                <w:rFonts w:asciiTheme="minorEastAsia" w:hAnsiTheme="minorEastAsia" w:eastAsiaTheme="minorEastAsia"/>
                <w:color w:val="000000" w:themeColor="text1"/>
                <w:kern w:val="2"/>
                <w:sz w:val="14"/>
                <w:szCs w:val="14"/>
              </w:rPr>
            </w:pPr>
          </w:p>
          <w:p>
            <w:pPr>
              <w:pStyle w:val="11"/>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1"/>
              <w:spacing w:before="87"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p>
          <w:p>
            <w:pPr>
              <w:pStyle w:val="11"/>
              <w:spacing w:before="87"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1"/>
              <w:spacing w:before="87"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反映部门（单位）项目完成情况与预期时间对比的情况。</w:t>
            </w:r>
          </w:p>
        </w:tc>
        <w:tc>
          <w:tcPr>
            <w:tcW w:w="5742" w:type="dxa"/>
          </w:tcPr>
          <w:p>
            <w:pPr>
              <w:pStyle w:val="11"/>
              <w:spacing w:before="87" w:line="232" w:lineRule="auto"/>
              <w:ind w:left="24"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78"/>
              <w:ind w:left="24"/>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效果性</w:t>
            </w:r>
          </w:p>
        </w:tc>
        <w:tc>
          <w:tcPr>
            <w:tcW w:w="571"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78"/>
              <w:ind w:left="78" w:right="6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644" w:type="dxa"/>
          </w:tcPr>
          <w:p>
            <w:pPr>
              <w:pStyle w:val="11"/>
              <w:jc w:val="center"/>
              <w:rPr>
                <w:rFonts w:asciiTheme="minorEastAsia" w:hAnsiTheme="minorEastAsia" w:eastAsiaTheme="minorEastAsia"/>
                <w:color w:val="000000" w:themeColor="text1"/>
                <w:kern w:val="2"/>
                <w:sz w:val="14"/>
                <w:szCs w:val="14"/>
              </w:rPr>
            </w:pPr>
          </w:p>
          <w:p>
            <w:pPr>
              <w:pStyle w:val="11"/>
              <w:jc w:val="center"/>
              <w:rPr>
                <w:rFonts w:asciiTheme="minorEastAsia" w:hAnsiTheme="minorEastAsia" w:eastAsiaTheme="minorEastAsia"/>
                <w:color w:val="000000" w:themeColor="text1"/>
                <w:kern w:val="2"/>
                <w:sz w:val="14"/>
                <w:szCs w:val="14"/>
              </w:rPr>
            </w:pPr>
          </w:p>
          <w:p>
            <w:pPr>
              <w:pStyle w:val="11"/>
              <w:spacing w:before="7"/>
              <w:jc w:val="center"/>
              <w:rPr>
                <w:rFonts w:asciiTheme="minorEastAsia" w:hAnsiTheme="minorEastAsia" w:eastAsiaTheme="minorEastAsia"/>
                <w:color w:val="000000" w:themeColor="text1"/>
                <w:kern w:val="2"/>
                <w:sz w:val="14"/>
                <w:szCs w:val="14"/>
              </w:rPr>
            </w:pPr>
          </w:p>
          <w:p>
            <w:pPr>
              <w:pStyle w:val="11"/>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社会经济环境效益</w:t>
            </w:r>
          </w:p>
        </w:tc>
        <w:tc>
          <w:tcPr>
            <w:tcW w:w="614" w:type="dxa"/>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78"/>
              <w:ind w:left="215" w:right="195"/>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801" w:type="dxa"/>
          </w:tcPr>
          <w:p>
            <w:pPr>
              <w:pStyle w:val="11"/>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1"/>
              <w:spacing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w:t>
            </w:r>
          </w:p>
        </w:tc>
        <w:tc>
          <w:tcPr>
            <w:tcW w:w="2364" w:type="dxa"/>
            <w:vAlign w:val="center"/>
          </w:tcPr>
          <w:p>
            <w:pPr>
              <w:pStyle w:val="11"/>
              <w:spacing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反映部门（单位）履行职责对经济发展、社会发展和生态环境所带来的直接或间接影响。</w:t>
            </w:r>
          </w:p>
        </w:tc>
        <w:tc>
          <w:tcPr>
            <w:tcW w:w="5742" w:type="dxa"/>
          </w:tcPr>
          <w:p>
            <w:pPr>
              <w:pStyle w:val="11"/>
              <w:spacing w:before="45" w:line="235" w:lineRule="auto"/>
              <w:ind w:left="24" w:right="108"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pPr>
              <w:pStyle w:val="11"/>
              <w:numPr>
                <w:ilvl w:val="0"/>
                <w:numId w:val="2"/>
              </w:numPr>
              <w:tabs>
                <w:tab w:val="left" w:pos="389"/>
              </w:tabs>
              <w:spacing w:line="232" w:lineRule="auto"/>
              <w:ind w:right="5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部门管理的行业和领域对的主要指标能否体现部门当年履职的效果。主要指标均体现效果的，得5分；只有部分指标体现效果的，酌情扣分。</w:t>
            </w:r>
          </w:p>
          <w:p>
            <w:pPr>
              <w:pStyle w:val="11"/>
              <w:numPr>
                <w:ilvl w:val="0"/>
                <w:numId w:val="2"/>
              </w:numPr>
              <w:tabs>
                <w:tab w:val="left" w:pos="389"/>
              </w:tabs>
              <w:spacing w:line="232" w:lineRule="auto"/>
              <w:ind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部门当年主要的项目支出是否实现了预期的效果，由评价方对照部门的支出项目进行评分。所有项目都能体现效果的，得5分；只有部分项目体现效果的，酌情扣分。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94"/>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公平性</w:t>
            </w:r>
          </w:p>
        </w:tc>
        <w:tc>
          <w:tcPr>
            <w:tcW w:w="571" w:type="dxa"/>
            <w:vMerge w:val="restart"/>
          </w:tcPr>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rPr>
                <w:rFonts w:asciiTheme="minorEastAsia" w:hAnsiTheme="minorEastAsia" w:eastAsiaTheme="minorEastAsia"/>
                <w:color w:val="000000" w:themeColor="text1"/>
                <w:kern w:val="2"/>
                <w:sz w:val="14"/>
                <w:szCs w:val="14"/>
              </w:rPr>
            </w:pPr>
          </w:p>
          <w:p>
            <w:pPr>
              <w:pStyle w:val="11"/>
              <w:spacing w:before="94"/>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1"/>
              <w:spacing w:before="102"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群众信访办理情况</w:t>
            </w:r>
          </w:p>
        </w:tc>
        <w:tc>
          <w:tcPr>
            <w:tcW w:w="614" w:type="dxa"/>
          </w:tcPr>
          <w:p>
            <w:pPr>
              <w:pStyle w:val="11"/>
              <w:rPr>
                <w:rFonts w:asciiTheme="minorEastAsia" w:hAnsiTheme="minorEastAsia" w:eastAsiaTheme="minorEastAsia"/>
                <w:color w:val="000000" w:themeColor="text1"/>
                <w:kern w:val="2"/>
                <w:sz w:val="14"/>
                <w:szCs w:val="14"/>
              </w:rPr>
            </w:pPr>
          </w:p>
          <w:p>
            <w:pPr>
              <w:pStyle w:val="1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1"/>
              <w:spacing w:before="102"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1"/>
              <w:spacing w:before="102"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1"/>
              <w:spacing w:before="102"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部门（单位）对群众信访意见的完成情况及及时性，反映部门（单位）对服务群众的重视程度。</w:t>
            </w:r>
          </w:p>
        </w:tc>
        <w:tc>
          <w:tcPr>
            <w:tcW w:w="5742" w:type="dxa"/>
          </w:tcPr>
          <w:p>
            <w:pPr>
              <w:pStyle w:val="11"/>
              <w:numPr>
                <w:ilvl w:val="0"/>
                <w:numId w:val="3"/>
              </w:numPr>
              <w:tabs>
                <w:tab w:val="left" w:pos="389"/>
              </w:tabs>
              <w:spacing w:before="24"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设置了便利的群众意见反映渠道和群众意见办理回复机制的，得1分；</w:t>
            </w:r>
          </w:p>
          <w:p>
            <w:pPr>
              <w:pStyle w:val="11"/>
              <w:numPr>
                <w:ilvl w:val="0"/>
                <w:numId w:val="3"/>
              </w:numPr>
              <w:tabs>
                <w:tab w:val="left" w:pos="389"/>
              </w:tabs>
              <w:spacing w:line="149"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当年度所有群众信访意见均有回复，得1分，否则按比例扣分。</w:t>
            </w:r>
          </w:p>
          <w:p>
            <w:pPr>
              <w:pStyle w:val="11"/>
              <w:numPr>
                <w:ilvl w:val="0"/>
                <w:numId w:val="3"/>
              </w:numPr>
              <w:tabs>
                <w:tab w:val="left" w:pos="389"/>
              </w:tabs>
              <w:spacing w:line="140"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回复意见均在规定时限内的，得1分，否则按比例扣分。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9" w:type="dxa"/>
            <w:vMerge w:val="continue"/>
            <w:tcBorders>
              <w:top w:val="nil"/>
              <w:bottom w:val="single" w:color="auto" w:sz="4" w:space="0"/>
            </w:tcBorders>
          </w:tcPr>
          <w:p>
            <w:pPr>
              <w:rPr>
                <w:color w:val="000000" w:themeColor="text1"/>
                <w:kern w:val="2"/>
                <w:sz w:val="15"/>
                <w:szCs w:val="15"/>
              </w:rPr>
            </w:pPr>
          </w:p>
        </w:tc>
        <w:tc>
          <w:tcPr>
            <w:tcW w:w="553" w:type="dxa"/>
            <w:vMerge w:val="continue"/>
            <w:tcBorders>
              <w:top w:val="nil"/>
              <w:bottom w:val="single" w:color="auto" w:sz="4" w:space="0"/>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1"/>
              <w:spacing w:before="4"/>
              <w:jc w:val="center"/>
              <w:rPr>
                <w:rFonts w:asciiTheme="minorEastAsia" w:hAnsiTheme="minorEastAsia" w:eastAsiaTheme="minorEastAsia"/>
                <w:color w:val="000000" w:themeColor="text1"/>
                <w:kern w:val="2"/>
                <w:sz w:val="14"/>
                <w:szCs w:val="14"/>
              </w:rPr>
            </w:pPr>
          </w:p>
          <w:p>
            <w:pPr>
              <w:pStyle w:val="11"/>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公众或服务对象满意度</w:t>
            </w:r>
          </w:p>
        </w:tc>
        <w:tc>
          <w:tcPr>
            <w:tcW w:w="614" w:type="dxa"/>
          </w:tcPr>
          <w:p>
            <w:pPr>
              <w:pStyle w:val="11"/>
              <w:rPr>
                <w:rFonts w:asciiTheme="minorEastAsia" w:hAnsiTheme="minorEastAsia" w:eastAsiaTheme="minorEastAsia"/>
                <w:color w:val="000000" w:themeColor="text1"/>
                <w:kern w:val="2"/>
                <w:sz w:val="14"/>
                <w:szCs w:val="14"/>
              </w:rPr>
            </w:pPr>
          </w:p>
          <w:p>
            <w:pPr>
              <w:pStyle w:val="11"/>
              <w:spacing w:before="5"/>
              <w:rPr>
                <w:rFonts w:asciiTheme="minorEastAsia" w:hAnsiTheme="minorEastAsia" w:eastAsiaTheme="minorEastAsia"/>
                <w:color w:val="000000" w:themeColor="text1"/>
                <w:kern w:val="2"/>
                <w:sz w:val="14"/>
                <w:szCs w:val="14"/>
              </w:rPr>
            </w:pPr>
          </w:p>
          <w:p>
            <w:pPr>
              <w:pStyle w:val="11"/>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1"/>
              <w:spacing w:before="4"/>
              <w:jc w:val="center"/>
              <w:rPr>
                <w:rFonts w:hint="eastAsia" w:asciiTheme="minorEastAsia" w:hAnsiTheme="minorEastAsia" w:eastAsiaTheme="minorEastAsia"/>
                <w:color w:val="000000" w:themeColor="text1"/>
                <w:kern w:val="2"/>
                <w:sz w:val="14"/>
                <w:szCs w:val="14"/>
                <w:lang w:val="en-US" w:eastAsia="zh-CN"/>
              </w:rPr>
            </w:pPr>
          </w:p>
          <w:p>
            <w:pPr>
              <w:pStyle w:val="11"/>
              <w:spacing w:before="4"/>
              <w:jc w:val="center"/>
              <w:rPr>
                <w:rFonts w:hint="eastAsia" w:asciiTheme="minorEastAsia" w:hAnsiTheme="minorEastAsia" w:eastAsiaTheme="minorEastAsia"/>
                <w:color w:val="000000" w:themeColor="text1"/>
                <w:kern w:val="2"/>
                <w:sz w:val="14"/>
                <w:szCs w:val="14"/>
                <w:lang w:val="en-US" w:eastAsia="zh-CN"/>
              </w:rPr>
            </w:pPr>
          </w:p>
          <w:p>
            <w:pPr>
              <w:pStyle w:val="11"/>
              <w:spacing w:before="4"/>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1"/>
              <w:spacing w:before="4"/>
              <w:rPr>
                <w:rFonts w:asciiTheme="minorEastAsia" w:hAnsiTheme="minorEastAsia" w:eastAsiaTheme="minorEastAsia"/>
                <w:color w:val="000000" w:themeColor="text1"/>
                <w:kern w:val="2"/>
                <w:sz w:val="14"/>
                <w:szCs w:val="14"/>
              </w:rPr>
            </w:pPr>
          </w:p>
          <w:p>
            <w:pPr>
              <w:pStyle w:val="11"/>
              <w:spacing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反映社会公众或部门（单位）的服务对象对部门履职效果的满意度。</w:t>
            </w:r>
          </w:p>
        </w:tc>
        <w:tc>
          <w:tcPr>
            <w:tcW w:w="5742" w:type="dxa"/>
          </w:tcPr>
          <w:p>
            <w:pPr>
              <w:pStyle w:val="11"/>
              <w:spacing w:before="39" w:line="232" w:lineRule="auto"/>
              <w:ind w:left="24" w:right="108" w:firstLine="242"/>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社会公众或服务对象是指部门（单位）履行职责而影响到的部门、群体或个人，一般采取社会调查的方式。如难以单独开展满意度调查的，可参考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统计部门的数据、年度</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直民主评议政风行风评价结果等数据，或者参考群众信访反馈的普遍性问题、本部门或权威第三方机构的开展满意度调查等进行合理的评分。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336" w:type="dxa"/>
            <w:gridSpan w:val="4"/>
            <w:tcBorders>
              <w:top w:val="single" w:color="auto" w:sz="4" w:space="0"/>
              <w:bottom w:val="single" w:color="auto" w:sz="4" w:space="0"/>
            </w:tcBorders>
            <w:vAlign w:val="center"/>
          </w:tcPr>
          <w:p>
            <w:pPr>
              <w:pStyle w:val="11"/>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加减分项</w:t>
            </w:r>
          </w:p>
        </w:tc>
        <w:tc>
          <w:tcPr>
            <w:tcW w:w="644" w:type="dxa"/>
          </w:tcPr>
          <w:p>
            <w:pPr>
              <w:pStyle w:val="11"/>
              <w:spacing w:before="2"/>
              <w:jc w:val="center"/>
              <w:rPr>
                <w:rFonts w:asciiTheme="minorEastAsia" w:hAnsiTheme="minorEastAsia" w:eastAsiaTheme="minorEastAsia"/>
                <w:color w:val="000000" w:themeColor="text1"/>
                <w:kern w:val="2"/>
                <w:sz w:val="14"/>
                <w:szCs w:val="14"/>
              </w:rPr>
            </w:pPr>
          </w:p>
          <w:p>
            <w:pPr>
              <w:pStyle w:val="11"/>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工作表现加减分指标</w:t>
            </w:r>
          </w:p>
        </w:tc>
        <w:tc>
          <w:tcPr>
            <w:tcW w:w="614" w:type="dxa"/>
          </w:tcPr>
          <w:p>
            <w:pPr>
              <w:pStyle w:val="11"/>
              <w:rPr>
                <w:rFonts w:asciiTheme="minorEastAsia" w:hAnsiTheme="minorEastAsia" w:eastAsiaTheme="minorEastAsia"/>
                <w:color w:val="000000" w:themeColor="text1"/>
                <w:kern w:val="2"/>
                <w:sz w:val="14"/>
                <w:szCs w:val="14"/>
              </w:rPr>
            </w:pPr>
          </w:p>
        </w:tc>
        <w:tc>
          <w:tcPr>
            <w:tcW w:w="801" w:type="dxa"/>
          </w:tcPr>
          <w:p>
            <w:pPr>
              <w:pStyle w:val="11"/>
              <w:rPr>
                <w:rFonts w:asciiTheme="minorEastAsia" w:hAnsiTheme="minorEastAsia" w:eastAsiaTheme="minorEastAsia"/>
                <w:color w:val="000000" w:themeColor="text1"/>
                <w:kern w:val="2"/>
                <w:sz w:val="14"/>
                <w:szCs w:val="14"/>
              </w:rPr>
            </w:pPr>
          </w:p>
        </w:tc>
        <w:tc>
          <w:tcPr>
            <w:tcW w:w="2364" w:type="dxa"/>
            <w:vAlign w:val="center"/>
          </w:tcPr>
          <w:p>
            <w:pPr>
              <w:pStyle w:val="11"/>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反映部门工作受到表彰或批评问责的情况。</w:t>
            </w:r>
          </w:p>
        </w:tc>
        <w:tc>
          <w:tcPr>
            <w:tcW w:w="5742" w:type="dxa"/>
          </w:tcPr>
          <w:p>
            <w:pPr>
              <w:pStyle w:val="11"/>
              <w:numPr>
                <w:ilvl w:val="0"/>
                <w:numId w:val="4"/>
              </w:numPr>
              <w:tabs>
                <w:tab w:val="left" w:pos="147"/>
              </w:tabs>
              <w:spacing w:before="49" w:line="232" w:lineRule="auto"/>
              <w:ind w:right="46"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加分项：工作获得中央</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省委省政府</w:t>
            </w:r>
            <w:r>
              <w:rPr>
                <w:rFonts w:hint="eastAsia" w:asciiTheme="minorEastAsia" w:hAnsiTheme="minorEastAsia" w:eastAsiaTheme="minorEastAsia"/>
                <w:color w:val="000000" w:themeColor="text1"/>
                <w:kern w:val="2"/>
                <w:sz w:val="14"/>
                <w:szCs w:val="14"/>
              </w:rPr>
              <w:t>、</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政府表彰的，表彰一次加1分，同一项工作获得多次表彰的，按一次计算，累计加分最多3分，加分后总分不能超过100分；</w:t>
            </w:r>
          </w:p>
          <w:p>
            <w:pPr>
              <w:pStyle w:val="11"/>
              <w:numPr>
                <w:ilvl w:val="0"/>
                <w:numId w:val="4"/>
              </w:numPr>
              <w:tabs>
                <w:tab w:val="left" w:pos="147"/>
              </w:tabs>
              <w:spacing w:line="232" w:lineRule="auto"/>
              <w:ind w:right="48"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减分项：在国务院大督</w:t>
            </w:r>
            <w:r>
              <w:rPr>
                <w:rFonts w:hint="eastAsia" w:asciiTheme="minorEastAsia" w:hAnsiTheme="minorEastAsia" w:eastAsiaTheme="minorEastAsia"/>
                <w:color w:val="000000" w:themeColor="text1"/>
                <w:kern w:val="2"/>
                <w:sz w:val="14"/>
                <w:szCs w:val="14"/>
                <w:lang w:eastAsia="zh-CN"/>
              </w:rPr>
              <w:t>查</w:t>
            </w:r>
            <w:r>
              <w:rPr>
                <w:rFonts w:asciiTheme="minorEastAsia" w:hAnsiTheme="minorEastAsia" w:eastAsiaTheme="minorEastAsia"/>
                <w:color w:val="000000" w:themeColor="text1"/>
                <w:kern w:val="2"/>
                <w:sz w:val="14"/>
                <w:szCs w:val="14"/>
              </w:rPr>
              <w:t>或人大审计、监察等监督检查时发现问题并被问责的，问责一次扣2分，同一个问题被问责多次的，按一次计算，累计减分最多6分，减分后总分不能低于0分。</w:t>
            </w:r>
          </w:p>
        </w:tc>
        <w:tc>
          <w:tcPr>
            <w:tcW w:w="1448" w:type="dxa"/>
          </w:tcPr>
          <w:p>
            <w:pPr>
              <w:pStyle w:val="11"/>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94" w:type="dxa"/>
            <w:gridSpan w:val="6"/>
            <w:tcBorders>
              <w:top w:val="single" w:color="auto" w:sz="4" w:space="0"/>
            </w:tcBorders>
            <w:vAlign w:val="center"/>
          </w:tcPr>
          <w:p>
            <w:pPr>
              <w:pStyle w:val="11"/>
              <w:jc w:val="center"/>
              <w:rPr>
                <w:rFonts w:ascii="黑体" w:hAnsi="黑体" w:eastAsia="黑体"/>
                <w:color w:val="000000" w:themeColor="text1"/>
                <w:kern w:val="2"/>
                <w:sz w:val="21"/>
                <w:szCs w:val="21"/>
              </w:rPr>
            </w:pPr>
            <w:r>
              <w:rPr>
                <w:rFonts w:ascii="黑体" w:hAnsi="黑体" w:eastAsia="黑体"/>
                <w:color w:val="000000" w:themeColor="text1"/>
                <w:kern w:val="2"/>
                <w:sz w:val="21"/>
                <w:szCs w:val="21"/>
              </w:rPr>
              <w:t>总分</w:t>
            </w:r>
          </w:p>
        </w:tc>
        <w:tc>
          <w:tcPr>
            <w:tcW w:w="801" w:type="dxa"/>
          </w:tcPr>
          <w:p>
            <w:pPr>
              <w:pStyle w:val="11"/>
              <w:rPr>
                <w:rFonts w:hint="default"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99</w:t>
            </w:r>
          </w:p>
        </w:tc>
        <w:tc>
          <w:tcPr>
            <w:tcW w:w="9554" w:type="dxa"/>
            <w:gridSpan w:val="3"/>
            <w:vAlign w:val="center"/>
          </w:tcPr>
          <w:p>
            <w:pPr>
              <w:pStyle w:val="11"/>
              <w:rPr>
                <w:rFonts w:ascii="Times New Roman"/>
                <w:color w:val="000000" w:themeColor="text1"/>
                <w:kern w:val="2"/>
                <w:sz w:val="15"/>
                <w:szCs w:val="15"/>
              </w:rPr>
            </w:pPr>
          </w:p>
        </w:tc>
      </w:tr>
      <w:bookmarkEnd w:id="0"/>
      <w:bookmarkEnd w:id="1"/>
    </w:tbl>
    <w:p>
      <w:pPr>
        <w:rPr>
          <w:color w:val="000000" w:themeColor="text1"/>
          <w:kern w:val="2"/>
          <w:sz w:val="32"/>
          <w:szCs w:val="32"/>
        </w:rPr>
      </w:pPr>
    </w:p>
    <w:p>
      <w:pPr>
        <w:rPr>
          <w:color w:val="000000" w:themeColor="text1"/>
          <w:kern w:val="2"/>
          <w:sz w:val="24"/>
          <w:szCs w:val="24"/>
        </w:rPr>
      </w:pPr>
      <w:r>
        <w:rPr>
          <w:rFonts w:hint="eastAsia"/>
          <w:color w:val="000000" w:themeColor="text1"/>
          <w:kern w:val="2"/>
          <w:sz w:val="24"/>
          <w:szCs w:val="24"/>
        </w:rPr>
        <w:t>注意事项：</w:t>
      </w:r>
    </w:p>
    <w:p>
      <w:pPr>
        <w:ind w:firstLine="480" w:firstLineChars="200"/>
        <w:rPr>
          <w:color w:val="000000" w:themeColor="text1"/>
          <w:kern w:val="2"/>
          <w:sz w:val="24"/>
          <w:szCs w:val="24"/>
        </w:rPr>
      </w:pPr>
      <w:r>
        <w:rPr>
          <w:rFonts w:hint="eastAsia"/>
          <w:color w:val="000000" w:themeColor="text1"/>
          <w:kern w:val="2"/>
          <w:sz w:val="24"/>
          <w:szCs w:val="24"/>
        </w:rPr>
        <w:t>1.请各部门（单位）根据每项分值结合本部门（单位实际）打分，并计算出总分值。</w:t>
      </w:r>
    </w:p>
    <w:p>
      <w:pPr>
        <w:ind w:firstLine="480" w:firstLineChars="200"/>
        <w:rPr>
          <w:color w:val="000000" w:themeColor="text1"/>
          <w:kern w:val="2"/>
          <w:sz w:val="24"/>
          <w:szCs w:val="24"/>
        </w:rPr>
      </w:pPr>
      <w:r>
        <w:rPr>
          <w:rFonts w:hint="eastAsia"/>
          <w:color w:val="000000" w:themeColor="text1"/>
          <w:kern w:val="2"/>
          <w:sz w:val="24"/>
          <w:szCs w:val="24"/>
        </w:rPr>
        <w:t>2.请在备注栏中列明佐证资料的文件名和文件号等。</w:t>
      </w:r>
      <w:bookmarkStart w:id="2" w:name="_GoBack"/>
      <w:bookmarkEnd w:id="2"/>
    </w:p>
    <w:sectPr>
      <w:headerReference r:id="rId5" w:type="default"/>
      <w:footerReference r:id="rId6" w:type="default"/>
      <w:footerReference r:id="rId7" w:type="even"/>
      <w:pgSz w:w="16840" w:h="11900" w:orient="landscape"/>
      <w:pgMar w:top="1134" w:right="1418" w:bottom="1134"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1594"/>
      <w:docPartObj>
        <w:docPartGallery w:val="autotext"/>
      </w:docPartObj>
    </w:sdtPr>
    <w:sdtEndPr>
      <w:rPr>
        <w:sz w:val="28"/>
        <w:szCs w:val="28"/>
      </w:rPr>
    </w:sdtEndPr>
    <w:sdtContent>
      <w:p>
        <w:pPr>
          <w:pStyle w:val="5"/>
          <w:ind w:right="140"/>
          <w:jc w:val="right"/>
          <w:rPr>
            <w:sz w:val="28"/>
            <w:szCs w:val="28"/>
          </w:rPr>
        </w:pPr>
      </w:p>
    </w:sdtContent>
  </w:sdt>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abstractNum w:abstractNumId="1">
    <w:nsid w:val="DCBA6B53"/>
    <w:multiLevelType w:val="multilevel"/>
    <w:tmpl w:val="DCBA6B53"/>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2">
    <w:nsid w:val="F4B5D9F5"/>
    <w:multiLevelType w:val="multilevel"/>
    <w:tmpl w:val="F4B5D9F5"/>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Yzc0OWRiYjVkM2I0YTg4N2IyMDBiMGIwYjY3YjI2ZmIifQ=="/>
  </w:docVars>
  <w:rsids>
    <w:rsidRoot w:val="00103EE3"/>
    <w:rsid w:val="0003189A"/>
    <w:rsid w:val="00037D3B"/>
    <w:rsid w:val="00063634"/>
    <w:rsid w:val="00075144"/>
    <w:rsid w:val="0008066E"/>
    <w:rsid w:val="000869FC"/>
    <w:rsid w:val="000C3967"/>
    <w:rsid w:val="000E5885"/>
    <w:rsid w:val="000F3202"/>
    <w:rsid w:val="00103EE3"/>
    <w:rsid w:val="00124D18"/>
    <w:rsid w:val="001322E6"/>
    <w:rsid w:val="0017085B"/>
    <w:rsid w:val="001722B8"/>
    <w:rsid w:val="001840C9"/>
    <w:rsid w:val="001B06EF"/>
    <w:rsid w:val="001E0AD6"/>
    <w:rsid w:val="00224738"/>
    <w:rsid w:val="00285801"/>
    <w:rsid w:val="00296C1F"/>
    <w:rsid w:val="002C4B5A"/>
    <w:rsid w:val="00343FE9"/>
    <w:rsid w:val="00383489"/>
    <w:rsid w:val="003E049B"/>
    <w:rsid w:val="00412986"/>
    <w:rsid w:val="00475773"/>
    <w:rsid w:val="004A27CC"/>
    <w:rsid w:val="004B33A8"/>
    <w:rsid w:val="004C2089"/>
    <w:rsid w:val="004D0C7A"/>
    <w:rsid w:val="00541041"/>
    <w:rsid w:val="005B4034"/>
    <w:rsid w:val="005F2887"/>
    <w:rsid w:val="006119E9"/>
    <w:rsid w:val="00653A88"/>
    <w:rsid w:val="0069598C"/>
    <w:rsid w:val="006B08D5"/>
    <w:rsid w:val="006C303D"/>
    <w:rsid w:val="006E6AC5"/>
    <w:rsid w:val="006F0106"/>
    <w:rsid w:val="00735558"/>
    <w:rsid w:val="00741A2A"/>
    <w:rsid w:val="00772E5D"/>
    <w:rsid w:val="007A723B"/>
    <w:rsid w:val="007B3F08"/>
    <w:rsid w:val="007D799E"/>
    <w:rsid w:val="007E158E"/>
    <w:rsid w:val="007E2E6F"/>
    <w:rsid w:val="007F347B"/>
    <w:rsid w:val="00814646"/>
    <w:rsid w:val="00814DFB"/>
    <w:rsid w:val="0082658E"/>
    <w:rsid w:val="00831DEC"/>
    <w:rsid w:val="0084798C"/>
    <w:rsid w:val="00894CFC"/>
    <w:rsid w:val="008B48F8"/>
    <w:rsid w:val="008D6071"/>
    <w:rsid w:val="008E5690"/>
    <w:rsid w:val="008F5BDC"/>
    <w:rsid w:val="00920087"/>
    <w:rsid w:val="00933C18"/>
    <w:rsid w:val="00954FF5"/>
    <w:rsid w:val="00956F2A"/>
    <w:rsid w:val="00981CB5"/>
    <w:rsid w:val="009B6210"/>
    <w:rsid w:val="009B6DC1"/>
    <w:rsid w:val="009D73D3"/>
    <w:rsid w:val="00A14F61"/>
    <w:rsid w:val="00A23862"/>
    <w:rsid w:val="00A270C7"/>
    <w:rsid w:val="00A44103"/>
    <w:rsid w:val="00A844BF"/>
    <w:rsid w:val="00AA0964"/>
    <w:rsid w:val="00AA4841"/>
    <w:rsid w:val="00AB7BCD"/>
    <w:rsid w:val="00AC1AC0"/>
    <w:rsid w:val="00B0293C"/>
    <w:rsid w:val="00B030FA"/>
    <w:rsid w:val="00B047EC"/>
    <w:rsid w:val="00B37BA0"/>
    <w:rsid w:val="00B44B8F"/>
    <w:rsid w:val="00BB414E"/>
    <w:rsid w:val="00BB430E"/>
    <w:rsid w:val="00BB4918"/>
    <w:rsid w:val="00BC0C29"/>
    <w:rsid w:val="00BC5F43"/>
    <w:rsid w:val="00BD5C1E"/>
    <w:rsid w:val="00C03408"/>
    <w:rsid w:val="00C04A2E"/>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43B25"/>
    <w:rsid w:val="00E65481"/>
    <w:rsid w:val="00E77781"/>
    <w:rsid w:val="00E77AEB"/>
    <w:rsid w:val="00EB57A8"/>
    <w:rsid w:val="00ED69FE"/>
    <w:rsid w:val="00F21118"/>
    <w:rsid w:val="00F25093"/>
    <w:rsid w:val="00F97059"/>
    <w:rsid w:val="00FA5475"/>
    <w:rsid w:val="00FB4AD1"/>
    <w:rsid w:val="00FB780F"/>
    <w:rsid w:val="00FF0B78"/>
    <w:rsid w:val="01904637"/>
    <w:rsid w:val="07164885"/>
    <w:rsid w:val="0BF42D55"/>
    <w:rsid w:val="14072972"/>
    <w:rsid w:val="1E724AFE"/>
    <w:rsid w:val="20066F10"/>
    <w:rsid w:val="201A3564"/>
    <w:rsid w:val="220C4DBB"/>
    <w:rsid w:val="264275A9"/>
    <w:rsid w:val="34B00643"/>
    <w:rsid w:val="38552326"/>
    <w:rsid w:val="38A366A9"/>
    <w:rsid w:val="38D341FA"/>
    <w:rsid w:val="3D6C7E69"/>
    <w:rsid w:val="4E9F44FF"/>
    <w:rsid w:val="50D0737A"/>
    <w:rsid w:val="5C927688"/>
    <w:rsid w:val="5F5D27DB"/>
    <w:rsid w:val="618800D3"/>
    <w:rsid w:val="631E7096"/>
    <w:rsid w:val="675E758E"/>
    <w:rsid w:val="771511FD"/>
    <w:rsid w:val="7FD17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ody Text"/>
    <w:basedOn w:val="1"/>
    <w:qFormat/>
    <w:uiPriority w:val="1"/>
    <w:rPr>
      <w:sz w:val="32"/>
      <w:szCs w:val="32"/>
    </w:rPr>
  </w:style>
  <w:style w:type="paragraph" w:styleId="4">
    <w:name w:val="Balloon Text"/>
    <w:basedOn w:val="1"/>
    <w:link w:val="14"/>
    <w:qFormat/>
    <w:uiPriority w:val="0"/>
    <w:rPr>
      <w:sz w:val="18"/>
      <w:szCs w:val="18"/>
    </w:rPr>
  </w:style>
  <w:style w:type="paragraph" w:styleId="5">
    <w:name w:val="footer"/>
    <w:basedOn w:val="1"/>
    <w:link w:val="13"/>
    <w:qFormat/>
    <w:uiPriority w:val="99"/>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06"/>
      <w:ind w:left="2035" w:hanging="324"/>
    </w:pPr>
  </w:style>
  <w:style w:type="paragraph" w:customStyle="1" w:styleId="11">
    <w:name w:val="Table Paragraph"/>
    <w:basedOn w:val="1"/>
    <w:qFormat/>
    <w:uiPriority w:val="1"/>
  </w:style>
  <w:style w:type="character" w:customStyle="1" w:styleId="12">
    <w:name w:val="页眉 Char"/>
    <w:basedOn w:val="8"/>
    <w:link w:val="6"/>
    <w:qFormat/>
    <w:uiPriority w:val="0"/>
    <w:rPr>
      <w:rFonts w:ascii="宋体" w:hAnsi="宋体" w:cs="宋体"/>
      <w:sz w:val="18"/>
      <w:szCs w:val="18"/>
      <w:lang w:val="zh-CN" w:bidi="zh-CN"/>
    </w:rPr>
  </w:style>
  <w:style w:type="character" w:customStyle="1" w:styleId="13">
    <w:name w:val="页脚 Char"/>
    <w:basedOn w:val="8"/>
    <w:link w:val="5"/>
    <w:qFormat/>
    <w:uiPriority w:val="99"/>
    <w:rPr>
      <w:rFonts w:ascii="宋体" w:hAnsi="宋体" w:cs="宋体"/>
      <w:sz w:val="18"/>
      <w:szCs w:val="18"/>
      <w:lang w:val="zh-CN" w:bidi="zh-CN"/>
    </w:rPr>
  </w:style>
  <w:style w:type="character" w:customStyle="1" w:styleId="14">
    <w:name w:val="批注框文本 Char"/>
    <w:basedOn w:val="8"/>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41"/>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5580</Words>
  <Characters>5707</Characters>
  <Lines>45</Lines>
  <Paragraphs>12</Paragraphs>
  <TotalTime>151</TotalTime>
  <ScaleCrop>false</ScaleCrop>
  <LinksUpToDate>false</LinksUpToDate>
  <CharactersWithSpaces>5758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2021-04-25T15:17:00Z</dcterms:created>
  <dc:creator>qqq</dc:creator>
  <cp:lastModifiedBy>greatwall</cp:lastModifiedBy>
  <cp:lastPrinted>2023-04-25T16:07:00Z</cp:lastPrinted>
  <dcterms:modified xsi:type="dcterms:W3CDTF">2023-06-08T16:21:16Z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2052-11.8.2.11625</vt:lpwstr>
  </property>
  <property fmtid="{D5CDD505-2E9C-101B-9397-08002B2CF9AE}" pid="6" name="ICV">
    <vt:lpwstr>47FFF05F442D4AA2912DC73F56E96113</vt:lpwstr>
  </property>
</Properties>
</file>