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仿宋_GB2312" w:eastAsia="黑体"/>
          <w:sz w:val="32"/>
          <w:szCs w:val="32"/>
          <w:lang w:val="en-US" w:eastAsia="zh-CN"/>
        </w:rPr>
      </w:pPr>
      <w:bookmarkStart w:id="20" w:name="_GoBack"/>
      <w:bookmarkEnd w:id="20"/>
      <w:r>
        <w:rPr>
          <w:rFonts w:hint="eastAsia" w:ascii="黑体" w:hAnsi="黑体" w:eastAsia="黑体" w:cs="黑体"/>
          <w:sz w:val="32"/>
          <w:szCs w:val="32"/>
        </w:rPr>
        <w:t>附件3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.1</w:t>
      </w:r>
    </w:p>
    <w:p>
      <w:pPr>
        <w:spacing w:line="360" w:lineRule="auto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项目绩效自评报告</w:t>
      </w:r>
    </w:p>
    <w:p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ind w:firstLine="450" w:firstLineChars="150"/>
        <w:rPr>
          <w:rFonts w:hint="default" w:ascii="Times New Roman" w:hAnsi="Times New Roman" w:eastAsia="方正仿宋简体" w:cs="Times New Roman"/>
          <w:sz w:val="30"/>
          <w:szCs w:val="30"/>
        </w:rPr>
      </w:pPr>
    </w:p>
    <w:p>
      <w:pPr>
        <w:snapToGrid w:val="0"/>
        <w:spacing w:line="360" w:lineRule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项目名称：2023年梅州市企业技术改造（五华县）</w:t>
      </w:r>
    </w:p>
    <w:p>
      <w:pPr>
        <w:snapToGrid w:val="0"/>
        <w:spacing w:line="360" w:lineRule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项目主管部门：（公章）五华县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科工商务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局</w:t>
      </w:r>
    </w:p>
    <w:p>
      <w:pPr>
        <w:snapToGrid w:val="0"/>
        <w:spacing w:line="360" w:lineRule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填报人姓名：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李胜民</w:t>
      </w:r>
    </w:p>
    <w:p>
      <w:pPr>
        <w:snapToGrid w:val="0"/>
        <w:spacing w:line="360" w:lineRule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联系电话：0753-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4423101</w:t>
      </w:r>
    </w:p>
    <w:p>
      <w:pPr>
        <w:snapToGrid w:val="0"/>
        <w:spacing w:line="360" w:lineRule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填报日期：2023年4月2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</w:p>
    <w:p>
      <w:pPr>
        <w:snapToGrid w:val="0"/>
        <w:spacing w:line="360" w:lineRule="auto"/>
        <w:rPr>
          <w:rFonts w:ascii="黑体" w:eastAsia="黑体"/>
          <w:sz w:val="32"/>
          <w:szCs w:val="32"/>
        </w:rPr>
      </w:pPr>
    </w:p>
    <w:p>
      <w:pPr>
        <w:snapToGrid w:val="0"/>
        <w:spacing w:line="360" w:lineRule="auto"/>
        <w:rPr>
          <w:rFonts w:ascii="黑体" w:eastAsia="黑体"/>
          <w:sz w:val="32"/>
          <w:szCs w:val="32"/>
        </w:rPr>
      </w:pPr>
    </w:p>
    <w:p>
      <w:pPr>
        <w:snapToGrid w:val="0"/>
        <w:spacing w:line="360" w:lineRule="auto"/>
        <w:rPr>
          <w:rFonts w:ascii="黑体" w:eastAsia="黑体"/>
          <w:sz w:val="32"/>
          <w:szCs w:val="32"/>
        </w:rPr>
      </w:pPr>
    </w:p>
    <w:p>
      <w:pPr>
        <w:snapToGrid w:val="0"/>
        <w:spacing w:line="360" w:lineRule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一、基本情况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（一）项目基本情况。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年度县财政安排我局2023年梅州市企业技术改造（五华县）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专项</w:t>
      </w:r>
      <w:r>
        <w:rPr>
          <w:rFonts w:hint="eastAsia" w:ascii="仿宋_GB2312" w:eastAsia="仿宋_GB2312"/>
          <w:sz w:val="32"/>
          <w:szCs w:val="32"/>
        </w:rPr>
        <w:t>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194.87</w:t>
      </w:r>
      <w:r>
        <w:rPr>
          <w:rFonts w:hint="eastAsia" w:ascii="仿宋_GB2312" w:eastAsia="仿宋_GB2312"/>
          <w:sz w:val="32"/>
          <w:szCs w:val="32"/>
        </w:rPr>
        <w:t>万元，用于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推进工业经济高质量发展，提升战略性产业集群核心竞争力。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ascii="仿宋_GB2312" w:eastAsia="仿宋_GB2312"/>
          <w:sz w:val="32"/>
          <w:szCs w:val="32"/>
        </w:rPr>
        <w:t>项目决策情况。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认真贯彻中央八项规定精神以及国务院"约法三章"、《党政机关厉行节约反对浪费条例》、《广东省党政机关厉行节约反对浪费实施细则》，严格执行会计制度，根据相关专项资金管理办法以及相关财务管理制度等规范各项支出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</w:t>
      </w:r>
      <w:r>
        <w:rPr>
          <w:rFonts w:ascii="仿宋_GB2312" w:eastAsia="仿宋_GB2312"/>
          <w:sz w:val="32"/>
          <w:szCs w:val="32"/>
        </w:rPr>
        <w:t>绩效目标。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支持工业企业实施高端化、智能化和绿色化等技术改造，带动支持工业企业技术改造投资0.45亿元，引导超过14家工业企业开展技术改造，推动全省工业企业设备更新和技术改造投资稳定增长，促进技术改造投资占工业投资的比重平均不低于30%左右，推动工业投资22亿元，进一步推进工业经济高质量发展，提升战略性产业集群核心竞争力。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二、绩效自评工作组织情况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成立了单位负责人为组长，分管领导为副组长，各股室负责人为成员的绩效自评工作领导小组，组织专门人员负责绩效自评工作。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三、绩效自评结论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年，我局按照中央、省、市相关工作要求，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如期发放</w:t>
      </w:r>
      <w:r>
        <w:rPr>
          <w:rFonts w:hint="eastAsia" w:ascii="仿宋_GB2312" w:eastAsia="仿宋_GB2312"/>
          <w:sz w:val="32"/>
          <w:szCs w:val="32"/>
        </w:rPr>
        <w:t>2023年梅州市企业技术改造（五华县）专项经费，项目自评等级为“优”，分数为99.2分。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四、绩效指标分析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决策分析</w:t>
      </w:r>
    </w:p>
    <w:p>
      <w:pPr>
        <w:snapToGrid w:val="0"/>
        <w:spacing w:line="360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1.项目立项情况。</w:t>
      </w:r>
    </w:p>
    <w:p>
      <w:pPr>
        <w:pStyle w:val="9"/>
        <w:tabs>
          <w:tab w:val="left" w:pos="1022"/>
        </w:tabs>
        <w:spacing w:after="440" w:line="240" w:lineRule="auto"/>
        <w:jc w:val="both"/>
        <w:rPr>
          <w:rFonts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（1）</w:t>
      </w:r>
      <w:r>
        <w:rPr>
          <w:rFonts w:hint="eastAsia" w:ascii="仿宋_GB2312" w:eastAsia="仿宋_GB2312"/>
          <w:color w:val="000000"/>
          <w:sz w:val="32"/>
          <w:szCs w:val="32"/>
        </w:rPr>
        <w:t>论证决策。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我局申报项目资金经过集体会议协商。</w:t>
      </w:r>
    </w:p>
    <w:p>
      <w:pPr>
        <w:pStyle w:val="9"/>
        <w:tabs>
          <w:tab w:val="left" w:pos="1022"/>
        </w:tabs>
        <w:spacing w:after="440" w:line="240" w:lineRule="auto"/>
        <w:jc w:val="both"/>
        <w:rPr>
          <w:rFonts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（2）</w:t>
      </w:r>
      <w:r>
        <w:rPr>
          <w:rFonts w:hint="eastAsia" w:ascii="仿宋_GB2312" w:eastAsia="仿宋_GB2312"/>
          <w:color w:val="000000"/>
          <w:sz w:val="32"/>
          <w:szCs w:val="32"/>
        </w:rPr>
        <w:t>目标设置。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项目申报的目标设置完整，包含总目标和阶段性目标，包括预期提供的公共产品或服务的产出数量、质量、成本指标，预期达到的效果性指标；项目申报的目标设置具有相关性，绩效目标与资金或项目属性特点、支出内容相关，体现决策意图，同时合乎客观实际；项目申报的目标设置具有可衡量性，绩效目标设置有数据支撑、有可衡量性的产出和效果指标。</w:t>
      </w:r>
    </w:p>
    <w:p>
      <w:pPr>
        <w:pStyle w:val="9"/>
        <w:tabs>
          <w:tab w:val="left" w:pos="1022"/>
        </w:tabs>
        <w:spacing w:after="440" w:line="240" w:lineRule="auto"/>
        <w:jc w:val="both"/>
        <w:rPr>
          <w:rFonts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（3）</w:t>
      </w:r>
      <w:r>
        <w:rPr>
          <w:rFonts w:hint="eastAsia" w:ascii="仿宋_GB2312" w:eastAsia="仿宋_GB2312"/>
          <w:color w:val="000000"/>
          <w:sz w:val="32"/>
          <w:szCs w:val="32"/>
        </w:rPr>
        <w:t>保障措施。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我局项目实施制度完整，具备条件实施，工作计划安排合理。</w:t>
      </w:r>
    </w:p>
    <w:p>
      <w:pPr>
        <w:pStyle w:val="9"/>
        <w:tabs>
          <w:tab w:val="left" w:pos="1029"/>
        </w:tabs>
        <w:spacing w:after="260" w:line="240" w:lineRule="auto"/>
        <w:ind w:left="0" w:leftChars="0" w:firstLine="643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2.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资金落实情况。</w:t>
      </w:r>
    </w:p>
    <w:p>
      <w:pPr>
        <w:pStyle w:val="9"/>
        <w:tabs>
          <w:tab w:val="left" w:pos="1508"/>
        </w:tabs>
        <w:spacing w:after="260" w:line="240" w:lineRule="auto"/>
        <w:jc w:val="both"/>
        <w:rPr>
          <w:rFonts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（1）</w:t>
      </w:r>
      <w:r>
        <w:rPr>
          <w:rFonts w:hint="eastAsia" w:ascii="仿宋_GB2312" w:eastAsia="仿宋_GB2312"/>
          <w:color w:val="000000"/>
          <w:sz w:val="32"/>
          <w:szCs w:val="32"/>
        </w:rPr>
        <w:t>资金到位。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资金到位率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%，及时到位。</w:t>
      </w:r>
    </w:p>
    <w:p>
      <w:pPr>
        <w:pStyle w:val="9"/>
        <w:tabs>
          <w:tab w:val="left" w:pos="1508"/>
        </w:tabs>
        <w:spacing w:after="260" w:line="240" w:lineRule="auto"/>
        <w:jc w:val="both"/>
        <w:rPr>
          <w:rFonts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（2）</w:t>
      </w:r>
      <w:r>
        <w:rPr>
          <w:rFonts w:hint="eastAsia" w:ascii="仿宋_GB2312" w:eastAsia="仿宋_GB2312"/>
          <w:color w:val="000000"/>
          <w:sz w:val="32"/>
          <w:szCs w:val="32"/>
        </w:rPr>
        <w:t>资金分配。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我局项目资金分配合理，有助于实现资金的绩效目标。</w:t>
      </w:r>
    </w:p>
    <w:p>
      <w:pPr>
        <w:pStyle w:val="9"/>
        <w:tabs>
          <w:tab w:val="left" w:pos="1612"/>
        </w:tabs>
        <w:spacing w:after="260" w:line="240" w:lineRule="auto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（二）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管理分析</w:t>
      </w:r>
    </w:p>
    <w:p>
      <w:pPr>
        <w:pStyle w:val="9"/>
        <w:spacing w:after="260" w:line="240" w:lineRule="auto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1.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资金管理。</w:t>
      </w:r>
    </w:p>
    <w:p>
      <w:pPr>
        <w:pStyle w:val="9"/>
        <w:spacing w:after="260" w:line="240" w:lineRule="auto"/>
        <w:jc w:val="both"/>
        <w:rPr>
          <w:rFonts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（1）</w:t>
      </w:r>
      <w:r>
        <w:rPr>
          <w:rFonts w:hint="eastAsia" w:ascii="仿宋_GB2312" w:eastAsia="仿宋_GB2312"/>
          <w:color w:val="000000"/>
          <w:sz w:val="32"/>
          <w:szCs w:val="32"/>
        </w:rPr>
        <w:t>资金支付。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项目资金支出率为100 %。</w:t>
      </w:r>
    </w:p>
    <w:p>
      <w:pPr>
        <w:pStyle w:val="9"/>
        <w:spacing w:after="260" w:line="240" w:lineRule="auto"/>
        <w:jc w:val="both"/>
        <w:rPr>
          <w:rFonts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（2）</w:t>
      </w:r>
      <w:r>
        <w:rPr>
          <w:rFonts w:hint="eastAsia" w:ascii="仿宋_GB2312" w:eastAsia="仿宋_GB2312"/>
          <w:color w:val="000000"/>
          <w:sz w:val="32"/>
          <w:szCs w:val="32"/>
        </w:rPr>
        <w:t>支出规范性。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我局项目资金预算执行规范，且按事项完成进度支付资金；事项支出合规，资金管理、费用标准、支付符合有关制度规定；会计核算规范，严格执行会计核算制度。</w:t>
      </w:r>
    </w:p>
    <w:p>
      <w:pPr>
        <w:pStyle w:val="9"/>
        <w:spacing w:line="623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2.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事项管理。</w:t>
      </w:r>
    </w:p>
    <w:p>
      <w:pPr>
        <w:pStyle w:val="9"/>
        <w:tabs>
          <w:tab w:val="left" w:pos="1503"/>
        </w:tabs>
        <w:spacing w:after="240" w:line="623" w:lineRule="exact"/>
        <w:rPr>
          <w:rFonts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（1）</w:t>
      </w:r>
      <w:r>
        <w:rPr>
          <w:rFonts w:hint="eastAsia" w:ascii="仿宋_GB2312" w:eastAsia="仿宋_GB2312"/>
          <w:color w:val="000000"/>
          <w:sz w:val="32"/>
          <w:szCs w:val="32"/>
        </w:rPr>
        <w:t>实施程序。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我局项目按规定程序实施,项目招投标、建设、验收等或方案实施严格执行相关制度规定。</w:t>
      </w:r>
    </w:p>
    <w:p>
      <w:pPr>
        <w:pStyle w:val="9"/>
        <w:tabs>
          <w:tab w:val="left" w:pos="1503"/>
        </w:tabs>
        <w:spacing w:after="180" w:line="240" w:lineRule="auto"/>
        <w:rPr>
          <w:rFonts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（2）</w:t>
      </w:r>
      <w:r>
        <w:rPr>
          <w:rFonts w:hint="eastAsia" w:ascii="仿宋_GB2312" w:eastAsia="仿宋_GB2312"/>
          <w:color w:val="000000"/>
          <w:sz w:val="32"/>
          <w:szCs w:val="32"/>
        </w:rPr>
        <w:t>管理情况。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我局建立了有效的管理机制，专项资金独立核算；项目经费按规定用途合理、规范使用；严格执行单位主要领导、分管领导分级审批制度，支出记录完整规范，凭证合格有效。</w:t>
      </w:r>
    </w:p>
    <w:p>
      <w:pPr>
        <w:pStyle w:val="9"/>
        <w:tabs>
          <w:tab w:val="left" w:pos="1612"/>
        </w:tabs>
        <w:spacing w:after="120" w:line="240" w:lineRule="auto"/>
        <w:ind w:left="0" w:leftChars="0"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（三）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产出分析</w:t>
      </w:r>
    </w:p>
    <w:p>
      <w:pPr>
        <w:pStyle w:val="9"/>
        <w:tabs>
          <w:tab w:val="left" w:pos="982"/>
        </w:tabs>
        <w:spacing w:after="240" w:line="623" w:lineRule="exact"/>
        <w:ind w:left="0" w:leftChars="0" w:firstLine="640" w:firstLineChars="200"/>
        <w:jc w:val="both"/>
        <w:rPr>
          <w:rFonts w:ascii="仿宋_GB2312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1.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经济性。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我局的项目资金实际支出未超过预算计划；与同类项目或市场价格比较，项目实施的成本（包括工程造价、物品采购单价、人员经费等）属于合理范围。</w:t>
      </w:r>
    </w:p>
    <w:p>
      <w:pPr>
        <w:pStyle w:val="9"/>
        <w:tabs>
          <w:tab w:val="left" w:pos="989"/>
        </w:tabs>
        <w:spacing w:after="180" w:line="240" w:lineRule="auto"/>
        <w:ind w:left="0" w:leftChars="0" w:firstLine="640" w:firstLineChars="200"/>
        <w:jc w:val="both"/>
        <w:rPr>
          <w:rFonts w:ascii="仿宋_GB2312" w:eastAsia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2.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效率性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圆满完成了年初制定的工作目标。</w:t>
      </w:r>
    </w:p>
    <w:p>
      <w:pPr>
        <w:pStyle w:val="9"/>
        <w:tabs>
          <w:tab w:val="left" w:pos="1612"/>
        </w:tabs>
        <w:spacing w:after="120" w:line="24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（四）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效益实现度分析</w:t>
      </w:r>
    </w:p>
    <w:p>
      <w:pPr>
        <w:pStyle w:val="9"/>
        <w:spacing w:line="623" w:lineRule="exact"/>
        <w:ind w:left="0" w:leftChars="0" w:firstLine="643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1.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效果性。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支持工业企业实施高端化、智能化和绿色化等技术改造，带动支持工业企业技术改造投资0.45亿元，引导超过14家工业企业开展技术改造，推动全省工业企业设备更新和技术改造投资稳定增长，促进技术改造投资占工业投资的比重平均不低于30%左右，推动工业投资22亿元，进一步推进工业经济高质量发展，提升战略性产业集群核心竞争力。</w:t>
      </w:r>
    </w:p>
    <w:p>
      <w:pPr>
        <w:snapToGrid w:val="0"/>
        <w:spacing w:line="360" w:lineRule="auto"/>
        <w:ind w:firstLine="643" w:firstLineChars="200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bidi="en-US"/>
        </w:rPr>
        <w:t>2.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公平性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服务对象满意度为9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五、主要绩效。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支持工业企业实施高端化、智能化和绿色化等技术改造，带动支持工业企业技术改造投资0.45亿元，引导超过14家工业企业开展技术改造，推动全省工业企业设备更新和技术改造投资稳定增长，促进技术改造投资占工业投资的比重平均不低于30%左右，推动工业投资22亿元，进一步推进工业经济高质量发展，提升战略性产业集群核心竞争力。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六、存在问题。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在设定绩效目标时，大部分把年度工作计划或总结的重点内容直接用来作为绩效目标，指标设定不够科学、依据不够充分。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七、下一步工作计划。</w:t>
      </w:r>
      <w:bookmarkStart w:id="0" w:name="bookmark123"/>
      <w:bookmarkEnd w:id="0"/>
      <w:bookmarkStart w:id="1" w:name="bookmark114"/>
      <w:bookmarkEnd w:id="1"/>
      <w:bookmarkStart w:id="2" w:name="bookmark106"/>
      <w:bookmarkEnd w:id="2"/>
      <w:bookmarkStart w:id="3" w:name="bookmark122"/>
      <w:bookmarkEnd w:id="3"/>
      <w:bookmarkStart w:id="4" w:name="bookmark112"/>
      <w:bookmarkEnd w:id="4"/>
      <w:bookmarkStart w:id="5" w:name="bookmark125"/>
      <w:bookmarkEnd w:id="5"/>
      <w:bookmarkStart w:id="6" w:name="bookmark127"/>
      <w:bookmarkEnd w:id="6"/>
      <w:bookmarkStart w:id="7" w:name="bookmark126"/>
      <w:bookmarkEnd w:id="7"/>
      <w:bookmarkStart w:id="8" w:name="bookmark116"/>
      <w:bookmarkEnd w:id="8"/>
      <w:bookmarkStart w:id="9" w:name="bookmark118"/>
      <w:bookmarkEnd w:id="9"/>
      <w:bookmarkStart w:id="10" w:name="bookmark120"/>
      <w:bookmarkEnd w:id="10"/>
      <w:bookmarkStart w:id="11" w:name="bookmark107"/>
      <w:bookmarkEnd w:id="11"/>
      <w:bookmarkStart w:id="12" w:name="bookmark119"/>
      <w:bookmarkEnd w:id="12"/>
      <w:bookmarkStart w:id="13" w:name="bookmark117"/>
      <w:bookmarkEnd w:id="13"/>
      <w:bookmarkStart w:id="14" w:name="bookmark115"/>
      <w:bookmarkEnd w:id="14"/>
      <w:bookmarkStart w:id="15" w:name="bookmark108"/>
      <w:bookmarkEnd w:id="15"/>
      <w:bookmarkStart w:id="16" w:name="bookmark128"/>
      <w:bookmarkEnd w:id="16"/>
      <w:bookmarkStart w:id="17" w:name="bookmark113"/>
      <w:bookmarkEnd w:id="17"/>
      <w:bookmarkStart w:id="18" w:name="bookmark121"/>
      <w:bookmarkEnd w:id="18"/>
      <w:bookmarkStart w:id="19" w:name="bookmark124"/>
      <w:bookmarkEnd w:id="19"/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建立科学合理的绩效目标，依据预设的绩效数量、质量指标全面衡量预算实施效果，既重“绩”，更重“效”。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0" w:h="16840"/>
      <w:pgMar w:top="1899" w:right="1401" w:bottom="1619" w:left="1520" w:header="0" w:footer="3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en-US" w:bidi="en-US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6171565</wp:posOffset>
              </wp:positionH>
              <wp:positionV relativeFrom="page">
                <wp:posOffset>10154285</wp:posOffset>
              </wp:positionV>
              <wp:extent cx="589915" cy="1346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915" cy="13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rPr>
                              <w:color w:val="00000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85.95pt;margin-top:799.55pt;height:10.6pt;width:46.4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A4Hjh2QAAAA4BAAAPAAAAAAAAAAEAIAAAACIA&#10;AABkcnMvZG93bnJldi54bWxQSwECFAAUAAAACACHTuJAnWzH6c8BAACXAwAADgAAAAAAAAABACAA&#10;AAAo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rPr>
                        <w:color w:val="00000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lang w:val="en-US" w:eastAsia="zh-CN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color w:val="000000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en-US" w:bidi="en-US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694690</wp:posOffset>
              </wp:positionH>
              <wp:positionV relativeFrom="page">
                <wp:posOffset>10151745</wp:posOffset>
              </wp:positionV>
              <wp:extent cx="589915" cy="1346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915" cy="13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rPr>
                              <w:color w:val="00000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22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4.7pt;margin-top:799.35pt;height:10.6pt;width:46.4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c2STp2QAAAA0BAAAPAAAAAAAAAAEAIAAAACIA&#10;AABkcnMvZG93bnJldi54bWxQSwECFAAUAAAACACHTuJApnUvBc8BAACXAwAADgAAAAAAAAABACAA&#10;AAAo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rPr>
                        <w:color w:val="00000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lang w:val="en-US" w:eastAsia="zh-CN"/>
                      </w:rPr>
                      <w:t>22</w:t>
                    </w:r>
                    <w:r>
                      <w:fldChar w:fldCharType="end"/>
                    </w:r>
                    <w:r>
                      <w:rPr>
                        <w:color w:val="000000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NzM3MTBjN2Y4M2E3NGY3ZjdhMjVjNGIyZDE0MzMifQ=="/>
    <w:docVar w:name="KSO_WPS_MARK_KEY" w:val="d4ff8739-a2da-493f-b834-3ef39bf0de35"/>
  </w:docVars>
  <w:rsids>
    <w:rsidRoot w:val="00404B61"/>
    <w:rsid w:val="0012144A"/>
    <w:rsid w:val="002C0E96"/>
    <w:rsid w:val="00390216"/>
    <w:rsid w:val="00404B61"/>
    <w:rsid w:val="00422FD5"/>
    <w:rsid w:val="00477065"/>
    <w:rsid w:val="005528A9"/>
    <w:rsid w:val="00585D36"/>
    <w:rsid w:val="006E1CE7"/>
    <w:rsid w:val="007D18BA"/>
    <w:rsid w:val="0083324D"/>
    <w:rsid w:val="00AA6A61"/>
    <w:rsid w:val="00AF7F7E"/>
    <w:rsid w:val="00B33E84"/>
    <w:rsid w:val="00B72DA7"/>
    <w:rsid w:val="00B83236"/>
    <w:rsid w:val="00BB00C7"/>
    <w:rsid w:val="00BB22FA"/>
    <w:rsid w:val="00BB602B"/>
    <w:rsid w:val="00C3233A"/>
    <w:rsid w:val="00D50878"/>
    <w:rsid w:val="00E564D2"/>
    <w:rsid w:val="00E84AD4"/>
    <w:rsid w:val="00ED2FD1"/>
    <w:rsid w:val="00EE699B"/>
    <w:rsid w:val="00F06AC9"/>
    <w:rsid w:val="085877CA"/>
    <w:rsid w:val="09A5295C"/>
    <w:rsid w:val="34681FC2"/>
    <w:rsid w:val="48320926"/>
    <w:rsid w:val="5998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Body text|1_"/>
    <w:basedOn w:val="5"/>
    <w:link w:val="9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spacing w:line="439" w:lineRule="auto"/>
      <w:ind w:firstLine="400"/>
      <w:jc w:val="left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10">
    <w:name w:val="Header or footer|1_"/>
    <w:basedOn w:val="5"/>
    <w:link w:val="11"/>
    <w:qFormat/>
    <w:uiPriority w:val="0"/>
    <w:rPr>
      <w:rFonts w:ascii="宋体" w:hAnsi="宋体" w:eastAsia="宋体" w:cs="宋体"/>
      <w:b/>
      <w:bCs/>
      <w:sz w:val="30"/>
      <w:szCs w:val="30"/>
      <w:lang w:val="zh-TW" w:eastAsia="zh-TW" w:bidi="zh-TW"/>
    </w:rPr>
  </w:style>
  <w:style w:type="paragraph" w:customStyle="1" w:styleId="11">
    <w:name w:val="Header or footer|1"/>
    <w:basedOn w:val="1"/>
    <w:link w:val="10"/>
    <w:qFormat/>
    <w:uiPriority w:val="0"/>
    <w:pPr>
      <w:jc w:val="left"/>
    </w:pPr>
    <w:rPr>
      <w:rFonts w:ascii="宋体" w:hAnsi="宋体" w:cs="宋体"/>
      <w:b/>
      <w:bCs/>
      <w:sz w:val="30"/>
      <w:szCs w:val="30"/>
      <w:lang w:val="zh-TW" w:eastAsia="zh-TW" w:bidi="zh-TW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1682</Words>
  <Characters>1758</Characters>
  <Lines>17</Lines>
  <Paragraphs>4</Paragraphs>
  <TotalTime>21</TotalTime>
  <ScaleCrop>false</ScaleCrop>
  <LinksUpToDate>false</LinksUpToDate>
  <CharactersWithSpaces>1763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2022-04-27T07:49:00Z</dcterms:created>
  <dc:creator>lenove</dc:creator>
  <cp:lastModifiedBy>朱俊</cp:lastModifiedBy>
  <cp:lastPrinted>2022-05-05T07:15:00Z</cp:lastPrinted>
  <dcterms:modified xsi:type="dcterms:W3CDTF">2024-05-08T01:07:15Z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09858A26A6D4432999FB3DC6EA641473_13</vt:lpwstr>
  </property>
</Properties>
</file>