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.4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项目绩效自评报告</w:t>
      </w: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  <w:bookmarkStart w:id="20" w:name="_GoBack"/>
      <w:bookmarkEnd w:id="20"/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default" w:ascii="Times New Roman" w:hAnsi="Times New Roman" w:eastAsia="方正仿宋简体" w:cs="Times New Roman"/>
          <w:sz w:val="30"/>
          <w:szCs w:val="30"/>
        </w:rPr>
      </w:pPr>
    </w:p>
    <w:p>
      <w:pPr>
        <w:snapToGrid w:val="0"/>
        <w:spacing w:line="360" w:lineRule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项目名称：政府承诺的企业退休人员社保欠费</w:t>
      </w:r>
    </w:p>
    <w:p>
      <w:pPr>
        <w:snapToGrid w:val="0"/>
        <w:spacing w:line="360" w:lineRule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项目主管部门：（公章）五华县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科工商务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局</w:t>
      </w:r>
    </w:p>
    <w:p>
      <w:pPr>
        <w:snapToGrid w:val="0"/>
        <w:spacing w:line="360" w:lineRule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填报人姓名：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李胜民</w:t>
      </w:r>
    </w:p>
    <w:p>
      <w:pPr>
        <w:snapToGrid w:val="0"/>
        <w:spacing w:line="360" w:lineRule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联系电话：0753-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4423101</w:t>
      </w:r>
    </w:p>
    <w:p>
      <w:pPr>
        <w:snapToGrid w:val="0"/>
        <w:spacing w:line="360" w:lineRule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填报日期：2023年4月2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</w:p>
    <w:p>
      <w:pPr>
        <w:snapToGrid w:val="0"/>
        <w:spacing w:line="360" w:lineRule="auto"/>
        <w:rPr>
          <w:rFonts w:ascii="黑体" w:eastAsia="黑体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</w:t>
      </w:r>
    </w:p>
    <w:p>
      <w:pPr>
        <w:snapToGrid w:val="0"/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（一）项目基本情况。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年度县财政安排我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政府承诺的企业退休人员社保欠费项目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125.13</w:t>
      </w:r>
      <w:r>
        <w:rPr>
          <w:rFonts w:hint="eastAsia" w:ascii="仿宋_GB2312" w:eastAsia="仿宋_GB2312"/>
          <w:sz w:val="32"/>
          <w:szCs w:val="32"/>
        </w:rPr>
        <w:t>万元，用于发放政府承诺企业退休人员社保欠薪项目费用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</w:rPr>
        <w:t>项目决策情况。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认真贯彻中央八项规定精神以及国务院"约法三章"、《党政机关厉行节约反对浪费条例》、《广东省党政机关厉行节约反对浪费实施细则》，严格执行会计制度，根据相关专项资金管理办法以及相关财务管理制度等规范各项支出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</w:t>
      </w:r>
      <w:r>
        <w:rPr>
          <w:rFonts w:ascii="仿宋_GB2312" w:eastAsia="仿宋_GB2312"/>
          <w:sz w:val="32"/>
          <w:szCs w:val="32"/>
        </w:rPr>
        <w:t>绩效目标。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如期发放政府承诺企业退休人员社保欠薪项目费用。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二、绩效自评工作组织情况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成立了单位负责人为组长，分管领导为副组长，各股室负责人为成员的绩效自评工作领导小组，组织专门人员负责绩效自评工作。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三、绩效自评结论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年，我局按照中央、省、市相关工作要求，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如期发放政府承诺企业退休人员社保欠薪项目费用125.13</w:t>
      </w:r>
      <w:r>
        <w:rPr>
          <w:rFonts w:hint="eastAsia" w:ascii="仿宋_GB2312" w:eastAsia="仿宋_GB2312"/>
          <w:sz w:val="32"/>
          <w:szCs w:val="32"/>
        </w:rPr>
        <w:t>万元，项目自评等级为“优”，分数为99.2分。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四、绩效指标分析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决策分析</w:t>
      </w:r>
    </w:p>
    <w:p>
      <w:pPr>
        <w:snapToGrid w:val="0"/>
        <w:spacing w:line="360" w:lineRule="auto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1.项目立项情况。</w:t>
      </w:r>
    </w:p>
    <w:p>
      <w:pPr>
        <w:pStyle w:val="9"/>
        <w:tabs>
          <w:tab w:val="left" w:pos="1022"/>
        </w:tabs>
        <w:spacing w:after="44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（1）</w:t>
      </w:r>
      <w:r>
        <w:rPr>
          <w:rFonts w:hint="eastAsia" w:ascii="仿宋_GB2312" w:eastAsia="仿宋_GB2312"/>
          <w:color w:val="000000"/>
          <w:sz w:val="32"/>
          <w:szCs w:val="32"/>
        </w:rPr>
        <w:t>论证决策。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我局申报项目资金经过集体会议协商。</w:t>
      </w:r>
    </w:p>
    <w:p>
      <w:pPr>
        <w:pStyle w:val="9"/>
        <w:tabs>
          <w:tab w:val="left" w:pos="1022"/>
        </w:tabs>
        <w:spacing w:after="44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（2）</w:t>
      </w:r>
      <w:r>
        <w:rPr>
          <w:rFonts w:hint="eastAsia" w:ascii="仿宋_GB2312" w:eastAsia="仿宋_GB2312"/>
          <w:color w:val="000000"/>
          <w:sz w:val="32"/>
          <w:szCs w:val="32"/>
        </w:rPr>
        <w:t>目标设置。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项目申报的目标设置完整，包含总目标和阶段性目标，包括预期提供的公共产品或服务的产出数量、质量、成本指标，预期达到的效果性指标；项目申报的目标设置具有相关性，绩效目标与资金或项目属性特点、支出内容相关，体现决策意图，同时合乎客观实际；项目申报的目标设置具有可衡量性，绩效目标设置有数据支撑、有可衡量性的产出和效果指标。</w:t>
      </w:r>
    </w:p>
    <w:p>
      <w:pPr>
        <w:pStyle w:val="9"/>
        <w:numPr>
          <w:ilvl w:val="0"/>
          <w:numId w:val="1"/>
        </w:numPr>
        <w:tabs>
          <w:tab w:val="left" w:pos="1022"/>
        </w:tabs>
        <w:spacing w:after="440" w:line="240" w:lineRule="auto"/>
        <w:jc w:val="both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保障措施。</w:t>
      </w:r>
    </w:p>
    <w:p>
      <w:pPr>
        <w:pStyle w:val="9"/>
        <w:numPr>
          <w:ilvl w:val="0"/>
          <w:numId w:val="0"/>
        </w:numPr>
        <w:tabs>
          <w:tab w:val="left" w:pos="1022"/>
        </w:tabs>
        <w:spacing w:after="440" w:line="240" w:lineRule="auto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我局项目实施制度完整，具备条件实施，工作计划安排合理。</w:t>
      </w:r>
    </w:p>
    <w:p>
      <w:pPr>
        <w:pStyle w:val="9"/>
        <w:tabs>
          <w:tab w:val="left" w:pos="1029"/>
        </w:tabs>
        <w:spacing w:after="260" w:line="240" w:lineRule="auto"/>
        <w:ind w:left="0" w:leftChars="0" w:firstLine="643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2.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资金落实情况。</w:t>
      </w:r>
    </w:p>
    <w:p>
      <w:pPr>
        <w:pStyle w:val="9"/>
        <w:tabs>
          <w:tab w:val="left" w:pos="1508"/>
        </w:tabs>
        <w:spacing w:after="26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（1）</w:t>
      </w:r>
      <w:r>
        <w:rPr>
          <w:rFonts w:hint="eastAsia" w:ascii="仿宋_GB2312" w:eastAsia="仿宋_GB2312"/>
          <w:color w:val="000000"/>
          <w:sz w:val="32"/>
          <w:szCs w:val="32"/>
        </w:rPr>
        <w:t>资金到位。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资金到位率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%，及时到位。</w:t>
      </w:r>
    </w:p>
    <w:p>
      <w:pPr>
        <w:pStyle w:val="9"/>
        <w:tabs>
          <w:tab w:val="left" w:pos="1508"/>
        </w:tabs>
        <w:spacing w:after="26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（2）</w:t>
      </w:r>
      <w:r>
        <w:rPr>
          <w:rFonts w:hint="eastAsia" w:ascii="仿宋_GB2312" w:eastAsia="仿宋_GB2312"/>
          <w:color w:val="000000"/>
          <w:sz w:val="32"/>
          <w:szCs w:val="32"/>
        </w:rPr>
        <w:t>资金分配。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我局项目资金分配合理，有助于实现资金的绩效目标。</w:t>
      </w:r>
    </w:p>
    <w:p>
      <w:pPr>
        <w:pStyle w:val="9"/>
        <w:tabs>
          <w:tab w:val="left" w:pos="1612"/>
        </w:tabs>
        <w:spacing w:after="260" w:line="240" w:lineRule="auto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管理分析</w:t>
      </w:r>
    </w:p>
    <w:p>
      <w:pPr>
        <w:pStyle w:val="9"/>
        <w:spacing w:after="260" w:line="240" w:lineRule="auto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1.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资金管理。</w:t>
      </w:r>
    </w:p>
    <w:p>
      <w:pPr>
        <w:pStyle w:val="9"/>
        <w:spacing w:after="26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（1）</w:t>
      </w:r>
      <w:r>
        <w:rPr>
          <w:rFonts w:hint="eastAsia" w:ascii="仿宋_GB2312" w:eastAsia="仿宋_GB2312"/>
          <w:color w:val="000000"/>
          <w:sz w:val="32"/>
          <w:szCs w:val="32"/>
        </w:rPr>
        <w:t>资金支付。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项目资金支出率为100 %。</w:t>
      </w:r>
    </w:p>
    <w:p>
      <w:pPr>
        <w:pStyle w:val="9"/>
        <w:spacing w:after="260" w:line="240" w:lineRule="auto"/>
        <w:jc w:val="both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（2）</w:t>
      </w:r>
      <w:r>
        <w:rPr>
          <w:rFonts w:hint="eastAsia" w:ascii="仿宋_GB2312" w:eastAsia="仿宋_GB2312"/>
          <w:color w:val="000000"/>
          <w:sz w:val="32"/>
          <w:szCs w:val="32"/>
        </w:rPr>
        <w:t>支出规范性。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我局项目资金预算执行规范，且按事项完成进度支付资金；事项支出合规，资金管理、费用标准、支付符合有关制度规定；会计核算规范，严格执行会计核算制度。</w:t>
      </w:r>
    </w:p>
    <w:p>
      <w:pPr>
        <w:pStyle w:val="9"/>
        <w:spacing w:line="623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2.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事项管理。</w:t>
      </w:r>
    </w:p>
    <w:p>
      <w:pPr>
        <w:pStyle w:val="9"/>
        <w:tabs>
          <w:tab w:val="left" w:pos="1503"/>
        </w:tabs>
        <w:spacing w:after="240" w:line="623" w:lineRule="exact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（1）</w:t>
      </w:r>
      <w:r>
        <w:rPr>
          <w:rFonts w:hint="eastAsia" w:ascii="仿宋_GB2312" w:eastAsia="仿宋_GB2312"/>
          <w:color w:val="000000"/>
          <w:sz w:val="32"/>
          <w:szCs w:val="32"/>
        </w:rPr>
        <w:t>实施程序。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我局项目按规定程序实施,项目招投标、建设、验收等或方案实施严格执行相关制度规定。</w:t>
      </w:r>
    </w:p>
    <w:p>
      <w:pPr>
        <w:pStyle w:val="9"/>
        <w:tabs>
          <w:tab w:val="left" w:pos="1503"/>
        </w:tabs>
        <w:spacing w:after="180" w:line="240" w:lineRule="auto"/>
        <w:rPr>
          <w:rFonts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（2）</w:t>
      </w:r>
      <w:r>
        <w:rPr>
          <w:rFonts w:hint="eastAsia" w:ascii="仿宋_GB2312" w:eastAsia="仿宋_GB2312"/>
          <w:color w:val="000000"/>
          <w:sz w:val="32"/>
          <w:szCs w:val="32"/>
        </w:rPr>
        <w:t>管理情况。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我局建立了有效的管理机制，专项资金独立核算；项目经费按规定用途合理、规范使用；严格执行单位主要领导、分管领导分级审批制度，支出记录完整规范，凭证合格有效。</w:t>
      </w:r>
    </w:p>
    <w:p>
      <w:pPr>
        <w:pStyle w:val="9"/>
        <w:tabs>
          <w:tab w:val="left" w:pos="1612"/>
        </w:tabs>
        <w:spacing w:after="120" w:line="240" w:lineRule="auto"/>
        <w:ind w:left="0" w:leftChars="0"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（三）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产出分析</w:t>
      </w:r>
    </w:p>
    <w:p>
      <w:pPr>
        <w:pStyle w:val="9"/>
        <w:tabs>
          <w:tab w:val="left" w:pos="982"/>
        </w:tabs>
        <w:spacing w:after="240" w:line="623" w:lineRule="exact"/>
        <w:ind w:left="0" w:leftChars="0" w:firstLine="640" w:firstLineChars="200"/>
        <w:jc w:val="both"/>
        <w:rPr>
          <w:rFonts w:ascii="仿宋_GB2312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1.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经济性。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我局的项目资金实际支出未超过预算计划；与同类项目或市场价格比较，项目实施的成本（包括工程造价、物品采购单价、人员经费等）属于合理范围。</w:t>
      </w:r>
    </w:p>
    <w:p>
      <w:pPr>
        <w:pStyle w:val="9"/>
        <w:tabs>
          <w:tab w:val="left" w:pos="989"/>
        </w:tabs>
        <w:spacing w:after="180" w:line="240" w:lineRule="auto"/>
        <w:ind w:left="0" w:leftChars="0" w:firstLine="640" w:firstLineChars="200"/>
        <w:jc w:val="both"/>
        <w:rPr>
          <w:rFonts w:ascii="仿宋_GB2312" w:eastAsia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2.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效率性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圆满完成了年初制定的工作目标。</w:t>
      </w:r>
    </w:p>
    <w:p>
      <w:pPr>
        <w:pStyle w:val="9"/>
        <w:tabs>
          <w:tab w:val="left" w:pos="1612"/>
        </w:tabs>
        <w:spacing w:after="120" w:line="24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效益实现度分析</w:t>
      </w:r>
    </w:p>
    <w:p>
      <w:pPr>
        <w:pStyle w:val="9"/>
        <w:spacing w:line="623" w:lineRule="exact"/>
        <w:ind w:left="0" w:leftChars="0" w:firstLine="643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1.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效果性。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如期发放政府承诺企业退休人员社保欠薪项目费用。</w:t>
      </w:r>
    </w:p>
    <w:p>
      <w:pPr>
        <w:snapToGrid w:val="0"/>
        <w:spacing w:line="360" w:lineRule="auto"/>
        <w:ind w:firstLine="643" w:firstLineChars="200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bidi="en-US"/>
        </w:rPr>
        <w:t>2.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公平性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服务对象满意度为9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五、主要绩效。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如期发放政府承诺企业退休人员社保欠薪项目费用。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六、存在问题。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在设定绩效目标时，大部分把年度工作计划或总结的重点内容直接用来作为绩效目标，指标设定不够科学、依据不够充分。</w:t>
      </w:r>
    </w:p>
    <w:p>
      <w:pPr>
        <w:snapToGrid w:val="0"/>
        <w:spacing w:line="360" w:lineRule="auto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七、下一步工作计划。</w:t>
      </w:r>
      <w:bookmarkStart w:id="0" w:name="bookmark113"/>
      <w:bookmarkEnd w:id="0"/>
      <w:bookmarkStart w:id="1" w:name="bookmark117"/>
      <w:bookmarkEnd w:id="1"/>
      <w:bookmarkStart w:id="2" w:name="bookmark118"/>
      <w:bookmarkEnd w:id="2"/>
      <w:bookmarkStart w:id="3" w:name="bookmark122"/>
      <w:bookmarkEnd w:id="3"/>
      <w:bookmarkStart w:id="4" w:name="bookmark124"/>
      <w:bookmarkEnd w:id="4"/>
      <w:bookmarkStart w:id="5" w:name="bookmark128"/>
      <w:bookmarkEnd w:id="5"/>
      <w:bookmarkStart w:id="6" w:name="bookmark126"/>
      <w:bookmarkEnd w:id="6"/>
      <w:bookmarkStart w:id="7" w:name="bookmark112"/>
      <w:bookmarkEnd w:id="7"/>
      <w:bookmarkStart w:id="8" w:name="bookmark127"/>
      <w:bookmarkEnd w:id="8"/>
      <w:bookmarkStart w:id="9" w:name="bookmark121"/>
      <w:bookmarkEnd w:id="9"/>
      <w:bookmarkStart w:id="10" w:name="bookmark120"/>
      <w:bookmarkEnd w:id="10"/>
      <w:bookmarkStart w:id="11" w:name="bookmark123"/>
      <w:bookmarkEnd w:id="11"/>
      <w:bookmarkStart w:id="12" w:name="bookmark116"/>
      <w:bookmarkEnd w:id="12"/>
      <w:bookmarkStart w:id="13" w:name="bookmark106"/>
      <w:bookmarkEnd w:id="13"/>
      <w:bookmarkStart w:id="14" w:name="bookmark115"/>
      <w:bookmarkEnd w:id="14"/>
      <w:bookmarkStart w:id="15" w:name="bookmark114"/>
      <w:bookmarkEnd w:id="15"/>
      <w:bookmarkStart w:id="16" w:name="bookmark119"/>
      <w:bookmarkEnd w:id="16"/>
      <w:bookmarkStart w:id="17" w:name="bookmark107"/>
      <w:bookmarkEnd w:id="17"/>
      <w:bookmarkStart w:id="18" w:name="bookmark125"/>
      <w:bookmarkEnd w:id="18"/>
      <w:bookmarkStart w:id="19" w:name="bookmark108"/>
      <w:bookmarkEnd w:id="19"/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建立科学合理的绩效目标，依据预设的绩效数量、质量指标全面衡量预算实施效果，既重“绩”，更重“效”。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0" w:h="16840"/>
      <w:pgMar w:top="1899" w:right="1401" w:bottom="1619" w:left="1520" w:header="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en-US" w:bidi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6171565</wp:posOffset>
              </wp:positionH>
              <wp:positionV relativeFrom="page">
                <wp:posOffset>10154285</wp:posOffset>
              </wp:positionV>
              <wp:extent cx="589915" cy="1346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color w:val="00000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5.95pt;margin-top:799.55pt;height:10.6pt;width:46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A4Hjh2QAAAA4BAAAPAAAAAAAAAAEAIAAAACIA&#10;AABkcnMvZG93bnJldi54bWxQSwECFAAUAAAACACHTuJAnWzH6c8BAACXAwAADgAAAAAAAAABACAA&#10;AAAo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color w:val="00000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en-US" w:bidi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694690</wp:posOffset>
              </wp:positionH>
              <wp:positionV relativeFrom="page">
                <wp:posOffset>10151745</wp:posOffset>
              </wp:positionV>
              <wp:extent cx="589915" cy="1346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color w:val="00000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4.7pt;margin-top:799.35pt;height:10.6pt;width:46.4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c2STp2QAAAA0BAAAPAAAAAAAAAAEAIAAAACIA&#10;AABkcnMvZG93bnJldi54bWxQSwECFAAUAAAACACHTuJApnUvBc8BAACXAwAADgAAAAAAAAABACAA&#10;AAAo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color w:val="00000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22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52A3A3"/>
    <w:multiLevelType w:val="singleLevel"/>
    <w:tmpl w:val="9152A3A3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zM3MTBjN2Y4M2E3NGY3ZjdhMjVjNGIyZDE0MzMifQ=="/>
    <w:docVar w:name="KSO_WPS_MARK_KEY" w:val="d4ff8739-a2da-493f-b834-3ef39bf0de35"/>
  </w:docVars>
  <w:rsids>
    <w:rsidRoot w:val="00404B61"/>
    <w:rsid w:val="0012144A"/>
    <w:rsid w:val="002C0E96"/>
    <w:rsid w:val="00390216"/>
    <w:rsid w:val="00404B61"/>
    <w:rsid w:val="00422FD5"/>
    <w:rsid w:val="00477065"/>
    <w:rsid w:val="005528A9"/>
    <w:rsid w:val="00585D36"/>
    <w:rsid w:val="006E1CE7"/>
    <w:rsid w:val="007D18BA"/>
    <w:rsid w:val="0083324D"/>
    <w:rsid w:val="00AA6A61"/>
    <w:rsid w:val="00AF7F7E"/>
    <w:rsid w:val="00B33E84"/>
    <w:rsid w:val="00B72DA7"/>
    <w:rsid w:val="00B83236"/>
    <w:rsid w:val="00BB00C7"/>
    <w:rsid w:val="00BB22FA"/>
    <w:rsid w:val="00BB602B"/>
    <w:rsid w:val="00C3233A"/>
    <w:rsid w:val="00D50878"/>
    <w:rsid w:val="00E564D2"/>
    <w:rsid w:val="00E84AD4"/>
    <w:rsid w:val="00ED2FD1"/>
    <w:rsid w:val="00EE699B"/>
    <w:rsid w:val="00F06AC9"/>
    <w:rsid w:val="085877CA"/>
    <w:rsid w:val="0FEF7260"/>
    <w:rsid w:val="2E2E2FB7"/>
    <w:rsid w:val="3D1F20F8"/>
    <w:rsid w:val="48320926"/>
    <w:rsid w:val="511E4CB5"/>
    <w:rsid w:val="59983D62"/>
    <w:rsid w:val="7FF8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Body text|1_"/>
    <w:basedOn w:val="5"/>
    <w:link w:val="9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line="439" w:lineRule="auto"/>
      <w:ind w:firstLine="400"/>
      <w:jc w:val="left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10">
    <w:name w:val="Header or footer|1_"/>
    <w:basedOn w:val="5"/>
    <w:link w:val="11"/>
    <w:qFormat/>
    <w:uiPriority w:val="0"/>
    <w:rPr>
      <w:rFonts w:ascii="宋体" w:hAnsi="宋体" w:eastAsia="宋体" w:cs="宋体"/>
      <w:b/>
      <w:bCs/>
      <w:sz w:val="30"/>
      <w:szCs w:val="30"/>
      <w:lang w:val="zh-TW" w:eastAsia="zh-TW" w:bidi="zh-TW"/>
    </w:rPr>
  </w:style>
  <w:style w:type="paragraph" w:customStyle="1" w:styleId="11">
    <w:name w:val="Header or footer|1"/>
    <w:basedOn w:val="1"/>
    <w:link w:val="10"/>
    <w:qFormat/>
    <w:uiPriority w:val="0"/>
    <w:pPr>
      <w:jc w:val="left"/>
    </w:pPr>
    <w:rPr>
      <w:rFonts w:ascii="宋体" w:hAnsi="宋体" w:cs="宋体"/>
      <w:b/>
      <w:bCs/>
      <w:sz w:val="30"/>
      <w:szCs w:val="30"/>
      <w:lang w:val="zh-TW" w:eastAsia="zh-TW" w:bidi="zh-TW"/>
    </w:rPr>
  </w:style>
  <w:style w:type="paragraph" w:customStyle="1" w:styleId="12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1293</Words>
  <Characters>1344</Characters>
  <Lines>17</Lines>
  <Paragraphs>4</Paragraphs>
  <TotalTime>133</TotalTime>
  <ScaleCrop>false</ScaleCrop>
  <LinksUpToDate>false</LinksUpToDate>
  <CharactersWithSpaces>1349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2022-04-27T07:49:00Z</dcterms:created>
  <dc:creator>lenove</dc:creator>
  <cp:lastModifiedBy>与鹿</cp:lastModifiedBy>
  <cp:lastPrinted>2024-05-08T00:51:27Z</cp:lastPrinted>
  <dcterms:modified xsi:type="dcterms:W3CDTF">2024-05-08T00:51:28Z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942DF300BAB647D79466AE4C4C68FC72</vt:lpwstr>
  </property>
</Properties>
</file>