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3C" w:rsidRDefault="00B86128">
      <w:pPr>
        <w:spacing w:line="360" w:lineRule="auto"/>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rsidR="00D9593C" w:rsidRDefault="00D9593C">
      <w:pPr>
        <w:spacing w:line="360" w:lineRule="auto"/>
        <w:rPr>
          <w:rFonts w:ascii="仿宋_GB2312" w:eastAsia="仿宋_GB2312"/>
          <w:sz w:val="32"/>
          <w:szCs w:val="32"/>
        </w:rPr>
      </w:pPr>
    </w:p>
    <w:p w:rsidR="00D9593C" w:rsidRDefault="00B86128">
      <w:pPr>
        <w:spacing w:line="360" w:lineRule="auto"/>
        <w:jc w:val="center"/>
        <w:rPr>
          <w:rFonts w:ascii="仿宋_GB2312" w:eastAsia="仿宋_GB2312"/>
          <w:sz w:val="44"/>
          <w:szCs w:val="44"/>
        </w:rPr>
      </w:pPr>
      <w:r>
        <w:rPr>
          <w:rFonts w:ascii="方正小标宋简体" w:eastAsia="方正小标宋简体" w:hAnsi="方正小标宋简体" w:cs="方正小标宋简体" w:hint="eastAsia"/>
          <w:sz w:val="44"/>
          <w:szCs w:val="44"/>
        </w:rPr>
        <w:t>项目绩效自评报告</w:t>
      </w:r>
    </w:p>
    <w:p w:rsidR="00D9593C" w:rsidRDefault="00D9593C">
      <w:pPr>
        <w:spacing w:line="360" w:lineRule="auto"/>
        <w:jc w:val="center"/>
        <w:rPr>
          <w:rFonts w:ascii="楷体_GB2312" w:eastAsia="楷体_GB2312"/>
          <w:sz w:val="32"/>
          <w:szCs w:val="32"/>
        </w:rPr>
      </w:pPr>
    </w:p>
    <w:p w:rsidR="00D9593C" w:rsidRDefault="00D9593C">
      <w:pPr>
        <w:spacing w:line="360" w:lineRule="auto"/>
        <w:ind w:firstLineChars="150" w:firstLine="450"/>
        <w:rPr>
          <w:rFonts w:ascii="仿宋_GB2312" w:eastAsia="仿宋_GB2312"/>
          <w:sz w:val="30"/>
          <w:szCs w:val="30"/>
        </w:rPr>
      </w:pPr>
    </w:p>
    <w:p w:rsidR="00D9593C" w:rsidRDefault="00D9593C">
      <w:pPr>
        <w:spacing w:line="360" w:lineRule="auto"/>
        <w:ind w:firstLineChars="150" w:firstLine="450"/>
        <w:rPr>
          <w:rFonts w:ascii="仿宋_GB2312" w:eastAsia="仿宋_GB2312"/>
          <w:sz w:val="30"/>
          <w:szCs w:val="30"/>
        </w:rPr>
      </w:pPr>
    </w:p>
    <w:p w:rsidR="00D9593C" w:rsidRDefault="00D9593C">
      <w:pPr>
        <w:spacing w:line="360" w:lineRule="auto"/>
        <w:ind w:firstLineChars="150" w:firstLine="450"/>
        <w:rPr>
          <w:rFonts w:ascii="仿宋_GB2312" w:eastAsia="仿宋_GB2312"/>
          <w:sz w:val="30"/>
          <w:szCs w:val="30"/>
        </w:rPr>
      </w:pPr>
    </w:p>
    <w:p w:rsidR="00D9593C" w:rsidRDefault="00D9593C">
      <w:pPr>
        <w:spacing w:line="360" w:lineRule="auto"/>
        <w:ind w:firstLineChars="150" w:firstLine="450"/>
        <w:rPr>
          <w:rFonts w:ascii="仿宋_GB2312" w:eastAsia="仿宋_GB2312"/>
          <w:sz w:val="30"/>
          <w:szCs w:val="30"/>
        </w:rPr>
      </w:pPr>
    </w:p>
    <w:p w:rsidR="00D9593C" w:rsidRDefault="00D9593C">
      <w:pPr>
        <w:spacing w:line="360" w:lineRule="auto"/>
        <w:ind w:firstLineChars="150" w:firstLine="450"/>
        <w:rPr>
          <w:rFonts w:ascii="仿宋_GB2312" w:eastAsia="仿宋_GB2312"/>
          <w:sz w:val="30"/>
          <w:szCs w:val="30"/>
        </w:rPr>
      </w:pPr>
    </w:p>
    <w:p w:rsidR="00D9593C" w:rsidRDefault="00D9593C">
      <w:pPr>
        <w:spacing w:line="360" w:lineRule="auto"/>
        <w:ind w:firstLineChars="150" w:firstLine="450"/>
        <w:rPr>
          <w:rFonts w:ascii="仿宋_GB2312" w:eastAsia="仿宋_GB2312"/>
          <w:sz w:val="30"/>
          <w:szCs w:val="30"/>
        </w:rPr>
      </w:pPr>
    </w:p>
    <w:p w:rsidR="00D9593C" w:rsidRDefault="00D9593C">
      <w:pPr>
        <w:spacing w:line="360" w:lineRule="auto"/>
        <w:ind w:firstLineChars="150" w:firstLine="450"/>
        <w:rPr>
          <w:rFonts w:ascii="仿宋_GB2312" w:eastAsia="仿宋_GB2312"/>
          <w:sz w:val="30"/>
          <w:szCs w:val="30"/>
        </w:rPr>
      </w:pPr>
    </w:p>
    <w:p w:rsidR="00D9593C" w:rsidRDefault="00D9593C">
      <w:pPr>
        <w:spacing w:line="360" w:lineRule="auto"/>
        <w:ind w:firstLineChars="150" w:firstLine="450"/>
        <w:rPr>
          <w:rFonts w:ascii="仿宋_GB2312" w:eastAsia="仿宋_GB2312"/>
          <w:sz w:val="30"/>
          <w:szCs w:val="30"/>
        </w:rPr>
      </w:pPr>
    </w:p>
    <w:p w:rsidR="00D9593C" w:rsidRDefault="00D9593C">
      <w:pPr>
        <w:spacing w:line="360" w:lineRule="auto"/>
        <w:ind w:firstLineChars="150" w:firstLine="450"/>
        <w:rPr>
          <w:rFonts w:ascii="仿宋_GB2312" w:eastAsia="仿宋_GB2312"/>
          <w:sz w:val="30"/>
          <w:szCs w:val="30"/>
        </w:rPr>
      </w:pPr>
    </w:p>
    <w:p w:rsidR="00D9593C" w:rsidRDefault="00D9593C">
      <w:pPr>
        <w:spacing w:line="360" w:lineRule="auto"/>
        <w:ind w:firstLineChars="150" w:firstLine="450"/>
        <w:rPr>
          <w:rFonts w:ascii="仿宋_GB2312" w:eastAsia="仿宋_GB2312"/>
          <w:sz w:val="30"/>
          <w:szCs w:val="30"/>
        </w:rPr>
      </w:pPr>
    </w:p>
    <w:p w:rsidR="00D9593C" w:rsidRDefault="00B86128">
      <w:pPr>
        <w:snapToGrid w:val="0"/>
        <w:spacing w:line="360" w:lineRule="auto"/>
        <w:rPr>
          <w:rFonts w:eastAsia="方正仿宋简体"/>
          <w:sz w:val="32"/>
          <w:szCs w:val="32"/>
        </w:rPr>
      </w:pPr>
      <w:r>
        <w:rPr>
          <w:rFonts w:eastAsia="方正仿宋简体"/>
          <w:sz w:val="32"/>
          <w:szCs w:val="32"/>
        </w:rPr>
        <w:t>项目名称：</w:t>
      </w:r>
      <w:r w:rsidR="00363CD8">
        <w:rPr>
          <w:rFonts w:eastAsia="方正仿宋简体"/>
          <w:sz w:val="32"/>
          <w:szCs w:val="32"/>
        </w:rPr>
        <w:t>202</w:t>
      </w:r>
      <w:r w:rsidR="00363CD8">
        <w:rPr>
          <w:rFonts w:eastAsia="方正仿宋简体" w:hint="eastAsia"/>
          <w:sz w:val="32"/>
          <w:szCs w:val="32"/>
        </w:rPr>
        <w:t>3</w:t>
      </w:r>
      <w:r>
        <w:rPr>
          <w:rFonts w:eastAsia="方正仿宋简体"/>
          <w:sz w:val="32"/>
          <w:szCs w:val="32"/>
        </w:rPr>
        <w:t>年粮食风险基金</w:t>
      </w:r>
    </w:p>
    <w:p w:rsidR="00D9593C" w:rsidRDefault="00B86128">
      <w:pPr>
        <w:snapToGrid w:val="0"/>
        <w:spacing w:line="360" w:lineRule="auto"/>
        <w:rPr>
          <w:rFonts w:eastAsia="方正仿宋简体"/>
          <w:sz w:val="32"/>
          <w:szCs w:val="32"/>
        </w:rPr>
      </w:pPr>
      <w:r>
        <w:rPr>
          <w:rFonts w:eastAsia="方正仿宋简体"/>
          <w:sz w:val="32"/>
          <w:szCs w:val="32"/>
        </w:rPr>
        <w:t>项目主管部门：五华县发展和改革局</w:t>
      </w:r>
    </w:p>
    <w:p w:rsidR="00D9593C" w:rsidRDefault="00B86128">
      <w:pPr>
        <w:snapToGrid w:val="0"/>
        <w:spacing w:line="360" w:lineRule="auto"/>
        <w:rPr>
          <w:rFonts w:eastAsia="方正仿宋简体"/>
          <w:sz w:val="32"/>
          <w:szCs w:val="32"/>
        </w:rPr>
      </w:pPr>
      <w:r>
        <w:rPr>
          <w:rFonts w:eastAsia="方正仿宋简体"/>
          <w:sz w:val="32"/>
          <w:szCs w:val="32"/>
        </w:rPr>
        <w:t>填报人姓名：</w:t>
      </w:r>
      <w:r>
        <w:rPr>
          <w:rFonts w:eastAsia="方正仿宋简体"/>
          <w:sz w:val="32"/>
          <w:szCs w:val="32"/>
        </w:rPr>
        <w:t>吴昊</w:t>
      </w:r>
    </w:p>
    <w:p w:rsidR="00D9593C" w:rsidRDefault="00B86128">
      <w:pPr>
        <w:snapToGrid w:val="0"/>
        <w:spacing w:line="360" w:lineRule="auto"/>
        <w:rPr>
          <w:rFonts w:eastAsia="方正仿宋简体"/>
          <w:sz w:val="32"/>
          <w:szCs w:val="32"/>
        </w:rPr>
      </w:pPr>
      <w:r>
        <w:rPr>
          <w:rFonts w:eastAsia="方正仿宋简体"/>
          <w:sz w:val="32"/>
          <w:szCs w:val="32"/>
        </w:rPr>
        <w:t>联系电话：</w:t>
      </w:r>
      <w:r>
        <w:rPr>
          <w:rFonts w:eastAsia="方正仿宋简体"/>
          <w:sz w:val="32"/>
          <w:szCs w:val="32"/>
        </w:rPr>
        <w:t>0753-4433191</w:t>
      </w:r>
    </w:p>
    <w:p w:rsidR="00D9593C" w:rsidRDefault="00B86128">
      <w:pPr>
        <w:snapToGrid w:val="0"/>
        <w:spacing w:line="360" w:lineRule="auto"/>
        <w:rPr>
          <w:rFonts w:eastAsia="方正仿宋简体"/>
          <w:sz w:val="32"/>
          <w:szCs w:val="32"/>
        </w:rPr>
      </w:pPr>
      <w:r>
        <w:rPr>
          <w:rFonts w:eastAsia="方正仿宋简体"/>
          <w:sz w:val="32"/>
          <w:szCs w:val="32"/>
        </w:rPr>
        <w:t>填报日期：</w:t>
      </w:r>
      <w:r>
        <w:rPr>
          <w:rFonts w:eastAsia="方正仿宋简体"/>
          <w:sz w:val="32"/>
          <w:szCs w:val="32"/>
        </w:rPr>
        <w:t>202</w:t>
      </w:r>
      <w:r w:rsidR="00363CD8">
        <w:rPr>
          <w:rFonts w:eastAsia="方正仿宋简体" w:hint="eastAsia"/>
          <w:sz w:val="32"/>
          <w:szCs w:val="32"/>
        </w:rPr>
        <w:t>4</w:t>
      </w:r>
      <w:r>
        <w:rPr>
          <w:rFonts w:eastAsia="方正仿宋简体"/>
          <w:sz w:val="32"/>
          <w:szCs w:val="32"/>
        </w:rPr>
        <w:t>年</w:t>
      </w:r>
      <w:r w:rsidR="00363CD8">
        <w:rPr>
          <w:rFonts w:eastAsia="方正仿宋简体" w:hint="eastAsia"/>
          <w:sz w:val="32"/>
          <w:szCs w:val="32"/>
        </w:rPr>
        <w:t>5</w:t>
      </w:r>
      <w:r>
        <w:rPr>
          <w:rFonts w:eastAsia="方正仿宋简体"/>
          <w:sz w:val="32"/>
          <w:szCs w:val="32"/>
        </w:rPr>
        <w:t>月</w:t>
      </w:r>
      <w:r w:rsidR="00363CD8">
        <w:rPr>
          <w:rFonts w:eastAsia="方正仿宋简体" w:hint="eastAsia"/>
          <w:sz w:val="32"/>
          <w:szCs w:val="32"/>
        </w:rPr>
        <w:t>14</w:t>
      </w:r>
      <w:r>
        <w:rPr>
          <w:rFonts w:eastAsia="方正仿宋简体"/>
          <w:sz w:val="32"/>
          <w:szCs w:val="32"/>
        </w:rPr>
        <w:t>日</w:t>
      </w:r>
    </w:p>
    <w:p w:rsidR="00D9593C" w:rsidRDefault="00D9593C">
      <w:pPr>
        <w:snapToGrid w:val="0"/>
        <w:spacing w:line="360" w:lineRule="auto"/>
        <w:rPr>
          <w:rFonts w:ascii="黑体" w:eastAsia="黑体"/>
          <w:sz w:val="32"/>
          <w:szCs w:val="32"/>
        </w:rPr>
      </w:pPr>
    </w:p>
    <w:p w:rsidR="00D9593C" w:rsidRDefault="00B86128">
      <w:pPr>
        <w:snapToGrid w:val="0"/>
        <w:spacing w:line="520" w:lineRule="atLeast"/>
        <w:ind w:firstLineChars="200" w:firstLine="640"/>
        <w:rPr>
          <w:rFonts w:ascii="黑体" w:eastAsia="黑体"/>
          <w:sz w:val="32"/>
          <w:szCs w:val="32"/>
        </w:rPr>
      </w:pPr>
      <w:r>
        <w:rPr>
          <w:rFonts w:ascii="黑体" w:eastAsia="黑体" w:hint="eastAsia"/>
          <w:sz w:val="32"/>
          <w:szCs w:val="32"/>
        </w:rPr>
        <w:lastRenderedPageBreak/>
        <w:t>一、基本情况</w:t>
      </w:r>
    </w:p>
    <w:p w:rsidR="00D9593C" w:rsidRDefault="00B86128">
      <w:pPr>
        <w:snapToGrid w:val="0"/>
        <w:spacing w:line="520" w:lineRule="atLeast"/>
        <w:ind w:firstLineChars="200" w:firstLine="643"/>
        <w:rPr>
          <w:rFonts w:ascii="仿宋_GB2312" w:eastAsia="仿宋_GB2312"/>
          <w:b/>
          <w:bCs/>
          <w:sz w:val="32"/>
          <w:szCs w:val="32"/>
        </w:rPr>
      </w:pPr>
      <w:r>
        <w:rPr>
          <w:rFonts w:ascii="仿宋_GB2312" w:eastAsia="仿宋_GB2312" w:hint="eastAsia"/>
          <w:b/>
          <w:bCs/>
          <w:sz w:val="32"/>
          <w:szCs w:val="32"/>
        </w:rPr>
        <w:t>（一）项目基本情况</w:t>
      </w:r>
    </w:p>
    <w:p w:rsidR="00D9593C" w:rsidRDefault="00B86128">
      <w:pPr>
        <w:snapToGrid w:val="0"/>
        <w:spacing w:line="520" w:lineRule="atLeast"/>
        <w:ind w:firstLineChars="200" w:firstLine="640"/>
        <w:rPr>
          <w:rFonts w:eastAsia="方正仿宋简体"/>
          <w:sz w:val="32"/>
          <w:szCs w:val="32"/>
        </w:rPr>
      </w:pPr>
      <w:r>
        <w:rPr>
          <w:rFonts w:eastAsia="方正仿宋简体"/>
          <w:sz w:val="32"/>
          <w:szCs w:val="32"/>
        </w:rPr>
        <w:t>粮食风险基金的使用范围主要包括：</w:t>
      </w:r>
    </w:p>
    <w:p w:rsidR="00D9593C" w:rsidRDefault="00B86128">
      <w:pPr>
        <w:snapToGrid w:val="0"/>
        <w:spacing w:line="520" w:lineRule="atLeast"/>
        <w:ind w:firstLineChars="200" w:firstLine="640"/>
        <w:rPr>
          <w:rFonts w:eastAsia="方正仿宋简体"/>
          <w:sz w:val="32"/>
          <w:szCs w:val="32"/>
        </w:rPr>
      </w:pPr>
      <w:r>
        <w:rPr>
          <w:rFonts w:eastAsia="方正仿宋简体"/>
          <w:sz w:val="32"/>
          <w:szCs w:val="32"/>
        </w:rPr>
        <w:t>1.</w:t>
      </w:r>
      <w:r>
        <w:rPr>
          <w:rFonts w:eastAsia="方正仿宋简体"/>
          <w:sz w:val="32"/>
          <w:szCs w:val="32"/>
        </w:rPr>
        <w:t>地方储备粮油利息、费用补贴。其中，储备粮油的管理费用补贴包括保管费用、轮换差价补贴。管理费用补贴的具体标准、补贴方式及其动态调整机制，由财政部门征求粮食行政主管部门意见后提出，报同级人民政府批准。储备粮油货款利息实行据实补贴。储备粮油管理利息、费用补贴应通过粮食风险基金专户直接拔付到粮食承储企业；</w:t>
      </w:r>
    </w:p>
    <w:p w:rsidR="00D9593C" w:rsidRDefault="00B86128">
      <w:pPr>
        <w:snapToGrid w:val="0"/>
        <w:spacing w:line="520" w:lineRule="atLeast"/>
        <w:ind w:firstLineChars="200" w:firstLine="640"/>
        <w:rPr>
          <w:rFonts w:eastAsia="方正仿宋简体"/>
          <w:sz w:val="32"/>
          <w:szCs w:val="32"/>
        </w:rPr>
      </w:pPr>
      <w:r>
        <w:rPr>
          <w:rFonts w:eastAsia="方正仿宋简体"/>
          <w:sz w:val="32"/>
          <w:szCs w:val="32"/>
        </w:rPr>
        <w:t>2.</w:t>
      </w:r>
      <w:r>
        <w:rPr>
          <w:rFonts w:eastAsia="方正仿宋简体"/>
          <w:sz w:val="32"/>
          <w:szCs w:val="32"/>
        </w:rPr>
        <w:t>1998</w:t>
      </w:r>
      <w:r>
        <w:rPr>
          <w:rFonts w:eastAsia="方正仿宋简体"/>
          <w:sz w:val="32"/>
          <w:szCs w:val="32"/>
        </w:rPr>
        <w:t>年</w:t>
      </w:r>
      <w:r>
        <w:rPr>
          <w:rFonts w:eastAsia="方正仿宋简体"/>
          <w:sz w:val="32"/>
          <w:szCs w:val="32"/>
        </w:rPr>
        <w:t>6</w:t>
      </w:r>
      <w:r>
        <w:rPr>
          <w:rFonts w:eastAsia="方正仿宋简体"/>
          <w:sz w:val="32"/>
          <w:szCs w:val="32"/>
        </w:rPr>
        <w:t>月以来发生的并在</w:t>
      </w:r>
      <w:r>
        <w:rPr>
          <w:rFonts w:eastAsia="方正仿宋简体"/>
          <w:sz w:val="32"/>
          <w:szCs w:val="32"/>
        </w:rPr>
        <w:t>2013</w:t>
      </w:r>
      <w:r>
        <w:rPr>
          <w:rFonts w:eastAsia="方正仿宋简体"/>
          <w:sz w:val="32"/>
          <w:szCs w:val="32"/>
        </w:rPr>
        <w:t>年前报经国务院批准认定的粮食政策性财务挂账利息补贴；</w:t>
      </w:r>
    </w:p>
    <w:p w:rsidR="00D9593C" w:rsidRDefault="00B86128">
      <w:pPr>
        <w:snapToGrid w:val="0"/>
        <w:spacing w:line="520" w:lineRule="atLeast"/>
        <w:ind w:firstLineChars="200" w:firstLine="640"/>
        <w:rPr>
          <w:rFonts w:eastAsia="方正仿宋简体"/>
          <w:sz w:val="32"/>
          <w:szCs w:val="32"/>
        </w:rPr>
      </w:pPr>
      <w:r>
        <w:rPr>
          <w:rFonts w:eastAsia="方正仿宋简体"/>
          <w:sz w:val="32"/>
          <w:szCs w:val="32"/>
        </w:rPr>
        <w:t>3.</w:t>
      </w:r>
      <w:r>
        <w:rPr>
          <w:rFonts w:eastAsia="方正仿宋简体"/>
          <w:sz w:val="32"/>
          <w:szCs w:val="32"/>
        </w:rPr>
        <w:t>按照党中央、国务院有关决策部署以及省政府和市政府有关工作部署，明确允许从粮食风险基金中列支的超标粮食收购处置费用补</w:t>
      </w:r>
      <w:r>
        <w:rPr>
          <w:rFonts w:eastAsia="方正仿宋简体"/>
          <w:sz w:val="32"/>
          <w:szCs w:val="32"/>
        </w:rPr>
        <w:t>贴等支出；</w:t>
      </w:r>
    </w:p>
    <w:p w:rsidR="00D9593C" w:rsidRDefault="00B86128">
      <w:pPr>
        <w:snapToGrid w:val="0"/>
        <w:spacing w:line="520" w:lineRule="atLeast"/>
        <w:ind w:firstLineChars="200" w:firstLine="640"/>
        <w:rPr>
          <w:rFonts w:eastAsia="方正仿宋简体"/>
          <w:sz w:val="32"/>
          <w:szCs w:val="32"/>
        </w:rPr>
      </w:pPr>
      <w:r>
        <w:rPr>
          <w:rFonts w:eastAsia="方正仿宋简体"/>
          <w:sz w:val="32"/>
          <w:szCs w:val="32"/>
        </w:rPr>
        <w:t>4.</w:t>
      </w:r>
      <w:r>
        <w:rPr>
          <w:rFonts w:eastAsia="方正仿宋简体"/>
          <w:sz w:val="32"/>
          <w:szCs w:val="32"/>
        </w:rPr>
        <w:t>按上述规定用途使用后，粮食风险基金仍有节余的，可用于按规定消化粮食政策性财务挂账、加强粮食应急供应保障</w:t>
      </w:r>
    </w:p>
    <w:p w:rsidR="00D9593C" w:rsidRDefault="00B86128">
      <w:pPr>
        <w:snapToGrid w:val="0"/>
        <w:spacing w:line="520" w:lineRule="atLeast"/>
        <w:rPr>
          <w:rFonts w:eastAsia="方正仿宋简体"/>
          <w:sz w:val="32"/>
          <w:szCs w:val="32"/>
        </w:rPr>
      </w:pPr>
      <w:r>
        <w:rPr>
          <w:rFonts w:eastAsia="方正仿宋简体"/>
          <w:sz w:val="32"/>
          <w:szCs w:val="32"/>
        </w:rPr>
        <w:t>体系建设、发展城市小包装成品粮油、支持仓储设施建设等粮食方面的支出。</w:t>
      </w:r>
    </w:p>
    <w:p w:rsidR="00D9593C" w:rsidRDefault="00B86128">
      <w:pPr>
        <w:snapToGrid w:val="0"/>
        <w:spacing w:line="520" w:lineRule="atLeast"/>
        <w:ind w:firstLineChars="200" w:firstLine="643"/>
        <w:rPr>
          <w:rFonts w:ascii="仿宋_GB2312" w:eastAsia="仿宋_GB2312"/>
          <w:b/>
          <w:bCs/>
          <w:sz w:val="32"/>
          <w:szCs w:val="32"/>
        </w:rPr>
      </w:pPr>
      <w:r>
        <w:rPr>
          <w:rFonts w:ascii="仿宋_GB2312" w:eastAsia="仿宋_GB2312" w:hint="eastAsia"/>
          <w:b/>
          <w:bCs/>
          <w:sz w:val="32"/>
          <w:szCs w:val="32"/>
        </w:rPr>
        <w:t>（二）</w:t>
      </w:r>
      <w:r>
        <w:rPr>
          <w:rFonts w:ascii="仿宋_GB2312" w:eastAsia="仿宋_GB2312"/>
          <w:b/>
          <w:bCs/>
          <w:sz w:val="32"/>
          <w:szCs w:val="32"/>
        </w:rPr>
        <w:t>项目决策情况</w:t>
      </w:r>
    </w:p>
    <w:p w:rsidR="00D9593C" w:rsidRDefault="00B86128">
      <w:pPr>
        <w:snapToGrid w:val="0"/>
        <w:spacing w:line="520" w:lineRule="atLeast"/>
        <w:ind w:firstLineChars="200" w:firstLine="640"/>
        <w:rPr>
          <w:rFonts w:eastAsia="方正仿宋简体"/>
          <w:sz w:val="32"/>
          <w:szCs w:val="32"/>
        </w:rPr>
      </w:pPr>
      <w:r>
        <w:rPr>
          <w:rFonts w:eastAsia="方正仿宋简体"/>
          <w:sz w:val="32"/>
          <w:szCs w:val="32"/>
        </w:rPr>
        <w:t>1.</w:t>
      </w:r>
      <w:r>
        <w:rPr>
          <w:rFonts w:eastAsia="方正仿宋简体"/>
          <w:sz w:val="32"/>
          <w:szCs w:val="32"/>
        </w:rPr>
        <w:t>财政安排的粮食风险基金规模数由本级人民政府根据粮食储备规模等因素测算，由市有关部门审核后报经市人民政府审批并报省级批准后下达。</w:t>
      </w:r>
    </w:p>
    <w:p w:rsidR="00D9593C" w:rsidRDefault="00B86128">
      <w:pPr>
        <w:snapToGrid w:val="0"/>
        <w:spacing w:line="520" w:lineRule="atLeast"/>
        <w:ind w:firstLineChars="200" w:firstLine="640"/>
        <w:rPr>
          <w:rFonts w:eastAsia="方正仿宋简体"/>
          <w:sz w:val="32"/>
          <w:szCs w:val="32"/>
        </w:rPr>
      </w:pPr>
      <w:r>
        <w:rPr>
          <w:rFonts w:eastAsia="方正仿宋简体"/>
          <w:sz w:val="32"/>
          <w:szCs w:val="32"/>
        </w:rPr>
        <w:t>2.</w:t>
      </w:r>
      <w:r>
        <w:rPr>
          <w:rFonts w:eastAsia="方正仿宋简体"/>
          <w:sz w:val="32"/>
          <w:szCs w:val="32"/>
        </w:rPr>
        <w:t>粮食风险基金按政策规定纳入地方各级政府预算，及时足额安排到位。当年实际到位数不得低于经核定的粮食风险基金规模数，且不得留有缺口。待预算年度开始后，按程序</w:t>
      </w:r>
      <w:r>
        <w:rPr>
          <w:rFonts w:eastAsia="方正仿宋简体"/>
          <w:sz w:val="32"/>
          <w:szCs w:val="32"/>
        </w:rPr>
        <w:t>拨</w:t>
      </w:r>
      <w:r>
        <w:rPr>
          <w:rFonts w:eastAsia="方正仿宋简体"/>
          <w:sz w:val="32"/>
          <w:szCs w:val="32"/>
        </w:rPr>
        <w:t>入粮</w:t>
      </w:r>
      <w:r>
        <w:rPr>
          <w:rFonts w:eastAsia="方正仿宋简体"/>
          <w:sz w:val="32"/>
          <w:szCs w:val="32"/>
        </w:rPr>
        <w:lastRenderedPageBreak/>
        <w:t>食风险基</w:t>
      </w:r>
      <w:r>
        <w:rPr>
          <w:rFonts w:eastAsia="方正仿宋简体"/>
          <w:sz w:val="32"/>
          <w:szCs w:val="32"/>
        </w:rPr>
        <w:t>金专</w:t>
      </w:r>
      <w:r>
        <w:rPr>
          <w:rFonts w:eastAsia="方正仿宋简体"/>
          <w:sz w:val="32"/>
          <w:szCs w:val="32"/>
        </w:rPr>
        <w:t>户。</w:t>
      </w:r>
    </w:p>
    <w:p w:rsidR="00D9593C" w:rsidRDefault="00B86128">
      <w:pPr>
        <w:snapToGrid w:val="0"/>
        <w:spacing w:line="520" w:lineRule="atLeast"/>
        <w:ind w:firstLineChars="200" w:firstLine="640"/>
        <w:rPr>
          <w:rFonts w:eastAsia="方正仿宋简体"/>
          <w:sz w:val="32"/>
          <w:szCs w:val="32"/>
        </w:rPr>
      </w:pPr>
      <w:r>
        <w:rPr>
          <w:rFonts w:eastAsia="方正仿宋简体"/>
          <w:sz w:val="32"/>
          <w:szCs w:val="32"/>
        </w:rPr>
        <w:t>3.</w:t>
      </w:r>
      <w:r>
        <w:rPr>
          <w:rFonts w:eastAsia="方正仿宋简体"/>
          <w:sz w:val="32"/>
          <w:szCs w:val="32"/>
        </w:rPr>
        <w:t>由</w:t>
      </w:r>
      <w:r>
        <w:rPr>
          <w:rFonts w:eastAsia="方正仿宋简体"/>
          <w:sz w:val="32"/>
          <w:szCs w:val="32"/>
        </w:rPr>
        <w:t>财政部门按照预算管理有关规定及时下达粮食风险基金预算。据实结算等特殊项目转移支付，需采取分期下达预算方式的，按照预算管理有关规定合理设定分批次下达时间及下达数。</w:t>
      </w:r>
    </w:p>
    <w:p w:rsidR="00D9593C" w:rsidRDefault="00B86128">
      <w:pPr>
        <w:snapToGrid w:val="0"/>
        <w:spacing w:line="520" w:lineRule="atLeast"/>
        <w:ind w:firstLineChars="200" w:firstLine="643"/>
        <w:rPr>
          <w:rFonts w:eastAsia="方正仿宋简体"/>
          <w:b/>
          <w:bCs/>
          <w:sz w:val="32"/>
          <w:szCs w:val="32"/>
        </w:rPr>
      </w:pPr>
      <w:r>
        <w:rPr>
          <w:rFonts w:eastAsia="方正仿宋简体"/>
          <w:b/>
          <w:bCs/>
          <w:sz w:val="32"/>
          <w:szCs w:val="32"/>
        </w:rPr>
        <w:t>（三）绩效目标</w:t>
      </w:r>
    </w:p>
    <w:p w:rsidR="00D9593C" w:rsidRDefault="00B86128">
      <w:pPr>
        <w:snapToGrid w:val="0"/>
        <w:spacing w:line="520" w:lineRule="atLeast"/>
        <w:ind w:firstLineChars="200" w:firstLine="640"/>
        <w:rPr>
          <w:rFonts w:ascii="仿宋_GB2312" w:eastAsia="仿宋_GB2312"/>
          <w:sz w:val="32"/>
          <w:szCs w:val="32"/>
        </w:rPr>
      </w:pPr>
      <w:r>
        <w:rPr>
          <w:rFonts w:eastAsia="方正仿宋简体"/>
          <w:sz w:val="32"/>
          <w:szCs w:val="32"/>
        </w:rPr>
        <w:t>补贴粮食轮换价差和轮换费用，及时归还农发行储备粮贷款，确保本年度县级储备粮如期轮换和足额储备。</w:t>
      </w:r>
    </w:p>
    <w:p w:rsidR="00D9593C" w:rsidRDefault="00B86128">
      <w:pPr>
        <w:snapToGrid w:val="0"/>
        <w:spacing w:line="520" w:lineRule="atLeast"/>
        <w:ind w:firstLineChars="200" w:firstLine="640"/>
        <w:rPr>
          <w:rFonts w:ascii="黑体" w:eastAsia="黑体"/>
          <w:sz w:val="32"/>
          <w:szCs w:val="32"/>
        </w:rPr>
      </w:pPr>
      <w:r>
        <w:rPr>
          <w:rFonts w:ascii="黑体" w:eastAsia="黑体" w:hint="eastAsia"/>
          <w:sz w:val="32"/>
          <w:szCs w:val="32"/>
        </w:rPr>
        <w:t>二、绩效自评工作组织情况</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通过绩效自评工作，总结经验，找准问题，进一步加强规范项目和资金管理，完善管理办法，在被评价项目相关资料真实、可靠的基础上，我单位</w:t>
      </w:r>
      <w:r>
        <w:rPr>
          <w:rFonts w:eastAsia="方正仿宋简体" w:hint="eastAsia"/>
          <w:sz w:val="32"/>
          <w:szCs w:val="32"/>
        </w:rPr>
        <w:t>202</w:t>
      </w:r>
      <w:r w:rsidR="00363CD8">
        <w:rPr>
          <w:rFonts w:eastAsia="方正仿宋简体" w:hint="eastAsia"/>
          <w:sz w:val="32"/>
          <w:szCs w:val="32"/>
        </w:rPr>
        <w:t>3</w:t>
      </w:r>
      <w:r>
        <w:rPr>
          <w:rFonts w:eastAsia="方正仿宋简体" w:hint="eastAsia"/>
          <w:sz w:val="32"/>
          <w:szCs w:val="32"/>
        </w:rPr>
        <w:t>年度基本完成了绩效目标任务，达到了既定的目标。</w:t>
      </w:r>
    </w:p>
    <w:p w:rsidR="00D9593C" w:rsidRDefault="00B86128">
      <w:pPr>
        <w:snapToGrid w:val="0"/>
        <w:spacing w:line="520" w:lineRule="atLeast"/>
        <w:ind w:firstLineChars="200" w:firstLine="640"/>
        <w:rPr>
          <w:rFonts w:ascii="黑体" w:eastAsia="黑体"/>
          <w:sz w:val="32"/>
          <w:szCs w:val="32"/>
        </w:rPr>
      </w:pPr>
      <w:r>
        <w:rPr>
          <w:rFonts w:ascii="黑体" w:eastAsia="黑体" w:hint="eastAsia"/>
          <w:sz w:val="32"/>
          <w:szCs w:val="32"/>
        </w:rPr>
        <w:t>三、绩效自评结论</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202</w:t>
      </w:r>
      <w:r w:rsidR="00363CD8">
        <w:rPr>
          <w:rFonts w:eastAsia="方正仿宋简体" w:hint="eastAsia"/>
          <w:sz w:val="32"/>
          <w:szCs w:val="32"/>
        </w:rPr>
        <w:t>3</w:t>
      </w:r>
      <w:r>
        <w:rPr>
          <w:rFonts w:eastAsia="方正仿宋简体" w:hint="eastAsia"/>
          <w:sz w:val="32"/>
          <w:szCs w:val="32"/>
        </w:rPr>
        <w:t>年粮食风险基金项目支出绩效自评分数为</w:t>
      </w:r>
      <w:r w:rsidR="00363CD8">
        <w:rPr>
          <w:rFonts w:eastAsia="方正仿宋简体" w:hint="eastAsia"/>
          <w:sz w:val="32"/>
          <w:szCs w:val="32"/>
        </w:rPr>
        <w:t>100</w:t>
      </w:r>
      <w:r>
        <w:rPr>
          <w:rFonts w:eastAsia="方正仿宋简体" w:hint="eastAsia"/>
          <w:sz w:val="32"/>
          <w:szCs w:val="32"/>
        </w:rPr>
        <w:t>分，自评等级为优秀。</w:t>
      </w:r>
    </w:p>
    <w:p w:rsidR="00D9593C" w:rsidRDefault="00B86128">
      <w:pPr>
        <w:snapToGrid w:val="0"/>
        <w:spacing w:line="520" w:lineRule="atLeast"/>
        <w:ind w:firstLineChars="200" w:firstLine="640"/>
        <w:rPr>
          <w:rFonts w:ascii="黑体" w:eastAsia="黑体"/>
          <w:sz w:val="32"/>
          <w:szCs w:val="32"/>
        </w:rPr>
      </w:pPr>
      <w:r>
        <w:rPr>
          <w:rFonts w:ascii="黑体" w:eastAsia="黑体" w:hint="eastAsia"/>
          <w:sz w:val="32"/>
          <w:szCs w:val="32"/>
        </w:rPr>
        <w:t>四、绩效指标分析</w:t>
      </w:r>
    </w:p>
    <w:p w:rsidR="00D9593C" w:rsidRDefault="00B86128">
      <w:pPr>
        <w:snapToGrid w:val="0"/>
        <w:spacing w:line="520" w:lineRule="atLeast"/>
        <w:ind w:firstLineChars="200" w:firstLine="640"/>
        <w:rPr>
          <w:rFonts w:ascii="仿宋_GB2312" w:eastAsia="仿宋_GB2312"/>
          <w:b/>
          <w:bCs/>
          <w:color w:val="000000"/>
          <w:sz w:val="32"/>
          <w:szCs w:val="32"/>
        </w:rPr>
      </w:pPr>
      <w:r>
        <w:rPr>
          <w:rFonts w:ascii="仿宋_GB2312" w:eastAsia="仿宋_GB2312" w:hint="eastAsia"/>
          <w:sz w:val="32"/>
          <w:szCs w:val="32"/>
        </w:rPr>
        <w:t>（一）</w:t>
      </w:r>
      <w:r>
        <w:rPr>
          <w:rFonts w:ascii="仿宋_GB2312" w:eastAsia="仿宋_GB2312" w:hint="eastAsia"/>
          <w:b/>
          <w:bCs/>
          <w:color w:val="000000"/>
          <w:sz w:val="32"/>
          <w:szCs w:val="32"/>
        </w:rPr>
        <w:t>决策分析</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t>1.</w:t>
      </w:r>
      <w:r>
        <w:rPr>
          <w:rFonts w:eastAsia="方正仿宋简体" w:hint="eastAsia"/>
          <w:b/>
          <w:bCs/>
          <w:sz w:val="32"/>
          <w:szCs w:val="32"/>
        </w:rPr>
        <w:t>项目立项情况</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）论证决策</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项目论证决策充分合理，经过集体会议协商、并咨询相关专家意见、且有文字材料。因此该项得分计</w:t>
      </w:r>
      <w:r>
        <w:rPr>
          <w:rFonts w:eastAsia="方正仿宋简体" w:hint="eastAsia"/>
          <w:sz w:val="32"/>
          <w:szCs w:val="32"/>
        </w:rPr>
        <w:t>5</w:t>
      </w:r>
      <w:r>
        <w:rPr>
          <w:rFonts w:eastAsia="方正仿宋简体" w:hint="eastAsia"/>
          <w:sz w:val="32"/>
          <w:szCs w:val="32"/>
        </w:rPr>
        <w:t>分。</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）目标设置</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目标设置合理，符合国家法律法规和部门中长期规划。因此该项得分计</w:t>
      </w:r>
      <w:r>
        <w:rPr>
          <w:rFonts w:eastAsia="方正仿宋简体" w:hint="eastAsia"/>
          <w:sz w:val="32"/>
          <w:szCs w:val="32"/>
        </w:rPr>
        <w:t>6</w:t>
      </w:r>
      <w:r>
        <w:rPr>
          <w:rFonts w:eastAsia="方正仿宋简体" w:hint="eastAsia"/>
          <w:sz w:val="32"/>
          <w:szCs w:val="32"/>
        </w:rPr>
        <w:t>分。</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lastRenderedPageBreak/>
        <w:t>（</w:t>
      </w:r>
      <w:r>
        <w:rPr>
          <w:rFonts w:eastAsia="方正仿宋简体" w:hint="eastAsia"/>
          <w:sz w:val="32"/>
          <w:szCs w:val="32"/>
        </w:rPr>
        <w:t>3</w:t>
      </w:r>
      <w:r>
        <w:rPr>
          <w:rFonts w:eastAsia="方正仿宋简体" w:hint="eastAsia"/>
          <w:sz w:val="32"/>
          <w:szCs w:val="32"/>
        </w:rPr>
        <w:t>）保障措施</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相关基础信息和证据判断制度完整，计划安排合理性。因此该项得分计</w:t>
      </w:r>
      <w:r>
        <w:rPr>
          <w:rFonts w:eastAsia="方正仿宋简体" w:hint="eastAsia"/>
          <w:sz w:val="32"/>
          <w:szCs w:val="32"/>
        </w:rPr>
        <w:t>2</w:t>
      </w:r>
      <w:r>
        <w:rPr>
          <w:rFonts w:eastAsia="方正仿宋简体" w:hint="eastAsia"/>
          <w:sz w:val="32"/>
          <w:szCs w:val="32"/>
        </w:rPr>
        <w:t>分。</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t>2.</w:t>
      </w:r>
      <w:r>
        <w:rPr>
          <w:rFonts w:eastAsia="方正仿宋简体" w:hint="eastAsia"/>
          <w:b/>
          <w:bCs/>
          <w:sz w:val="32"/>
          <w:szCs w:val="32"/>
        </w:rPr>
        <w:t>资金落实情况</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）资金到位</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项目资金到位及时且足额。因此该项得分计</w:t>
      </w:r>
      <w:r>
        <w:rPr>
          <w:rFonts w:eastAsia="方正仿宋简体" w:hint="eastAsia"/>
          <w:sz w:val="32"/>
          <w:szCs w:val="32"/>
        </w:rPr>
        <w:t>5</w:t>
      </w:r>
      <w:r>
        <w:rPr>
          <w:rFonts w:eastAsia="方正仿宋简体" w:hint="eastAsia"/>
          <w:sz w:val="32"/>
          <w:szCs w:val="32"/>
        </w:rPr>
        <w:t>分。</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）资金分配</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资金分配合理，有助于实现资金的绩效目标。因此该项得分计</w:t>
      </w:r>
      <w:r>
        <w:rPr>
          <w:rFonts w:eastAsia="方正仿宋简体" w:hint="eastAsia"/>
          <w:sz w:val="32"/>
          <w:szCs w:val="32"/>
        </w:rPr>
        <w:t>3</w:t>
      </w:r>
      <w:r>
        <w:rPr>
          <w:rFonts w:eastAsia="方正仿宋简体" w:hint="eastAsia"/>
          <w:sz w:val="32"/>
          <w:szCs w:val="32"/>
        </w:rPr>
        <w:t>分。</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t>（二）管理分析</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t>1.</w:t>
      </w:r>
      <w:r>
        <w:rPr>
          <w:rFonts w:eastAsia="方正仿宋简体" w:hint="eastAsia"/>
          <w:b/>
          <w:bCs/>
          <w:sz w:val="32"/>
          <w:szCs w:val="32"/>
        </w:rPr>
        <w:t>资金管理</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）资金支付</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资金支付及时，未出现工作进度迟缓现象，未有垫资或履行支付手续而影响支出率。因此该项得分计</w:t>
      </w:r>
      <w:r>
        <w:rPr>
          <w:rFonts w:eastAsia="方正仿宋简体" w:hint="eastAsia"/>
          <w:sz w:val="32"/>
          <w:szCs w:val="32"/>
        </w:rPr>
        <w:t>6</w:t>
      </w:r>
      <w:r>
        <w:rPr>
          <w:rFonts w:eastAsia="方正仿宋简体" w:hint="eastAsia"/>
          <w:sz w:val="32"/>
          <w:szCs w:val="32"/>
        </w:rPr>
        <w:t>分。</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）支出规范性</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按规定履行调整报批手续，且按事项完成进度支付资金。资金管理、费用标准、支付符合有关制度规定。规范执行会计核算制度。因此该项得分计</w:t>
      </w:r>
      <w:r>
        <w:rPr>
          <w:rFonts w:eastAsia="方正仿宋简体" w:hint="eastAsia"/>
          <w:sz w:val="32"/>
          <w:szCs w:val="32"/>
        </w:rPr>
        <w:t>6</w:t>
      </w:r>
      <w:r>
        <w:rPr>
          <w:rFonts w:eastAsia="方正仿宋简体" w:hint="eastAsia"/>
          <w:sz w:val="32"/>
          <w:szCs w:val="32"/>
        </w:rPr>
        <w:t>分。</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t>2.</w:t>
      </w:r>
      <w:r>
        <w:rPr>
          <w:rFonts w:eastAsia="方正仿宋简体" w:hint="eastAsia"/>
          <w:b/>
          <w:bCs/>
          <w:sz w:val="32"/>
          <w:szCs w:val="32"/>
        </w:rPr>
        <w:t>事项管理</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）实施程序</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项目按规定程序实施</w:t>
      </w:r>
      <w:r>
        <w:rPr>
          <w:rFonts w:eastAsia="方正仿宋简体" w:hint="eastAsia"/>
          <w:sz w:val="32"/>
          <w:szCs w:val="32"/>
        </w:rPr>
        <w:t>,</w:t>
      </w:r>
      <w:r>
        <w:rPr>
          <w:rFonts w:eastAsia="方正仿宋简体" w:hint="eastAsia"/>
          <w:sz w:val="32"/>
          <w:szCs w:val="32"/>
        </w:rPr>
        <w:t>按规定履行报批手续，项目招投标、建设、验收等严格执行相关制度规定。因此该项得分计</w:t>
      </w:r>
      <w:r>
        <w:rPr>
          <w:rFonts w:eastAsia="方正仿宋简体" w:hint="eastAsia"/>
          <w:sz w:val="32"/>
          <w:szCs w:val="32"/>
        </w:rPr>
        <w:t>4</w:t>
      </w:r>
      <w:r>
        <w:rPr>
          <w:rFonts w:eastAsia="方正仿宋简体" w:hint="eastAsia"/>
          <w:sz w:val="32"/>
          <w:szCs w:val="32"/>
        </w:rPr>
        <w:t>分。</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）管理情况</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建立了有效管理机制，且执行情况良好，主管部门按规定对项目建设开展了有效的检查、监控。因此该项得分计</w:t>
      </w:r>
      <w:r>
        <w:rPr>
          <w:rFonts w:eastAsia="方正仿宋简体" w:hint="eastAsia"/>
          <w:sz w:val="32"/>
          <w:szCs w:val="32"/>
        </w:rPr>
        <w:t>4</w:t>
      </w:r>
      <w:r>
        <w:rPr>
          <w:rFonts w:eastAsia="方正仿宋简体" w:hint="eastAsia"/>
          <w:sz w:val="32"/>
          <w:szCs w:val="32"/>
        </w:rPr>
        <w:t>分。</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lastRenderedPageBreak/>
        <w:t>（三）产出分析</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t>1.</w:t>
      </w:r>
      <w:r>
        <w:rPr>
          <w:rFonts w:eastAsia="方正仿宋简体" w:hint="eastAsia"/>
          <w:b/>
          <w:bCs/>
          <w:sz w:val="32"/>
          <w:szCs w:val="32"/>
        </w:rPr>
        <w:t>经济性</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在预算执行进度与事项完成进度基本匹配的前提下，实际支出未超过预算计划；项目按照预算完成，与同类市场价格比较，项目实施的成本属于合理范围。因此该项得分计</w:t>
      </w:r>
      <w:r>
        <w:rPr>
          <w:rFonts w:eastAsia="方正仿宋简体" w:hint="eastAsia"/>
          <w:sz w:val="32"/>
          <w:szCs w:val="32"/>
        </w:rPr>
        <w:t>5</w:t>
      </w:r>
      <w:r>
        <w:rPr>
          <w:rFonts w:eastAsia="方正仿宋简体" w:hint="eastAsia"/>
          <w:sz w:val="32"/>
          <w:szCs w:val="32"/>
        </w:rPr>
        <w:t>分。</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t>2.</w:t>
      </w:r>
      <w:r>
        <w:rPr>
          <w:rFonts w:eastAsia="方正仿宋简体" w:hint="eastAsia"/>
          <w:b/>
          <w:bCs/>
          <w:sz w:val="32"/>
          <w:szCs w:val="32"/>
        </w:rPr>
        <w:t>效率性</w:t>
      </w:r>
    </w:p>
    <w:p w:rsidR="00D9593C" w:rsidRDefault="00B86128">
      <w:pPr>
        <w:snapToGrid w:val="0"/>
        <w:spacing w:line="520" w:lineRule="atLeast"/>
        <w:ind w:firstLineChars="200" w:firstLine="640"/>
        <w:rPr>
          <w:rFonts w:ascii="仿宋_GB2312" w:eastAsia="仿宋_GB2312"/>
          <w:b/>
          <w:bCs/>
          <w:color w:val="000000"/>
          <w:sz w:val="32"/>
          <w:szCs w:val="32"/>
        </w:rPr>
      </w:pPr>
      <w:r>
        <w:rPr>
          <w:rFonts w:eastAsia="方正仿宋简体" w:hint="eastAsia"/>
          <w:sz w:val="32"/>
          <w:szCs w:val="32"/>
        </w:rPr>
        <w:t>202</w:t>
      </w:r>
      <w:r w:rsidR="00363CD8">
        <w:rPr>
          <w:rFonts w:eastAsia="方正仿宋简体" w:hint="eastAsia"/>
          <w:sz w:val="32"/>
          <w:szCs w:val="32"/>
        </w:rPr>
        <w:t>3</w:t>
      </w:r>
      <w:r>
        <w:rPr>
          <w:rFonts w:eastAsia="方正仿宋简体" w:hint="eastAsia"/>
          <w:sz w:val="32"/>
          <w:szCs w:val="32"/>
        </w:rPr>
        <w:t>年度</w:t>
      </w:r>
      <w:r>
        <w:rPr>
          <w:rFonts w:eastAsia="方正仿宋简体" w:hint="eastAsia"/>
          <w:sz w:val="32"/>
          <w:szCs w:val="32"/>
        </w:rPr>
        <w:t>100%</w:t>
      </w:r>
      <w:r>
        <w:rPr>
          <w:rFonts w:eastAsia="方正仿宋简体" w:hint="eastAsia"/>
          <w:sz w:val="32"/>
          <w:szCs w:val="32"/>
        </w:rPr>
        <w:t>完成了</w:t>
      </w:r>
      <w:r>
        <w:rPr>
          <w:rFonts w:eastAsia="方正仿宋简体"/>
          <w:sz w:val="32"/>
          <w:szCs w:val="32"/>
        </w:rPr>
        <w:t>县级储备粮早籼稻谷</w:t>
      </w:r>
      <w:r>
        <w:rPr>
          <w:rFonts w:eastAsia="方正仿宋简体" w:hint="eastAsia"/>
          <w:sz w:val="32"/>
          <w:szCs w:val="32"/>
        </w:rPr>
        <w:t>轮出</w:t>
      </w:r>
      <w:r>
        <w:rPr>
          <w:rFonts w:eastAsia="方正仿宋简体" w:hint="eastAsia"/>
          <w:sz w:val="32"/>
          <w:szCs w:val="32"/>
        </w:rPr>
        <w:t>。因此该项得分计</w:t>
      </w:r>
      <w:r>
        <w:rPr>
          <w:rFonts w:eastAsia="方正仿宋简体" w:hint="eastAsia"/>
          <w:sz w:val="32"/>
          <w:szCs w:val="32"/>
        </w:rPr>
        <w:t>25</w:t>
      </w:r>
      <w:r>
        <w:rPr>
          <w:rFonts w:eastAsia="方正仿宋简体" w:hint="eastAsia"/>
          <w:sz w:val="32"/>
          <w:szCs w:val="32"/>
        </w:rPr>
        <w:t>分。</w:t>
      </w:r>
    </w:p>
    <w:p w:rsidR="00D9593C" w:rsidRDefault="00B86128">
      <w:pPr>
        <w:pStyle w:val="Bodytext10"/>
        <w:tabs>
          <w:tab w:val="left" w:pos="1612"/>
        </w:tabs>
        <w:spacing w:after="120" w:line="520" w:lineRule="atLeast"/>
        <w:ind w:firstLineChars="200" w:firstLine="643"/>
        <w:rPr>
          <w:rFonts w:ascii="Times New Roman" w:eastAsia="方正仿宋简体" w:hAnsi="Times New Roman" w:cs="Times New Roman"/>
          <w:b/>
          <w:bCs/>
          <w:sz w:val="32"/>
          <w:szCs w:val="32"/>
          <w:lang w:val="en-US" w:eastAsia="zh-CN" w:bidi="ar-SA"/>
        </w:rPr>
      </w:pPr>
      <w:r>
        <w:rPr>
          <w:rFonts w:ascii="Times New Roman" w:eastAsia="方正仿宋简体" w:hAnsi="Times New Roman" w:cs="Times New Roman" w:hint="eastAsia"/>
          <w:b/>
          <w:bCs/>
          <w:sz w:val="32"/>
          <w:szCs w:val="32"/>
          <w:lang w:val="en-US" w:eastAsia="zh-CN" w:bidi="ar-SA"/>
        </w:rPr>
        <w:t>（四）效益实现度分析</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t>1.</w:t>
      </w:r>
      <w:r>
        <w:rPr>
          <w:rFonts w:eastAsia="方正仿宋简体" w:hint="eastAsia"/>
          <w:b/>
          <w:bCs/>
          <w:sz w:val="32"/>
          <w:szCs w:val="32"/>
        </w:rPr>
        <w:t>效果性</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及时归还农发行储备粮贷款，充分保证粮食安全，保障储备稻谷安全，稳定社会粮食安全情况。</w:t>
      </w:r>
      <w:r>
        <w:rPr>
          <w:rFonts w:eastAsia="方正仿宋简体" w:hint="eastAsia"/>
          <w:sz w:val="32"/>
          <w:szCs w:val="32"/>
        </w:rPr>
        <w:t>因此该项得分计</w:t>
      </w:r>
      <w:r>
        <w:rPr>
          <w:rFonts w:eastAsia="方正仿宋简体" w:hint="eastAsia"/>
          <w:sz w:val="32"/>
          <w:szCs w:val="32"/>
        </w:rPr>
        <w:t>2</w:t>
      </w:r>
      <w:r w:rsidR="00363CD8">
        <w:rPr>
          <w:rFonts w:eastAsia="方正仿宋简体" w:hint="eastAsia"/>
          <w:sz w:val="32"/>
          <w:szCs w:val="32"/>
        </w:rPr>
        <w:t>5</w:t>
      </w:r>
      <w:bookmarkStart w:id="0" w:name="_GoBack"/>
      <w:bookmarkEnd w:id="0"/>
      <w:r>
        <w:rPr>
          <w:rFonts w:eastAsia="方正仿宋简体" w:hint="eastAsia"/>
          <w:sz w:val="32"/>
          <w:szCs w:val="32"/>
        </w:rPr>
        <w:t>分。</w:t>
      </w:r>
    </w:p>
    <w:p w:rsidR="00D9593C" w:rsidRDefault="00B86128">
      <w:pPr>
        <w:snapToGrid w:val="0"/>
        <w:spacing w:line="520" w:lineRule="atLeast"/>
        <w:ind w:firstLineChars="200" w:firstLine="643"/>
        <w:rPr>
          <w:rFonts w:eastAsia="方正仿宋简体"/>
          <w:b/>
          <w:bCs/>
          <w:sz w:val="32"/>
          <w:szCs w:val="32"/>
        </w:rPr>
      </w:pPr>
      <w:r>
        <w:rPr>
          <w:rFonts w:eastAsia="方正仿宋简体" w:hint="eastAsia"/>
          <w:b/>
          <w:bCs/>
          <w:sz w:val="32"/>
          <w:szCs w:val="32"/>
        </w:rPr>
        <w:t>2.</w:t>
      </w:r>
      <w:r>
        <w:rPr>
          <w:rFonts w:eastAsia="方正仿宋简体" w:hint="eastAsia"/>
          <w:b/>
          <w:bCs/>
          <w:sz w:val="32"/>
          <w:szCs w:val="32"/>
        </w:rPr>
        <w:t>公平性</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服务对象满意。因此该项得分计</w:t>
      </w:r>
      <w:r>
        <w:rPr>
          <w:rFonts w:eastAsia="方正仿宋简体" w:hint="eastAsia"/>
          <w:sz w:val="32"/>
          <w:szCs w:val="32"/>
        </w:rPr>
        <w:t>5</w:t>
      </w:r>
      <w:r>
        <w:rPr>
          <w:rFonts w:eastAsia="方正仿宋简体" w:hint="eastAsia"/>
          <w:sz w:val="32"/>
          <w:szCs w:val="32"/>
        </w:rPr>
        <w:t>分。</w:t>
      </w:r>
    </w:p>
    <w:p w:rsidR="00D9593C" w:rsidRDefault="00B86128">
      <w:pPr>
        <w:snapToGrid w:val="0"/>
        <w:spacing w:line="520" w:lineRule="atLeast"/>
        <w:ind w:firstLineChars="200" w:firstLine="640"/>
        <w:rPr>
          <w:rFonts w:ascii="黑体" w:eastAsia="黑体"/>
          <w:sz w:val="32"/>
          <w:szCs w:val="32"/>
        </w:rPr>
      </w:pPr>
      <w:r>
        <w:rPr>
          <w:rFonts w:ascii="黑体" w:eastAsia="黑体" w:hint="eastAsia"/>
          <w:sz w:val="32"/>
          <w:szCs w:val="32"/>
        </w:rPr>
        <w:t>五、主要绩效</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完成本年度补贴粮食轮换价差和轮换费用，及时归还了农发行储备粮贷款，确保了本年度县级储备粮如期轮换和足额储备。</w:t>
      </w:r>
    </w:p>
    <w:p w:rsidR="00D9593C" w:rsidRDefault="00B86128">
      <w:pPr>
        <w:snapToGrid w:val="0"/>
        <w:spacing w:line="520" w:lineRule="atLeast"/>
        <w:ind w:firstLineChars="200" w:firstLine="640"/>
        <w:rPr>
          <w:rFonts w:ascii="黑体" w:eastAsia="黑体"/>
          <w:sz w:val="32"/>
          <w:szCs w:val="32"/>
        </w:rPr>
      </w:pPr>
      <w:r>
        <w:rPr>
          <w:rFonts w:ascii="黑体" w:eastAsia="黑体" w:hint="eastAsia"/>
          <w:sz w:val="32"/>
          <w:szCs w:val="32"/>
        </w:rPr>
        <w:t>六、</w:t>
      </w:r>
      <w:r>
        <w:rPr>
          <w:rFonts w:ascii="黑体" w:eastAsia="黑体" w:hint="eastAsia"/>
          <w:sz w:val="32"/>
          <w:szCs w:val="32"/>
        </w:rPr>
        <w:t>存在问题</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1</w:t>
      </w:r>
      <w:r>
        <w:rPr>
          <w:rFonts w:eastAsia="方正仿宋简体" w:hint="eastAsia"/>
          <w:sz w:val="32"/>
          <w:szCs w:val="32"/>
        </w:rPr>
        <w:t>.</w:t>
      </w:r>
      <w:r>
        <w:rPr>
          <w:rFonts w:eastAsia="方正仿宋简体" w:hint="eastAsia"/>
          <w:sz w:val="32"/>
          <w:szCs w:val="32"/>
        </w:rPr>
        <w:t>项目提早谋划，制定切实可行的方案，对方案及活动细节进行认真分析，研判可能出现的问题，及时调整。</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rPr>
        <w:t>2</w:t>
      </w:r>
      <w:r>
        <w:rPr>
          <w:rFonts w:eastAsia="方正仿宋简体" w:hint="eastAsia"/>
          <w:sz w:val="32"/>
          <w:szCs w:val="32"/>
        </w:rPr>
        <w:t>.</w:t>
      </w:r>
      <w:r>
        <w:rPr>
          <w:rFonts w:eastAsia="方正仿宋简体" w:hint="eastAsia"/>
          <w:sz w:val="32"/>
          <w:szCs w:val="32"/>
        </w:rPr>
        <w:t>内控管理制度不够完善，不够系统，需进一步完善和加强。</w:t>
      </w:r>
    </w:p>
    <w:p w:rsidR="00D9593C" w:rsidRDefault="00B86128">
      <w:pPr>
        <w:snapToGrid w:val="0"/>
        <w:spacing w:line="520" w:lineRule="atLeast"/>
        <w:ind w:firstLineChars="200" w:firstLine="640"/>
        <w:rPr>
          <w:rFonts w:ascii="黑体" w:eastAsia="黑体"/>
          <w:sz w:val="32"/>
          <w:szCs w:val="32"/>
        </w:rPr>
      </w:pPr>
      <w:r>
        <w:rPr>
          <w:rFonts w:ascii="黑体" w:eastAsia="黑体" w:hint="eastAsia"/>
          <w:sz w:val="32"/>
          <w:szCs w:val="32"/>
        </w:rPr>
        <w:t>七、</w:t>
      </w:r>
      <w:r>
        <w:rPr>
          <w:rFonts w:ascii="黑体" w:eastAsia="黑体" w:hint="eastAsia"/>
          <w:sz w:val="32"/>
          <w:szCs w:val="32"/>
        </w:rPr>
        <w:t>下一步工作计划</w:t>
      </w:r>
      <w:bookmarkStart w:id="1" w:name="bookmark115"/>
      <w:bookmarkStart w:id="2" w:name="bookmark120"/>
      <w:bookmarkStart w:id="3" w:name="bookmark122"/>
      <w:bookmarkStart w:id="4" w:name="bookmark127"/>
      <w:bookmarkStart w:id="5" w:name="bookmark112"/>
      <w:bookmarkStart w:id="6" w:name="bookmark117"/>
      <w:bookmarkStart w:id="7" w:name="bookmark107"/>
      <w:bookmarkStart w:id="8" w:name="bookmark116"/>
      <w:bookmarkStart w:id="9" w:name="bookmark125"/>
      <w:bookmarkStart w:id="10" w:name="bookmark106"/>
      <w:bookmarkStart w:id="11" w:name="bookmark123"/>
      <w:bookmarkStart w:id="12" w:name="bookmark119"/>
      <w:bookmarkStart w:id="13" w:name="bookmark118"/>
      <w:bookmarkStart w:id="14" w:name="bookmark128"/>
      <w:bookmarkStart w:id="15" w:name="bookmark113"/>
      <w:bookmarkStart w:id="16" w:name="bookmark121"/>
      <w:bookmarkStart w:id="17" w:name="bookmark126"/>
      <w:bookmarkStart w:id="18" w:name="bookmark114"/>
      <w:bookmarkStart w:id="19" w:name="bookmark108"/>
      <w:bookmarkStart w:id="20" w:name="bookmark12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D9593C" w:rsidRDefault="00B86128">
      <w:pPr>
        <w:snapToGrid w:val="0"/>
        <w:spacing w:line="520" w:lineRule="atLeast"/>
        <w:ind w:firstLineChars="200" w:firstLine="640"/>
        <w:rPr>
          <w:rFonts w:eastAsia="方正仿宋简体"/>
          <w:sz w:val="32"/>
          <w:szCs w:val="32"/>
          <w:lang w:val="zh-CN"/>
        </w:rPr>
      </w:pPr>
      <w:r>
        <w:rPr>
          <w:rFonts w:eastAsia="方正仿宋简体" w:hint="eastAsia"/>
          <w:sz w:val="32"/>
          <w:szCs w:val="32"/>
          <w:lang w:val="zh-CN"/>
        </w:rPr>
        <w:t>（一）完善绩效评价体系，加强对绩效管理工作的跟踪督</w:t>
      </w:r>
      <w:r>
        <w:rPr>
          <w:rFonts w:eastAsia="方正仿宋简体" w:hint="eastAsia"/>
          <w:sz w:val="32"/>
          <w:szCs w:val="32"/>
          <w:lang w:val="zh-CN"/>
        </w:rPr>
        <w:lastRenderedPageBreak/>
        <w:t>查，做到绩效管理有依据、按程序，实现绩效管理的规范化、常态化。</w:t>
      </w:r>
    </w:p>
    <w:p w:rsidR="00D9593C" w:rsidRDefault="00B86128">
      <w:pPr>
        <w:snapToGrid w:val="0"/>
        <w:spacing w:line="520" w:lineRule="atLeast"/>
        <w:ind w:firstLineChars="200" w:firstLine="640"/>
        <w:rPr>
          <w:rFonts w:eastAsia="方正仿宋简体"/>
          <w:sz w:val="32"/>
          <w:szCs w:val="32"/>
          <w:lang w:val="zh-CN"/>
        </w:rPr>
      </w:pPr>
      <w:r>
        <w:rPr>
          <w:rFonts w:eastAsia="方正仿宋简体" w:hint="eastAsia"/>
          <w:sz w:val="32"/>
          <w:szCs w:val="32"/>
          <w:lang w:val="zh-CN"/>
        </w:rPr>
        <w:t>（二）推动相关制度建设，逐步建立以绩效为导向的预算编制模式。</w:t>
      </w:r>
    </w:p>
    <w:p w:rsidR="00D9593C" w:rsidRDefault="00B86128">
      <w:pPr>
        <w:snapToGrid w:val="0"/>
        <w:spacing w:line="520" w:lineRule="atLeast"/>
        <w:ind w:firstLineChars="200" w:firstLine="640"/>
        <w:rPr>
          <w:rFonts w:eastAsia="方正仿宋简体"/>
          <w:sz w:val="32"/>
          <w:szCs w:val="32"/>
        </w:rPr>
      </w:pPr>
      <w:r>
        <w:rPr>
          <w:rFonts w:eastAsia="方正仿宋简体" w:hint="eastAsia"/>
          <w:sz w:val="32"/>
          <w:szCs w:val="32"/>
          <w:lang w:val="zh-CN"/>
        </w:rPr>
        <w:t>（三）统筹协调，提高资金使用绩效的关节点，切实提高资金使用效率。采取得力措施，科学编制和细化预算，做到预算有目标，执行有细则，控制专项支出，降低行政运行成本，提高资金使用效率和效益。</w:t>
      </w:r>
    </w:p>
    <w:p w:rsidR="00D9593C" w:rsidRDefault="00D9593C"/>
    <w:sectPr w:rsidR="00D9593C">
      <w:footerReference w:type="even" r:id="rId8"/>
      <w:footerReference w:type="default" r:id="rId9"/>
      <w:pgSz w:w="11900" w:h="16840"/>
      <w:pgMar w:top="2041" w:right="1587" w:bottom="1701" w:left="1587"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28" w:rsidRDefault="00B86128">
      <w:r>
        <w:separator/>
      </w:r>
    </w:p>
  </w:endnote>
  <w:endnote w:type="continuationSeparator" w:id="0">
    <w:p w:rsidR="00B86128" w:rsidRDefault="00B8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3C" w:rsidRDefault="00B86128">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694690</wp:posOffset>
              </wp:positionH>
              <wp:positionV relativeFrom="page">
                <wp:posOffset>10151745</wp:posOffset>
              </wp:positionV>
              <wp:extent cx="589915" cy="134620"/>
              <wp:effectExtent l="0" t="0" r="1270" b="6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34620"/>
                      </a:xfrm>
                      <a:prstGeom prst="rect">
                        <a:avLst/>
                      </a:prstGeom>
                      <a:noFill/>
                      <a:ln>
                        <a:noFill/>
                      </a:ln>
                    </wps:spPr>
                    <wps:txbx>
                      <w:txbxContent>
                        <w:p w:rsidR="00D9593C" w:rsidRDefault="00B86128">
                          <w:pPr>
                            <w:pStyle w:val="Headerorfooter10"/>
                          </w:pPr>
                          <w:r>
                            <w:rPr>
                              <w:color w:val="000000"/>
                              <w:lang w:val="en-US" w:eastAsia="en-US" w:bidi="en-US"/>
                            </w:rPr>
                            <w:t>-</w:t>
                          </w:r>
                          <w:r>
                            <w:fldChar w:fldCharType="begin"/>
                          </w:r>
                          <w:r>
                            <w:instrText xml:space="preserve"> PAGE \* MERGEFORMAT </w:instrText>
                          </w:r>
                          <w:r>
                            <w:fldChar w:fldCharType="separate"/>
                          </w:r>
                          <w:r>
                            <w:rPr>
                              <w:lang w:val="en-US" w:eastAsia="zh-CN"/>
                            </w:rPr>
                            <w:t>22</w:t>
                          </w:r>
                          <w:r>
                            <w:fldChar w:fldCharType="end"/>
                          </w:r>
                          <w:r>
                            <w:rPr>
                              <w:color w:val="000000"/>
                            </w:rPr>
                            <w:t>-</w:t>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4.7pt;margin-top:799.35pt;height:10.6pt;width:46.45pt;mso-position-horizontal-relative:page;mso-position-vertical-relative:page;mso-wrap-style:none;z-index:-251657216;mso-width-relative:page;mso-height-relative:page;" filled="f" stroked="f" coordsize="21600,21600" o:gfxdata="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2STp2QAAAA0BAAAPAAAAAAAAAAEAIAAA&#10;ACIAAABkcnMvZG93bnJldi54bWxQSwECFAAUAAAACACHTuJASbWZ2gsCAAACBAAADgAAAAAAAAAB&#10;ACAAAAAoAQAAZHJzL2Uyb0RvYy54bWxQSwUGAAAAAAYABgBZAQAApQUAAAAA&#10;">
              <v:fill on="f" focussize="0,0"/>
              <v:stroke on="f"/>
              <v:imagedata o:title=""/>
              <o:lock v:ext="edit" aspectratio="f"/>
              <v:textbox inset="0mm,0mm,0mm,0mm" style="mso-fit-shape-to-text:t;">
                <w:txbxContent>
                  <w:p>
                    <w:pPr>
                      <w:pStyle w:val="12"/>
                    </w:pPr>
                    <w:r>
                      <w:rPr>
                        <w:color w:val="000000"/>
                        <w:lang w:val="en-US" w:eastAsia="en-US" w:bidi="en-US"/>
                      </w:rPr>
                      <w:t>-</w:t>
                    </w:r>
                    <w:r>
                      <w:fldChar w:fldCharType="begin"/>
                    </w:r>
                    <w:r>
                      <w:instrText xml:space="preserve"> PAGE \* MERGEFORMAT </w:instrText>
                    </w:r>
                    <w:r>
                      <w:fldChar w:fldCharType="separate"/>
                    </w:r>
                    <w:r>
                      <w:rPr>
                        <w:lang w:val="en-US" w:eastAsia="zh-CN"/>
                      </w:rPr>
                      <w:t>22</w:t>
                    </w:r>
                    <w:r>
                      <w:fldChar w:fldCharType="end"/>
                    </w:r>
                    <w:r>
                      <w:rPr>
                        <w:color w:val="00000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3C" w:rsidRDefault="00B86128">
    <w:pPr>
      <w:spacing w:line="1" w:lineRule="exact"/>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ge">
                <wp:posOffset>10154285</wp:posOffset>
              </wp:positionV>
              <wp:extent cx="382270" cy="24765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247650"/>
                      </a:xfrm>
                      <a:prstGeom prst="rect">
                        <a:avLst/>
                      </a:prstGeom>
                      <a:noFill/>
                      <a:ln>
                        <a:noFill/>
                      </a:ln>
                      <a:effectLst/>
                    </wps:spPr>
                    <wps:txbx>
                      <w:txbxContent>
                        <w:p w:rsidR="00D9593C" w:rsidRDefault="00B86128">
                          <w:pPr>
                            <w:pStyle w:val="Headerorfooter10"/>
                          </w:pPr>
                          <w:r>
                            <w:rPr>
                              <w:color w:val="000000"/>
                              <w:lang w:val="en-US" w:eastAsia="en-US" w:bidi="en-US"/>
                            </w:rPr>
                            <w:t>-</w:t>
                          </w:r>
                          <w:r>
                            <w:fldChar w:fldCharType="begin"/>
                          </w:r>
                          <w:r>
                            <w:instrText xml:space="preserve"> PAGE \* MERGEFORMAT </w:instrText>
                          </w:r>
                          <w:r>
                            <w:fldChar w:fldCharType="separate"/>
                          </w:r>
                          <w:r w:rsidR="00363CD8" w:rsidRPr="00363CD8">
                            <w:rPr>
                              <w:noProof/>
                              <w:lang w:val="en-US" w:eastAsia="zh-CN"/>
                            </w:rPr>
                            <w:t>1</w:t>
                          </w:r>
                          <w:r>
                            <w:fldChar w:fldCharType="end"/>
                          </w:r>
                          <w:r>
                            <w:rPr>
                              <w:color w:val="000000"/>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799.55pt;width:30.1pt;height:19.5pt;z-index:251660288;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" filled="f" stroked="f">
              <v:textbox style="mso-fit-shape-to-text:t" inset="0,0,0,0">
                <w:txbxContent>
                  <w:p w:rsidR="00D9593C" w:rsidRDefault="00B86128">
                    <w:pPr>
                      <w:pStyle w:val="Headerorfooter10"/>
                    </w:pPr>
                    <w:r>
                      <w:rPr>
                        <w:color w:val="000000"/>
                        <w:lang w:val="en-US" w:eastAsia="en-US" w:bidi="en-US"/>
                      </w:rPr>
                      <w:t>-</w:t>
                    </w:r>
                    <w:r>
                      <w:fldChar w:fldCharType="begin"/>
                    </w:r>
                    <w:r>
                      <w:instrText xml:space="preserve"> PAGE \* MERGEFORMAT </w:instrText>
                    </w:r>
                    <w:r>
                      <w:fldChar w:fldCharType="separate"/>
                    </w:r>
                    <w:r w:rsidR="00363CD8" w:rsidRPr="00363CD8">
                      <w:rPr>
                        <w:noProof/>
                        <w:lang w:val="en-US" w:eastAsia="zh-CN"/>
                      </w:rPr>
                      <w:t>1</w:t>
                    </w:r>
                    <w:r>
                      <w:fldChar w:fldCharType="end"/>
                    </w:r>
                    <w:r>
                      <w:rPr>
                        <w:color w:val="000000"/>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28" w:rsidRDefault="00B86128">
      <w:r>
        <w:separator/>
      </w:r>
    </w:p>
  </w:footnote>
  <w:footnote w:type="continuationSeparator" w:id="0">
    <w:p w:rsidR="00B86128" w:rsidRDefault="00B86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WNjYzllNjQzYjQ3YWJmMDZlZDNlMjJjZWExY2MifQ=="/>
  </w:docVars>
  <w:rsids>
    <w:rsidRoot w:val="00223CA7"/>
    <w:rsid w:val="000B60BA"/>
    <w:rsid w:val="001422B9"/>
    <w:rsid w:val="001F579F"/>
    <w:rsid w:val="00223CA7"/>
    <w:rsid w:val="003176DD"/>
    <w:rsid w:val="00363CD8"/>
    <w:rsid w:val="00852570"/>
    <w:rsid w:val="00B86128"/>
    <w:rsid w:val="00C212CA"/>
    <w:rsid w:val="00C70596"/>
    <w:rsid w:val="00C91598"/>
    <w:rsid w:val="00D9593C"/>
    <w:rsid w:val="00E62D31"/>
    <w:rsid w:val="0817127E"/>
    <w:rsid w:val="0C7A6C03"/>
    <w:rsid w:val="114B56AF"/>
    <w:rsid w:val="137073A1"/>
    <w:rsid w:val="237F0D75"/>
    <w:rsid w:val="2D3C7E6D"/>
    <w:rsid w:val="320D446F"/>
    <w:rsid w:val="36CE34E6"/>
    <w:rsid w:val="3A184B1B"/>
    <w:rsid w:val="3B385F43"/>
    <w:rsid w:val="3C7A386B"/>
    <w:rsid w:val="50821C16"/>
    <w:rsid w:val="5B680F04"/>
    <w:rsid w:val="5E8E1597"/>
    <w:rsid w:val="65C644C0"/>
    <w:rsid w:val="77BD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Bodytext1">
    <w:name w:val="Body text|1_"/>
    <w:basedOn w:val="a1"/>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439" w:lineRule="auto"/>
      <w:ind w:firstLine="400"/>
      <w:jc w:val="left"/>
    </w:pPr>
    <w:rPr>
      <w:rFonts w:ascii="宋体" w:hAnsi="宋体" w:cs="宋体"/>
      <w:sz w:val="30"/>
      <w:szCs w:val="30"/>
      <w:lang w:val="zh-TW" w:eastAsia="zh-TW" w:bidi="zh-TW"/>
    </w:rPr>
  </w:style>
  <w:style w:type="character" w:customStyle="1" w:styleId="Headerorfooter1">
    <w:name w:val="Header or footer|1_"/>
    <w:basedOn w:val="a1"/>
    <w:link w:val="Headerorfooter10"/>
    <w:qFormat/>
    <w:rPr>
      <w:rFonts w:ascii="宋体" w:eastAsia="宋体" w:hAnsi="宋体" w:cs="宋体"/>
      <w:b/>
      <w:bCs/>
      <w:sz w:val="30"/>
      <w:szCs w:val="30"/>
      <w:lang w:val="zh-TW" w:eastAsia="zh-TW" w:bidi="zh-TW"/>
    </w:rPr>
  </w:style>
  <w:style w:type="paragraph" w:customStyle="1" w:styleId="Headerorfooter10">
    <w:name w:val="Header or footer|1"/>
    <w:basedOn w:val="a"/>
    <w:link w:val="Headerorfooter1"/>
    <w:qFormat/>
    <w:pPr>
      <w:jc w:val="left"/>
    </w:pPr>
    <w:rPr>
      <w:rFonts w:ascii="宋体" w:hAnsi="宋体" w:cs="宋体"/>
      <w:b/>
      <w:bCs/>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Bodytext1">
    <w:name w:val="Body text|1_"/>
    <w:basedOn w:val="a1"/>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439" w:lineRule="auto"/>
      <w:ind w:firstLine="400"/>
      <w:jc w:val="left"/>
    </w:pPr>
    <w:rPr>
      <w:rFonts w:ascii="宋体" w:hAnsi="宋体" w:cs="宋体"/>
      <w:sz w:val="30"/>
      <w:szCs w:val="30"/>
      <w:lang w:val="zh-TW" w:eastAsia="zh-TW" w:bidi="zh-TW"/>
    </w:rPr>
  </w:style>
  <w:style w:type="character" w:customStyle="1" w:styleId="Headerorfooter1">
    <w:name w:val="Header or footer|1_"/>
    <w:basedOn w:val="a1"/>
    <w:link w:val="Headerorfooter10"/>
    <w:qFormat/>
    <w:rPr>
      <w:rFonts w:ascii="宋体" w:eastAsia="宋体" w:hAnsi="宋体" w:cs="宋体"/>
      <w:b/>
      <w:bCs/>
      <w:sz w:val="30"/>
      <w:szCs w:val="30"/>
      <w:lang w:val="zh-TW" w:eastAsia="zh-TW" w:bidi="zh-TW"/>
    </w:rPr>
  </w:style>
  <w:style w:type="paragraph" w:customStyle="1" w:styleId="Headerorfooter10">
    <w:name w:val="Header or footer|1"/>
    <w:basedOn w:val="a"/>
    <w:link w:val="Headerorfooter1"/>
    <w:qFormat/>
    <w:pPr>
      <w:jc w:val="left"/>
    </w:pPr>
    <w:rPr>
      <w:rFonts w:ascii="宋体" w:hAnsi="宋体" w:cs="宋体"/>
      <w:b/>
      <w:bCs/>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2023-04-27T02:44:00Z</dcterms:created>
  <dcterms:modified xsi:type="dcterms:W3CDTF">2024-05-14T07:51:00Z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EAE37722A6234B91A67CE1B3962F625E_12</vt:lpwstr>
  </property>
</Properties>
</file>