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3E" w:rsidRDefault="005478EC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735F3E" w:rsidRDefault="00735F3E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735F3E" w:rsidRDefault="005478EC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项目绩效自评报告</w:t>
      </w:r>
    </w:p>
    <w:p w:rsidR="00735F3E" w:rsidRDefault="00735F3E"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735F3E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735F3E" w:rsidRDefault="00326A5B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项目名称：五华县县级储备粮轮换项目</w:t>
      </w:r>
    </w:p>
    <w:p w:rsidR="00735F3E" w:rsidRDefault="005478EC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项目主管部门：五华县发展和改革局</w:t>
      </w:r>
    </w:p>
    <w:p w:rsidR="00735F3E" w:rsidRDefault="005478EC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填报人姓名：吴昊</w:t>
      </w:r>
    </w:p>
    <w:p w:rsidR="00735F3E" w:rsidRDefault="005478EC">
      <w:pPr>
        <w:snapToGrid w:val="0"/>
        <w:spacing w:line="360" w:lineRule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联系电话：</w:t>
      </w:r>
      <w:r>
        <w:rPr>
          <w:rFonts w:eastAsia="方正仿宋简体"/>
          <w:sz w:val="32"/>
          <w:szCs w:val="32"/>
        </w:rPr>
        <w:t>0753-4433191</w:t>
      </w:r>
    </w:p>
    <w:p w:rsidR="00735F3E" w:rsidRDefault="005478EC">
      <w:pPr>
        <w:snapToGrid w:val="0"/>
        <w:spacing w:line="360" w:lineRule="auto"/>
        <w:rPr>
          <w:rFonts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>填报日期：</w:t>
      </w:r>
      <w:r w:rsidR="00396439">
        <w:rPr>
          <w:rFonts w:eastAsia="方正仿宋简体"/>
          <w:sz w:val="32"/>
          <w:szCs w:val="32"/>
        </w:rPr>
        <w:t>202</w:t>
      </w:r>
      <w:r w:rsidR="00396439"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年</w:t>
      </w:r>
      <w:r w:rsidR="00396439"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月</w:t>
      </w:r>
      <w:r w:rsidR="00396439">
        <w:rPr>
          <w:rFonts w:eastAsia="方正仿宋简体" w:hint="eastAsia"/>
          <w:sz w:val="32"/>
          <w:szCs w:val="32"/>
        </w:rPr>
        <w:t>14</w:t>
      </w:r>
      <w:r>
        <w:rPr>
          <w:rFonts w:eastAsia="方正仿宋简体"/>
          <w:sz w:val="32"/>
          <w:szCs w:val="32"/>
        </w:rPr>
        <w:t>日</w:t>
      </w:r>
    </w:p>
    <w:p w:rsidR="00735F3E" w:rsidRDefault="00735F3E"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 w:rsidR="00735F3E" w:rsidRDefault="005478EC">
      <w:p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一、基本情况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（一）项目基本情况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按照县政府《关于同意轮换县级储备粮的批复》（华府函〔</w:t>
      </w:r>
      <w:r>
        <w:rPr>
          <w:rFonts w:eastAsia="方正仿宋简体"/>
          <w:sz w:val="32"/>
          <w:szCs w:val="32"/>
        </w:rPr>
        <w:t>2022</w:t>
      </w:r>
      <w:r>
        <w:rPr>
          <w:rFonts w:eastAsia="方正仿宋简体"/>
          <w:sz w:val="32"/>
          <w:szCs w:val="32"/>
        </w:rPr>
        <w:t>〕</w:t>
      </w:r>
      <w:r>
        <w:rPr>
          <w:rFonts w:eastAsia="方正仿宋简体"/>
          <w:sz w:val="32"/>
          <w:szCs w:val="32"/>
        </w:rPr>
        <w:t>28</w:t>
      </w:r>
      <w:r>
        <w:rPr>
          <w:rFonts w:eastAsia="方正仿宋简体"/>
          <w:sz w:val="32"/>
          <w:szCs w:val="32"/>
        </w:rPr>
        <w:t>号）文要求，对县级储备粮早籼稻</w:t>
      </w:r>
      <w:proofErr w:type="gramStart"/>
      <w:r>
        <w:rPr>
          <w:rFonts w:eastAsia="方正仿宋简体"/>
          <w:sz w:val="32"/>
          <w:szCs w:val="32"/>
        </w:rPr>
        <w:t>谷</w:t>
      </w:r>
      <w:r>
        <w:rPr>
          <w:rFonts w:eastAsia="方正仿宋简体" w:hint="eastAsia"/>
          <w:sz w:val="32"/>
          <w:szCs w:val="32"/>
        </w:rPr>
        <w:t>进行</w:t>
      </w:r>
      <w:proofErr w:type="gramEnd"/>
      <w:r>
        <w:rPr>
          <w:rFonts w:eastAsia="方正仿宋简体"/>
          <w:sz w:val="32"/>
          <w:szCs w:val="32"/>
        </w:rPr>
        <w:t>轮换，委托承</w:t>
      </w:r>
      <w:proofErr w:type="gramStart"/>
      <w:r>
        <w:rPr>
          <w:rFonts w:eastAsia="方正仿宋简体"/>
          <w:sz w:val="32"/>
          <w:szCs w:val="32"/>
        </w:rPr>
        <w:t>储企业五华县琴江</w:t>
      </w:r>
      <w:proofErr w:type="gramEnd"/>
      <w:r>
        <w:rPr>
          <w:rFonts w:eastAsia="方正仿宋简体"/>
          <w:sz w:val="32"/>
          <w:szCs w:val="32"/>
        </w:rPr>
        <w:t>粮油收储管理有限公司，通过公开竞价销售形式，对早籼稻</w:t>
      </w:r>
      <w:proofErr w:type="gramStart"/>
      <w:r>
        <w:rPr>
          <w:rFonts w:eastAsia="方正仿宋简体"/>
          <w:sz w:val="32"/>
          <w:szCs w:val="32"/>
        </w:rPr>
        <w:t>谷进行</w:t>
      </w:r>
      <w:proofErr w:type="gramEnd"/>
      <w:r>
        <w:rPr>
          <w:rFonts w:eastAsia="方正仿宋简体"/>
          <w:sz w:val="32"/>
          <w:szCs w:val="32"/>
        </w:rPr>
        <w:t>了轮出。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（二）项目决策情况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轮出价格经县发展和改革局、县财政局、农发行五华县支行、县纪委监委</w:t>
      </w:r>
      <w:proofErr w:type="gramStart"/>
      <w:r>
        <w:rPr>
          <w:rFonts w:eastAsia="方正仿宋简体"/>
          <w:sz w:val="32"/>
          <w:szCs w:val="32"/>
        </w:rPr>
        <w:t>驻发展和改革局纪检</w:t>
      </w:r>
      <w:proofErr w:type="gramEnd"/>
      <w:r>
        <w:rPr>
          <w:rFonts w:eastAsia="方正仿宋简体"/>
          <w:sz w:val="32"/>
          <w:szCs w:val="32"/>
        </w:rPr>
        <w:t>监察组共同讨论定出底价后，委托梅州市嘉</w:t>
      </w:r>
      <w:proofErr w:type="gramStart"/>
      <w:r>
        <w:rPr>
          <w:rFonts w:eastAsia="方正仿宋简体"/>
          <w:sz w:val="32"/>
          <w:szCs w:val="32"/>
        </w:rPr>
        <w:t>应粮食</w:t>
      </w:r>
      <w:proofErr w:type="gramEnd"/>
      <w:r>
        <w:rPr>
          <w:rFonts w:eastAsia="方正仿宋简体"/>
          <w:sz w:val="32"/>
          <w:szCs w:val="32"/>
        </w:rPr>
        <w:t>交易中心公开竞价</w:t>
      </w:r>
      <w:r>
        <w:rPr>
          <w:rFonts w:eastAsia="方正仿宋简体" w:hint="eastAsia"/>
          <w:sz w:val="32"/>
          <w:szCs w:val="32"/>
        </w:rPr>
        <w:t>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（三）绩效目标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补贴粮食轮换价差和轮换费用，及时归还农发行储备粮贷款，确保本年度县级储备粮如期轮换和足额储备。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二、绩效自评工作组织情况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通过绩效自评工作，总结经验，找准问题，进一步加强规范项目和资金管理，完善管理办法，在被评价项目相关资料真实、可靠的基础上，我单位</w:t>
      </w:r>
      <w:r>
        <w:rPr>
          <w:rFonts w:eastAsia="方正仿宋简体"/>
          <w:sz w:val="32"/>
          <w:szCs w:val="32"/>
        </w:rPr>
        <w:t>202</w:t>
      </w:r>
      <w:r w:rsidR="00396439">
        <w:rPr>
          <w:rFonts w:eastAsia="方正仿宋简体" w:hint="eastAsia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年度基本完成了绩效目标任务，达到了既定的目标。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三、绩效自评结论</w:t>
      </w:r>
    </w:p>
    <w:p w:rsidR="00735F3E" w:rsidRDefault="00F75715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五华县县级储备粮轮换</w:t>
      </w:r>
      <w:r w:rsidR="005478EC">
        <w:rPr>
          <w:rFonts w:eastAsia="方正仿宋简体"/>
          <w:sz w:val="32"/>
          <w:szCs w:val="32"/>
        </w:rPr>
        <w:t>项目支出绩效自评分数为</w:t>
      </w:r>
      <w:r w:rsidR="00396439">
        <w:rPr>
          <w:rFonts w:eastAsia="方正仿宋简体" w:hint="eastAsia"/>
          <w:sz w:val="32"/>
          <w:szCs w:val="32"/>
        </w:rPr>
        <w:t>100</w:t>
      </w:r>
      <w:r w:rsidR="005478EC">
        <w:rPr>
          <w:rFonts w:eastAsia="方正仿宋简体"/>
          <w:sz w:val="32"/>
          <w:szCs w:val="32"/>
        </w:rPr>
        <w:t>分，自评等级为优秀。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四、绩效指标分析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（一）决策分析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</w:t>
      </w:r>
      <w:r>
        <w:rPr>
          <w:rFonts w:eastAsia="方正仿宋简体"/>
          <w:b/>
          <w:bCs/>
          <w:sz w:val="32"/>
          <w:szCs w:val="32"/>
        </w:rPr>
        <w:t>项目立项情况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）论证决策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lastRenderedPageBreak/>
        <w:t>项目论证决策充分合理，经过集体会议协商、并咨询相关专家意见、且有文字材料。因此该项得分计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）目标设置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目标设置合理，符合国家法律法规和部门中长期规划。因此该项得分计</w:t>
      </w: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）保障措施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相关基础信息和证据判断制度完整，计划安排合理性。因此该项得分计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</w:t>
      </w:r>
      <w:r>
        <w:rPr>
          <w:rFonts w:eastAsia="方正仿宋简体"/>
          <w:b/>
          <w:bCs/>
          <w:sz w:val="32"/>
          <w:szCs w:val="32"/>
        </w:rPr>
        <w:t>资金落实情况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）资金到位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项目资金到位及时且足额。因此该项得分计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）资金分配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资金分配合理，有助于实现资金的绩效目标。因此该项得分计</w:t>
      </w:r>
      <w:r>
        <w:rPr>
          <w:rFonts w:eastAsia="方正仿宋简体"/>
          <w:sz w:val="32"/>
          <w:szCs w:val="32"/>
        </w:rPr>
        <w:t>3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（二）管理分析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</w:t>
      </w:r>
      <w:r>
        <w:rPr>
          <w:rFonts w:eastAsia="方正仿宋简体"/>
          <w:b/>
          <w:bCs/>
          <w:sz w:val="32"/>
          <w:szCs w:val="32"/>
        </w:rPr>
        <w:t>资金管理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）资金支付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资金支付及时，未出现工作进度迟缓现象，未有垫资或履行支付手续而影响支出率。因此该项得分计</w:t>
      </w: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）支出规范性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按规定履行调整报批手续，且按事项完成进度支付资金。资金管理、费用标准、支付符合有关制度规定。规范执行会计核算制度。因此该项得分计</w:t>
      </w:r>
      <w:r>
        <w:rPr>
          <w:rFonts w:eastAsia="方正仿宋简体"/>
          <w:sz w:val="32"/>
          <w:szCs w:val="32"/>
        </w:rPr>
        <w:t>6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</w:t>
      </w:r>
      <w:r>
        <w:rPr>
          <w:rFonts w:eastAsia="方正仿宋简体"/>
          <w:b/>
          <w:bCs/>
          <w:sz w:val="32"/>
          <w:szCs w:val="32"/>
        </w:rPr>
        <w:t>事项管理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）实施程序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lastRenderedPageBreak/>
        <w:t>项目按规定程序实施</w:t>
      </w:r>
      <w:r>
        <w:rPr>
          <w:rFonts w:eastAsia="方正仿宋简体"/>
          <w:sz w:val="32"/>
          <w:szCs w:val="32"/>
        </w:rPr>
        <w:t>,</w:t>
      </w:r>
      <w:r>
        <w:rPr>
          <w:rFonts w:eastAsia="方正仿宋简体"/>
          <w:sz w:val="32"/>
          <w:szCs w:val="32"/>
        </w:rPr>
        <w:t>按规定履行报批手续，项目招投标、建设、验收等严格执行相关制度规定。因此该项得分计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2</w:t>
      </w:r>
      <w:r>
        <w:rPr>
          <w:rFonts w:eastAsia="方正仿宋简体"/>
          <w:sz w:val="32"/>
          <w:szCs w:val="32"/>
        </w:rPr>
        <w:t>）管理情况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建立了有效管理机制，且执行情况良好，主管部门按规定对项目建设开展了有效的检查、监控。因此该项得分计</w:t>
      </w:r>
      <w:r>
        <w:rPr>
          <w:rFonts w:eastAsia="方正仿宋简体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（三）产出分析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</w:t>
      </w:r>
      <w:r>
        <w:rPr>
          <w:rFonts w:eastAsia="方正仿宋简体"/>
          <w:b/>
          <w:bCs/>
          <w:sz w:val="32"/>
          <w:szCs w:val="32"/>
        </w:rPr>
        <w:t>经济性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在预算执行进度与事项完成进度基本匹配的前提下，实际支出未超过预算计划；项目按照预算完成，与同类市场价格比较，项目实施的成本属于合理范围。因此该项得分计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</w:t>
      </w:r>
      <w:r>
        <w:rPr>
          <w:rFonts w:eastAsia="方正仿宋简体"/>
          <w:b/>
          <w:bCs/>
          <w:sz w:val="32"/>
          <w:szCs w:val="32"/>
        </w:rPr>
        <w:t>效率性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202</w:t>
      </w:r>
      <w:r w:rsidR="00A26E6A">
        <w:rPr>
          <w:rFonts w:eastAsia="方正仿宋简体" w:hint="eastAsia"/>
          <w:sz w:val="32"/>
          <w:szCs w:val="32"/>
        </w:rPr>
        <w:t>3</w:t>
      </w:r>
      <w:bookmarkStart w:id="0" w:name="_GoBack"/>
      <w:bookmarkEnd w:id="0"/>
      <w:r>
        <w:rPr>
          <w:rFonts w:eastAsia="方正仿宋简体"/>
          <w:sz w:val="32"/>
          <w:szCs w:val="32"/>
        </w:rPr>
        <w:t>年度</w:t>
      </w:r>
      <w:r>
        <w:rPr>
          <w:rFonts w:eastAsia="方正仿宋简体"/>
          <w:sz w:val="32"/>
          <w:szCs w:val="32"/>
        </w:rPr>
        <w:t>100%</w:t>
      </w:r>
      <w:r>
        <w:rPr>
          <w:rFonts w:eastAsia="方正仿宋简体"/>
          <w:sz w:val="32"/>
          <w:szCs w:val="32"/>
        </w:rPr>
        <w:t>完成了县级储备粮早籼稻谷</w:t>
      </w:r>
      <w:r>
        <w:rPr>
          <w:rFonts w:eastAsia="方正仿宋简体" w:hint="eastAsia"/>
          <w:sz w:val="32"/>
          <w:szCs w:val="32"/>
        </w:rPr>
        <w:t>轮出</w:t>
      </w:r>
      <w:r>
        <w:rPr>
          <w:rFonts w:eastAsia="方正仿宋简体"/>
          <w:sz w:val="32"/>
          <w:szCs w:val="32"/>
        </w:rPr>
        <w:t>。因此该项得分计</w:t>
      </w:r>
      <w:r>
        <w:rPr>
          <w:rFonts w:eastAsia="方正仿宋简体"/>
          <w:sz w:val="32"/>
          <w:szCs w:val="32"/>
        </w:rPr>
        <w:t>25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（四）效益实现度分析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1.</w:t>
      </w:r>
      <w:r>
        <w:rPr>
          <w:rFonts w:eastAsia="方正仿宋简体"/>
          <w:b/>
          <w:bCs/>
          <w:sz w:val="32"/>
          <w:szCs w:val="32"/>
        </w:rPr>
        <w:t>效果性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及时归还农发行储备粮贷款，充分保证粮食安全，保障储备稻谷安全，稳定社会粮食安全情况。因此该项得分计</w:t>
      </w:r>
      <w:r>
        <w:rPr>
          <w:rFonts w:eastAsia="方正仿宋简体"/>
          <w:sz w:val="32"/>
          <w:szCs w:val="32"/>
        </w:rPr>
        <w:t>2</w:t>
      </w:r>
      <w:r w:rsidR="00396439">
        <w:rPr>
          <w:rFonts w:eastAsia="方正仿宋简体" w:hint="eastAsia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3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2.</w:t>
      </w:r>
      <w:r>
        <w:rPr>
          <w:rFonts w:eastAsia="方正仿宋简体"/>
          <w:b/>
          <w:bCs/>
          <w:sz w:val="32"/>
          <w:szCs w:val="32"/>
        </w:rPr>
        <w:t>公平性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服务对象满意。因此该项得分计</w:t>
      </w:r>
      <w:r>
        <w:rPr>
          <w:rFonts w:eastAsia="方正仿宋简体"/>
          <w:sz w:val="32"/>
          <w:szCs w:val="32"/>
        </w:rPr>
        <w:t>5</w:t>
      </w:r>
      <w:r>
        <w:rPr>
          <w:rFonts w:eastAsia="方正仿宋简体"/>
          <w:sz w:val="32"/>
          <w:szCs w:val="32"/>
        </w:rPr>
        <w:t>分。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五、主要绩效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完成本年度补贴粮食轮换价差和轮换费用，及时归还了农发行储备粮贷款，确保了本年度县级储备粮如期轮换和足额储备。</w:t>
      </w:r>
    </w:p>
    <w:p w:rsidR="00735F3E" w:rsidRDefault="005478EC">
      <w:pPr>
        <w:numPr>
          <w:ilvl w:val="0"/>
          <w:numId w:val="1"/>
        </w:num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存在问题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项目提早谋划，制定切实可行的方案，对方案及活动细节</w:t>
      </w:r>
      <w:r>
        <w:rPr>
          <w:rFonts w:eastAsia="方正仿宋简体"/>
          <w:sz w:val="32"/>
          <w:szCs w:val="32"/>
        </w:rPr>
        <w:lastRenderedPageBreak/>
        <w:t>进行认真分析，</w:t>
      </w:r>
      <w:proofErr w:type="gramStart"/>
      <w:r>
        <w:rPr>
          <w:rFonts w:eastAsia="方正仿宋简体"/>
          <w:sz w:val="32"/>
          <w:szCs w:val="32"/>
        </w:rPr>
        <w:t>研</w:t>
      </w:r>
      <w:proofErr w:type="gramEnd"/>
      <w:r>
        <w:rPr>
          <w:rFonts w:eastAsia="方正仿宋简体"/>
          <w:sz w:val="32"/>
          <w:szCs w:val="32"/>
        </w:rPr>
        <w:t>判可能出现的问题，及时调整。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内控管理制度不够完善，不够系统，需进一步完善和加强。</w:t>
      </w:r>
    </w:p>
    <w:p w:rsidR="00735F3E" w:rsidRDefault="005478EC">
      <w:pPr>
        <w:numPr>
          <w:ilvl w:val="0"/>
          <w:numId w:val="2"/>
        </w:numPr>
        <w:snapToGrid w:val="0"/>
        <w:spacing w:line="520" w:lineRule="atLeas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下一步工作计划</w:t>
      </w:r>
      <w:bookmarkStart w:id="1" w:name="bookmark124"/>
      <w:bookmarkStart w:id="2" w:name="bookmark116"/>
      <w:bookmarkStart w:id="3" w:name="bookmark112"/>
      <w:bookmarkStart w:id="4" w:name="bookmark113"/>
      <w:bookmarkStart w:id="5" w:name="bookmark114"/>
      <w:bookmarkStart w:id="6" w:name="bookmark125"/>
      <w:bookmarkStart w:id="7" w:name="bookmark128"/>
      <w:bookmarkStart w:id="8" w:name="bookmark106"/>
      <w:bookmarkStart w:id="9" w:name="bookmark117"/>
      <w:bookmarkStart w:id="10" w:name="bookmark115"/>
      <w:bookmarkStart w:id="11" w:name="bookmark107"/>
      <w:bookmarkStart w:id="12" w:name="bookmark108"/>
      <w:bookmarkStart w:id="13" w:name="bookmark127"/>
      <w:bookmarkStart w:id="14" w:name="bookmark123"/>
      <w:bookmarkStart w:id="15" w:name="bookmark126"/>
      <w:bookmarkStart w:id="16" w:name="bookmark121"/>
      <w:bookmarkStart w:id="17" w:name="bookmark122"/>
      <w:bookmarkStart w:id="18" w:name="bookmark119"/>
      <w:bookmarkStart w:id="19" w:name="bookmark120"/>
      <w:bookmarkStart w:id="20" w:name="bookmark1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（一）完善绩效评价体系，加强对绩效管理工作的跟踪督查，做到绩效管理有依据、按程序，实现绩效管理的规范化、常态化。</w:t>
      </w:r>
    </w:p>
    <w:p w:rsidR="00735F3E" w:rsidRDefault="005478EC">
      <w:pPr>
        <w:snapToGrid w:val="0"/>
        <w:spacing w:line="520" w:lineRule="atLeast"/>
        <w:ind w:firstLineChars="200" w:firstLine="640"/>
        <w:rPr>
          <w:rFonts w:eastAsia="方正仿宋简体"/>
          <w:sz w:val="32"/>
          <w:szCs w:val="32"/>
          <w:lang w:val="zh-CN"/>
        </w:rPr>
      </w:pPr>
      <w:r>
        <w:rPr>
          <w:rFonts w:eastAsia="方正仿宋简体"/>
          <w:sz w:val="32"/>
          <w:szCs w:val="32"/>
          <w:lang w:val="zh-CN"/>
        </w:rPr>
        <w:t>（二）推动相关制度建设，逐步建立以绩效为导向的预算编制模式。</w:t>
      </w:r>
    </w:p>
    <w:p w:rsidR="00735F3E" w:rsidRDefault="005478EC">
      <w:pPr>
        <w:snapToGrid w:val="0"/>
        <w:spacing w:line="520" w:lineRule="atLeast"/>
        <w:ind w:firstLineChars="200" w:firstLine="640"/>
      </w:pPr>
      <w:r>
        <w:rPr>
          <w:rFonts w:eastAsia="方正仿宋简体"/>
          <w:sz w:val="32"/>
          <w:szCs w:val="32"/>
          <w:lang w:val="zh-CN"/>
        </w:rPr>
        <w:t>（三）统筹协调，提高资金使用绩效的关节点，切实提高资金使用效率。采取得力措施，科学编制和细化预算，做到预算有目标，执行有细则，控制专项支出，降低行政运行成本，提高资金使用效率和效益。</w:t>
      </w:r>
    </w:p>
    <w:sectPr w:rsidR="00735F3E">
      <w:footerReference w:type="even" r:id="rId9"/>
      <w:footerReference w:type="default" r:id="rId10"/>
      <w:pgSz w:w="11900" w:h="16840"/>
      <w:pgMar w:top="2041" w:right="1587" w:bottom="1701" w:left="1587" w:header="0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655" w:rsidRDefault="00A06655">
      <w:r>
        <w:separator/>
      </w:r>
    </w:p>
  </w:endnote>
  <w:endnote w:type="continuationSeparator" w:id="0">
    <w:p w:rsidR="00A06655" w:rsidRDefault="00A0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3E" w:rsidRDefault="005478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127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35F3E" w:rsidRDefault="005478EC">
                          <w:pPr>
                            <w:pStyle w:val="Headerorfooter10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c2STp2QAAAA0BAAAPAAAAAAAAAAEAIAAA&#10;ACIAAABkcnMvZG93bnJldi54bWxQSwECFAAUAAAACACHTuJASbWZ2gsCAAACBAAADgAAAAAAAAAB&#10;ACAAAAAo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F3E" w:rsidRDefault="005478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10154285</wp:posOffset>
              </wp:positionV>
              <wp:extent cx="382270" cy="24765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35F3E" w:rsidRDefault="005478EC">
                          <w:pPr>
                            <w:pStyle w:val="Headerorfooter10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26E6A" w:rsidRPr="00A26E6A">
                            <w:rPr>
                              <w:noProof/>
                              <w:lang w:val="en-US" w:eastAsia="zh-CN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799.55pt;width:30.1pt;height:19.5pt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" filled="f" stroked="f">
              <v:textbox style="mso-fit-shape-to-text:t" inset="0,0,0,0">
                <w:txbxContent>
                  <w:p w:rsidR="00735F3E" w:rsidRDefault="005478EC">
                    <w:pPr>
                      <w:pStyle w:val="Headerorfooter10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26E6A" w:rsidRPr="00A26E6A">
                      <w:rPr>
                        <w:noProof/>
                        <w:lang w:val="en-US" w:eastAsia="zh-CN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>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655" w:rsidRDefault="00A06655">
      <w:r>
        <w:separator/>
      </w:r>
    </w:p>
  </w:footnote>
  <w:footnote w:type="continuationSeparator" w:id="0">
    <w:p w:rsidR="00A06655" w:rsidRDefault="00A0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9563"/>
    <w:multiLevelType w:val="singleLevel"/>
    <w:tmpl w:val="12F1956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0161B0"/>
    <w:multiLevelType w:val="singleLevel"/>
    <w:tmpl w:val="4E0161B0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WNjYzllNjQzYjQ3YWJmMDZlZDNlMjJjZWExY2MifQ=="/>
  </w:docVars>
  <w:rsids>
    <w:rsidRoot w:val="00223CA7"/>
    <w:rsid w:val="000B60BA"/>
    <w:rsid w:val="001011BD"/>
    <w:rsid w:val="001422B9"/>
    <w:rsid w:val="001F579F"/>
    <w:rsid w:val="00223CA7"/>
    <w:rsid w:val="003176DD"/>
    <w:rsid w:val="00326A5B"/>
    <w:rsid w:val="00396439"/>
    <w:rsid w:val="005478EC"/>
    <w:rsid w:val="00735F3E"/>
    <w:rsid w:val="00852570"/>
    <w:rsid w:val="00A06655"/>
    <w:rsid w:val="00A26E6A"/>
    <w:rsid w:val="00C212CA"/>
    <w:rsid w:val="00C70596"/>
    <w:rsid w:val="00C91598"/>
    <w:rsid w:val="00E62D31"/>
    <w:rsid w:val="00F75715"/>
    <w:rsid w:val="02783976"/>
    <w:rsid w:val="2B0A6F2E"/>
    <w:rsid w:val="31B45EC9"/>
    <w:rsid w:val="320D446F"/>
    <w:rsid w:val="34564779"/>
    <w:rsid w:val="35F03248"/>
    <w:rsid w:val="3C7A386B"/>
    <w:rsid w:val="42114C71"/>
    <w:rsid w:val="47085F76"/>
    <w:rsid w:val="531F4748"/>
    <w:rsid w:val="53760DD8"/>
    <w:rsid w:val="550B14FE"/>
    <w:rsid w:val="56DE116E"/>
    <w:rsid w:val="59575208"/>
    <w:rsid w:val="5B680F04"/>
    <w:rsid w:val="63826A5D"/>
    <w:rsid w:val="652048F8"/>
    <w:rsid w:val="66C300FA"/>
    <w:rsid w:val="6E5B2C4D"/>
    <w:rsid w:val="7274323E"/>
    <w:rsid w:val="727A5D97"/>
    <w:rsid w:val="77BD39D4"/>
    <w:rsid w:val="7A3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2023-04-28T02:23:00Z</cp:lastPrinted>
  <dcterms:created xsi:type="dcterms:W3CDTF">2023-04-27T02:44:00Z</dcterms:created>
  <dcterms:modified xsi:type="dcterms:W3CDTF">2024-05-14T08:05:00Z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EAE37722A6234B91A67CE1B3962F625E_12</vt:lpwstr>
  </property>
</Properties>
</file>