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附件</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项目评分表</w:t>
      </w:r>
    </w:p>
    <w:tbl>
      <w:tblPr>
        <w:tblStyle w:val="13"/>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1"/>
        <w:gridCol w:w="6403"/>
        <w:gridCol w:w="76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序号</w:t>
            </w:r>
          </w:p>
        </w:tc>
        <w:tc>
          <w:tcPr>
            <w:tcW w:w="1251"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评审内容</w:t>
            </w:r>
          </w:p>
        </w:tc>
        <w:tc>
          <w:tcPr>
            <w:tcW w:w="6403"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评分细则</w:t>
            </w:r>
          </w:p>
        </w:tc>
        <w:tc>
          <w:tcPr>
            <w:tcW w:w="764"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权重（%）</w:t>
            </w:r>
          </w:p>
        </w:tc>
        <w:tc>
          <w:tcPr>
            <w:tcW w:w="783"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rPr>
              <w:t>基本材料</w:t>
            </w:r>
          </w:p>
        </w:tc>
        <w:tc>
          <w:tcPr>
            <w:tcW w:w="6403"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1.申报主体的营业执照（或法人登记证书）复印件；</w:t>
            </w:r>
          </w:p>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2.满足《中华人民共和国政府采购法》第二十二条规定；</w:t>
            </w:r>
          </w:p>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3.企业信用报告（在国家企业信用信</w:t>
            </w:r>
            <w:bookmarkStart w:id="0" w:name="_GoBack"/>
            <w:bookmarkEnd w:id="0"/>
            <w:r>
              <w:rPr>
                <w:rFonts w:hint="eastAsia" w:ascii="仿宋" w:hAnsi="仿宋" w:eastAsia="仿宋" w:cs="仿宋"/>
                <w:kern w:val="2"/>
                <w:sz w:val="24"/>
                <w:szCs w:val="24"/>
                <w:lang w:val="en-US" w:eastAsia="zh-CN" w:bidi="ar-SA"/>
              </w:rPr>
              <w:t>息公示系统内出具报告，涵盖营业执照信息、行政许可信息、行政处罚信息、列入经营异常名录信息等内容）。</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上述三项指标，不提供资料不得分。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项目整体服务方案</w:t>
            </w:r>
          </w:p>
        </w:tc>
        <w:tc>
          <w:tcPr>
            <w:tcW w:w="64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根据申报主体提交的整体</w:t>
            </w:r>
            <w:r>
              <w:rPr>
                <w:rFonts w:hint="eastAsia" w:ascii="仿宋" w:hAnsi="仿宋" w:eastAsia="仿宋" w:cs="仿宋"/>
                <w:sz w:val="24"/>
                <w:szCs w:val="24"/>
                <w:lang w:val="en-US" w:eastAsia="zh-CN"/>
              </w:rPr>
              <w:t>服务</w:t>
            </w:r>
            <w:r>
              <w:rPr>
                <w:rFonts w:hint="eastAsia" w:ascii="仿宋" w:hAnsi="仿宋" w:eastAsia="仿宋" w:cs="仿宋"/>
                <w:sz w:val="24"/>
                <w:szCs w:val="24"/>
                <w:lang w:eastAsia="zh-CN"/>
              </w:rPr>
              <w:t>方案对本项目熟悉程度、工作计划、人员安排、</w:t>
            </w:r>
            <w:r>
              <w:rPr>
                <w:rFonts w:hint="eastAsia" w:ascii="仿宋" w:hAnsi="仿宋" w:eastAsia="仿宋" w:cs="仿宋"/>
                <w:sz w:val="24"/>
                <w:szCs w:val="24"/>
                <w:lang w:val="en-US" w:eastAsia="zh-CN"/>
              </w:rPr>
              <w:t>货物运输、技术培训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地膜回收</w:t>
            </w:r>
            <w:r>
              <w:rPr>
                <w:rFonts w:hint="eastAsia" w:ascii="仿宋" w:hAnsi="仿宋" w:eastAsia="仿宋" w:cs="仿宋"/>
                <w:sz w:val="24"/>
                <w:szCs w:val="24"/>
                <w:lang w:eastAsia="zh-CN"/>
              </w:rPr>
              <w:t>等进行评分，优得</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分，良得</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中得</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分，差得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分，未提供</w:t>
            </w:r>
            <w:r>
              <w:rPr>
                <w:rFonts w:hint="eastAsia" w:ascii="仿宋" w:hAnsi="仿宋" w:eastAsia="仿宋" w:cs="仿宋"/>
                <w:sz w:val="24"/>
                <w:szCs w:val="24"/>
                <w:lang w:val="zh-TW" w:eastAsia="zh-CN"/>
              </w:rPr>
              <w:t>得0分。</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51"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产品质量保证</w:t>
            </w:r>
          </w:p>
        </w:tc>
        <w:tc>
          <w:tcPr>
            <w:tcW w:w="6403" w:type="dxa"/>
            <w:vAlign w:val="center"/>
          </w:tcPr>
          <w:p>
            <w:pPr>
              <w:pStyle w:val="15"/>
              <w:keepNext w:val="0"/>
              <w:keepLines w:val="0"/>
              <w:pageBreakBefore w:val="0"/>
              <w:widowControl w:val="0"/>
              <w:numPr>
                <w:ilvl w:val="0"/>
                <w:numId w:val="3"/>
              </w:numPr>
              <w:kinsoku/>
              <w:wordWrap/>
              <w:overflowPunct/>
              <w:topLinePunct w:val="0"/>
              <w:autoSpaceDE/>
              <w:autoSpaceDN/>
              <w:bidi w:val="0"/>
              <w:adjustRightInd/>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产品力学性能：拉伸负荷≥2N；断裂标称应变(纵向)≥150%；断裂标称应变(横向)≥250%；直角撕裂负荷(纵、横向)≥0.8N（提供具有CMA及CNAS标识的检测报告）得5分；</w:t>
            </w:r>
          </w:p>
          <w:p>
            <w:pPr>
              <w:pStyle w:val="15"/>
              <w:keepNext w:val="0"/>
              <w:keepLines w:val="0"/>
              <w:pageBreakBefore w:val="0"/>
              <w:widowControl w:val="0"/>
              <w:numPr>
                <w:ilvl w:val="0"/>
                <w:numId w:val="3"/>
              </w:numPr>
              <w:kinsoku/>
              <w:wordWrap/>
              <w:overflowPunct/>
              <w:topLinePunct w:val="0"/>
              <w:autoSpaceDE/>
              <w:autoSpaceDN/>
              <w:bidi w:val="0"/>
              <w:adjustRightInd/>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产品水蒸气透过量：产品水蒸气透过率≤380g/(m2·24h)。（提供具有CMA及CNAS标识的检测报告）得5分；</w:t>
            </w:r>
          </w:p>
          <w:p>
            <w:pPr>
              <w:pStyle w:val="15"/>
              <w:keepNext w:val="0"/>
              <w:keepLines w:val="0"/>
              <w:pageBreakBefore w:val="0"/>
              <w:widowControl w:val="0"/>
              <w:numPr>
                <w:ilvl w:val="0"/>
                <w:numId w:val="3"/>
              </w:numPr>
              <w:kinsoku/>
              <w:wordWrap/>
              <w:overflowPunct/>
              <w:topLinePunct w:val="0"/>
              <w:autoSpaceDE/>
              <w:autoSpaceDN/>
              <w:bidi w:val="0"/>
              <w:adjustRightInd/>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产品通过生物降解性能测试（提供国家塑料制品质量监督检验中心出具的检测报告）得5分；</w:t>
            </w:r>
          </w:p>
          <w:p>
            <w:pPr>
              <w:pStyle w:val="15"/>
              <w:keepNext w:val="0"/>
              <w:keepLines w:val="0"/>
              <w:pageBreakBefore w:val="0"/>
              <w:widowControl w:val="0"/>
              <w:numPr>
                <w:ilvl w:val="0"/>
                <w:numId w:val="3"/>
              </w:numPr>
              <w:kinsoku/>
              <w:wordWrap/>
              <w:overflowPunct/>
              <w:topLinePunct w:val="0"/>
              <w:autoSpaceDE/>
              <w:autoSpaceDN/>
              <w:bidi w:val="0"/>
              <w:adjustRightInd/>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产品具有相关发明专利得5分；</w:t>
            </w:r>
          </w:p>
          <w:p>
            <w:pPr>
              <w:pStyle w:val="15"/>
              <w:keepNext w:val="0"/>
              <w:keepLines w:val="0"/>
              <w:pageBreakBefore w:val="0"/>
              <w:widowControl w:val="0"/>
              <w:numPr>
                <w:ilvl w:val="0"/>
                <w:numId w:val="3"/>
              </w:numPr>
              <w:kinsoku/>
              <w:wordWrap/>
              <w:overflowPunct/>
              <w:topLinePunct w:val="0"/>
              <w:autoSpaceDE/>
              <w:autoSpaceDN/>
              <w:bidi w:val="0"/>
              <w:adjustRightInd/>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产品获得省级农业主推技术得5分。</w:t>
            </w:r>
          </w:p>
        </w:tc>
        <w:tc>
          <w:tcPr>
            <w:tcW w:w="764"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25</w:t>
            </w:r>
          </w:p>
        </w:tc>
        <w:tc>
          <w:tcPr>
            <w:tcW w:w="783"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相关业绩证明</w:t>
            </w:r>
          </w:p>
        </w:tc>
        <w:tc>
          <w:tcPr>
            <w:tcW w:w="6403"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申报主体自2022年1月1日起至今承接过农业类项目，每提供一项业绩的得2分，最高得10分。</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注：提供中标（成交）通知书及业绩合同复印件、用户评价书（评价材料必须注明“满意”或“好评”或“优秀”等相关正面评价字眼）等，不提供资料不得分。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服</w:t>
            </w:r>
            <w:r>
              <w:rPr>
                <w:rFonts w:hint="eastAsia" w:ascii="仿宋" w:hAnsi="仿宋" w:eastAsia="仿宋" w:cs="仿宋"/>
                <w:sz w:val="24"/>
                <w:szCs w:val="24"/>
              </w:rPr>
              <w:t>务能力</w:t>
            </w:r>
          </w:p>
        </w:tc>
        <w:tc>
          <w:tcPr>
            <w:tcW w:w="64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拟投入本项目的技术服务人员：具有农业经理人培训证书及获得省级农业部门颁发的省级农村乡土专家荣誉证书为2人以上的，可得5分。注：需提供人员证书及近3个月内出具的任意1个月在申报主体单位购买社保的证明材料，条件不足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综合实力</w:t>
            </w:r>
          </w:p>
        </w:tc>
        <w:tc>
          <w:tcPr>
            <w:tcW w:w="6403"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1.申报主体获得高新技术企业的，得3分。</w:t>
            </w:r>
          </w:p>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申报主体具有质量管理体系认证证书、环境管理体系认证证书、职业健康安全管理体系认证证书、五星品牌服务认证证书、AAAAA履约能力评价服务认证证书。提供一项得2分，最高得10分。注：提供有效期内认证证书复印件及全国认证认可信息公共服务平台查询截图。</w:t>
            </w:r>
          </w:p>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3.申报主体自2020年1月1日以来获得农业类相关奖项的，具有省级或以上奖项的得2分，市级或以下的得1分。注：提供证书或相关证明材料复印件，未提供不得分。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51"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售后服务</w:t>
            </w:r>
          </w:p>
        </w:tc>
        <w:tc>
          <w:tcPr>
            <w:tcW w:w="6403"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申报主体</w:t>
            </w:r>
            <w:r>
              <w:rPr>
                <w:rFonts w:hint="eastAsia" w:ascii="仿宋" w:hAnsi="仿宋" w:eastAsia="仿宋" w:cs="仿宋"/>
                <w:kern w:val="2"/>
                <w:sz w:val="24"/>
                <w:szCs w:val="24"/>
                <w:lang w:val="zh-TW" w:eastAsia="zh-CN" w:bidi="ar-SA"/>
              </w:rPr>
              <w:t>提供的售后服务方案及售后服务评价体系（包括但不限于：售后人员安排、服务响应方式、服务内容、售后服务承诺等)进行打分。优得</w:t>
            </w: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lang w:val="zh-TW" w:eastAsia="zh-CN" w:bidi="ar-SA"/>
              </w:rPr>
              <w:t>分，良得</w:t>
            </w:r>
            <w:r>
              <w:rPr>
                <w:rFonts w:hint="eastAsia" w:ascii="仿宋" w:hAnsi="仿宋" w:eastAsia="仿宋" w:cs="仿宋"/>
                <w:kern w:val="2"/>
                <w:sz w:val="24"/>
                <w:szCs w:val="24"/>
                <w:lang w:val="en-US" w:eastAsia="zh-CN" w:bidi="ar-SA"/>
              </w:rPr>
              <w:t>3分，</w:t>
            </w:r>
            <w:r>
              <w:rPr>
                <w:rFonts w:hint="eastAsia" w:ascii="仿宋" w:hAnsi="仿宋" w:eastAsia="仿宋" w:cs="仿宋"/>
                <w:kern w:val="2"/>
                <w:sz w:val="24"/>
                <w:szCs w:val="24"/>
                <w:lang w:val="zh-TW" w:eastAsia="zh-CN" w:bidi="ar-SA"/>
              </w:rPr>
              <w:t>中得</w:t>
            </w:r>
            <w:r>
              <w:rPr>
                <w:rFonts w:hint="eastAsia" w:ascii="仿宋" w:hAnsi="仿宋" w:eastAsia="仿宋" w:cs="仿宋"/>
                <w:kern w:val="2"/>
                <w:sz w:val="24"/>
                <w:szCs w:val="24"/>
                <w:lang w:val="en-US" w:eastAsia="zh-CN" w:bidi="ar-SA"/>
              </w:rPr>
              <w:t>1</w:t>
            </w:r>
            <w:r>
              <w:rPr>
                <w:rFonts w:hint="eastAsia" w:ascii="仿宋" w:hAnsi="仿宋" w:eastAsia="仿宋" w:cs="仿宋"/>
                <w:kern w:val="2"/>
                <w:sz w:val="24"/>
                <w:szCs w:val="24"/>
                <w:lang w:val="zh-TW" w:eastAsia="zh-CN" w:bidi="ar-SA"/>
              </w:rPr>
              <w:t>分，</w:t>
            </w:r>
            <w:r>
              <w:rPr>
                <w:rFonts w:hint="eastAsia" w:ascii="仿宋" w:hAnsi="仿宋" w:eastAsia="仿宋" w:cs="仿宋"/>
                <w:kern w:val="2"/>
                <w:sz w:val="24"/>
                <w:szCs w:val="24"/>
                <w:lang w:val="en-US" w:eastAsia="zh-CN" w:bidi="ar-SA"/>
              </w:rPr>
              <w:t>差或未提供</w:t>
            </w:r>
            <w:r>
              <w:rPr>
                <w:rFonts w:hint="eastAsia" w:ascii="仿宋" w:hAnsi="仿宋" w:eastAsia="仿宋" w:cs="仿宋"/>
                <w:kern w:val="2"/>
                <w:sz w:val="24"/>
                <w:szCs w:val="24"/>
                <w:lang w:val="zh-TW" w:eastAsia="zh-CN" w:bidi="ar-SA"/>
              </w:rPr>
              <w:t>得0分。</w:t>
            </w:r>
          </w:p>
        </w:tc>
        <w:tc>
          <w:tcPr>
            <w:tcW w:w="764"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783"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w:t>
            </w:r>
          </w:p>
        </w:tc>
        <w:tc>
          <w:tcPr>
            <w:tcW w:w="6403"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 w:hAnsi="仿宋" w:eastAsia="仿宋" w:cs="仿宋"/>
                <w:kern w:val="2"/>
                <w:sz w:val="24"/>
                <w:szCs w:val="24"/>
                <w:lang w:val="zh-TW" w:eastAsia="zh-CN" w:bidi="ar-SA"/>
              </w:rPr>
            </w:pPr>
            <w:r>
              <w:rPr>
                <w:rFonts w:hint="eastAsia" w:ascii="仿宋" w:hAnsi="仿宋" w:eastAsia="仿宋" w:cs="仿宋"/>
                <w:kern w:val="2"/>
                <w:sz w:val="24"/>
                <w:szCs w:val="24"/>
                <w:lang w:val="zh-TW" w:eastAsia="zh-CN" w:bidi="ar-SA"/>
              </w:rPr>
              <w:t>投标报价得分＝（评标基准价/投标报价）×价格分值</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zh-TW" w:eastAsia="zh-CN" w:bidi="ar-SA"/>
              </w:rPr>
              <w:t>注：满足招标文件要求且投标价格最低的投标报价为评标基准价。最低报价不是中标的唯一依据。因落实政府采购政策进行价格调整的，以调整后的价格计算评标基准价和投标报价。</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4" w:type="dxa"/>
            <w:gridSpan w:val="3"/>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合计</w:t>
            </w:r>
          </w:p>
        </w:tc>
        <w:tc>
          <w:tcPr>
            <w:tcW w:w="764" w:type="dxa"/>
            <w:vAlign w:val="center"/>
          </w:tcPr>
          <w:p>
            <w:pPr>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783" w:type="dxa"/>
            <w:vAlign w:val="center"/>
          </w:tcPr>
          <w:p>
            <w:pPr>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bl>
    <w:p>
      <w:pPr>
        <w:bidi w:val="0"/>
        <w:rPr>
          <w:rFonts w:hint="eastAsia"/>
        </w:rPr>
      </w:pPr>
    </w:p>
    <w:p>
      <w:pPr>
        <w:spacing w:line="360" w:lineRule="auto"/>
        <w:jc w:val="center"/>
        <w:rPr>
          <w:rFonts w:hint="eastAsia"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2293C"/>
    <w:multiLevelType w:val="multilevel"/>
    <w:tmpl w:val="9B42293C"/>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D7C30BD"/>
    <w:multiLevelType w:val="singleLevel"/>
    <w:tmpl w:val="DD7C30BD"/>
    <w:lvl w:ilvl="0" w:tentative="0">
      <w:start w:val="1"/>
      <w:numFmt w:val="chineseCounting"/>
      <w:pStyle w:val="2"/>
      <w:suff w:val="nothing"/>
      <w:lvlText w:val="%1、"/>
      <w:lvlJc w:val="left"/>
      <w:pPr>
        <w:ind w:left="0" w:firstLine="420"/>
      </w:pPr>
      <w:rPr>
        <w:rFonts w:hint="eastAsia"/>
      </w:rPr>
    </w:lvl>
  </w:abstractNum>
  <w:abstractNum w:abstractNumId="2">
    <w:nsid w:val="3E88B321"/>
    <w:multiLevelType w:val="multilevel"/>
    <w:tmpl w:val="3E88B3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TgxZDVjYzQxZTFmYzU4ODAwZjQ0MDBlNTQ0MzYifQ=="/>
  </w:docVars>
  <w:rsids>
    <w:rsidRoot w:val="683323C3"/>
    <w:rsid w:val="009C7E59"/>
    <w:rsid w:val="06EE1F05"/>
    <w:rsid w:val="09F97BAE"/>
    <w:rsid w:val="0ACB74CD"/>
    <w:rsid w:val="0E9C5445"/>
    <w:rsid w:val="0EC45460"/>
    <w:rsid w:val="144A0C1A"/>
    <w:rsid w:val="1690403D"/>
    <w:rsid w:val="1848354B"/>
    <w:rsid w:val="1A62613E"/>
    <w:rsid w:val="1D3F7148"/>
    <w:rsid w:val="1D8A468A"/>
    <w:rsid w:val="1DCB6472"/>
    <w:rsid w:val="2623053C"/>
    <w:rsid w:val="268A554D"/>
    <w:rsid w:val="298C0A9C"/>
    <w:rsid w:val="2F4774BE"/>
    <w:rsid w:val="334E5C5B"/>
    <w:rsid w:val="362D0D7C"/>
    <w:rsid w:val="37895396"/>
    <w:rsid w:val="3ADA2C0F"/>
    <w:rsid w:val="3CB42A5B"/>
    <w:rsid w:val="42505960"/>
    <w:rsid w:val="43916620"/>
    <w:rsid w:val="4AB1151A"/>
    <w:rsid w:val="4CBC41D8"/>
    <w:rsid w:val="4D8E5B05"/>
    <w:rsid w:val="4DEB7EB9"/>
    <w:rsid w:val="4EE14A4F"/>
    <w:rsid w:val="4F026BD0"/>
    <w:rsid w:val="4FB45E9D"/>
    <w:rsid w:val="4FBC0533"/>
    <w:rsid w:val="50E23BBD"/>
    <w:rsid w:val="51E40FC8"/>
    <w:rsid w:val="53A3046F"/>
    <w:rsid w:val="561C6B8F"/>
    <w:rsid w:val="573F6FFC"/>
    <w:rsid w:val="57D464A8"/>
    <w:rsid w:val="59930900"/>
    <w:rsid w:val="5FDE7DC1"/>
    <w:rsid w:val="610B3FB7"/>
    <w:rsid w:val="63A437FA"/>
    <w:rsid w:val="64C87D64"/>
    <w:rsid w:val="6532645E"/>
    <w:rsid w:val="683323C3"/>
    <w:rsid w:val="692E4C99"/>
    <w:rsid w:val="69D46614"/>
    <w:rsid w:val="6A5D63AA"/>
    <w:rsid w:val="6C0C10C4"/>
    <w:rsid w:val="6C7361D6"/>
    <w:rsid w:val="7AA30F17"/>
    <w:rsid w:val="7B8D1796"/>
    <w:rsid w:val="7CAE1C98"/>
    <w:rsid w:val="7DE47A64"/>
    <w:rsid w:val="7F81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0" w:beforeAutospacing="0" w:afterLines="0" w:afterAutospacing="0" w:line="360" w:lineRule="auto"/>
      <w:ind w:left="432" w:hanging="432"/>
      <w:jc w:val="center"/>
      <w:outlineLvl w:val="0"/>
    </w:pPr>
    <w:rPr>
      <w:rFonts w:eastAsia="宋体" w:asciiTheme="minorAscii" w:hAnsiTheme="minorAscii"/>
      <w:b/>
      <w:kern w:val="44"/>
      <w:sz w:val="30"/>
    </w:rPr>
  </w:style>
  <w:style w:type="paragraph" w:styleId="3">
    <w:name w:val="heading 2"/>
    <w:basedOn w:val="1"/>
    <w:next w:val="1"/>
    <w:autoRedefine/>
    <w:semiHidden/>
    <w:unhideWhenUsed/>
    <w:qFormat/>
    <w:uiPriority w:val="0"/>
    <w:pPr>
      <w:keepNext/>
      <w:keepLines/>
      <w:numPr>
        <w:ilvl w:val="1"/>
        <w:numId w:val="2"/>
      </w:numPr>
      <w:tabs>
        <w:tab w:val="left" w:pos="840"/>
      </w:tabs>
      <w:spacing w:beforeLines="0" w:beforeAutospacing="0" w:afterLines="0" w:afterAutospacing="0" w:line="360" w:lineRule="auto"/>
      <w:ind w:left="0" w:firstLine="0"/>
      <w:outlineLvl w:val="1"/>
    </w:pPr>
    <w:rPr>
      <w:rFonts w:ascii="Arial" w:hAnsi="Arial" w:eastAsia="宋体" w:cs="Times New Roman"/>
      <w:b/>
      <w:sz w:val="30"/>
    </w:rPr>
  </w:style>
  <w:style w:type="paragraph" w:styleId="4">
    <w:name w:val="heading 3"/>
    <w:basedOn w:val="1"/>
    <w:next w:val="1"/>
    <w:autoRedefine/>
    <w:semiHidden/>
    <w:unhideWhenUsed/>
    <w:qFormat/>
    <w:uiPriority w:val="0"/>
    <w:pPr>
      <w:keepNext/>
      <w:keepLines/>
      <w:numPr>
        <w:ilvl w:val="2"/>
        <w:numId w:val="2"/>
      </w:numPr>
      <w:spacing w:beforeLines="0" w:beforeAutospacing="0" w:afterLines="0" w:afterAutospacing="0" w:line="360" w:lineRule="auto"/>
      <w:ind w:firstLine="400"/>
      <w:jc w:val="left"/>
      <w:outlineLvl w:val="2"/>
    </w:pPr>
    <w:rPr>
      <w:rFonts w:ascii="Tahoma" w:hAnsi="Tahoma" w:eastAsia="宋体" w:cs="Times New Roman"/>
      <w:b/>
      <w:sz w:val="30"/>
    </w:rPr>
  </w:style>
  <w:style w:type="paragraph" w:styleId="5">
    <w:name w:val="heading 4"/>
    <w:basedOn w:val="1"/>
    <w:next w:val="1"/>
    <w:autoRedefine/>
    <w:semiHidden/>
    <w:unhideWhenUsed/>
    <w:qFormat/>
    <w:uiPriority w:val="0"/>
    <w:pPr>
      <w:keepNext/>
      <w:keepLines/>
      <w:numPr>
        <w:ilvl w:val="3"/>
        <w:numId w:val="2"/>
      </w:numPr>
      <w:spacing w:beforeLines="0" w:beforeAutospacing="0" w:afterLines="0" w:afterAutospacing="0" w:line="360" w:lineRule="auto"/>
      <w:ind w:firstLine="402"/>
      <w:outlineLvl w:val="3"/>
    </w:pPr>
    <w:rPr>
      <w:rFonts w:ascii="Arial" w:hAnsi="Arial" w:eastAsia="宋体" w:cs="Times New Roman"/>
      <w:b/>
      <w:sz w:val="28"/>
    </w:rPr>
  </w:style>
  <w:style w:type="paragraph" w:styleId="6">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9">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Plain Text"/>
    <w:basedOn w:val="1"/>
    <w:autoRedefine/>
    <w:qFormat/>
    <w:uiPriority w:val="0"/>
    <w:rPr>
      <w:rFonts w:ascii="宋体" w:hAnsi="Courier New"/>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1108</Words>
  <Characters>1174</Characters>
  <Lines>0</Lines>
  <Paragraphs>0</Paragraphs>
  <TotalTime>9</TotalTime>
  <ScaleCrop>false</ScaleCrop>
  <LinksUpToDate>false</LinksUpToDate>
  <CharactersWithSpaces>1174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2024-04-23T08:44:00Z</dcterms:created>
  <dc:creator>SL</dc:creator>
  <cp:lastModifiedBy>蛋布粒多</cp:lastModifiedBy>
  <dcterms:modified xsi:type="dcterms:W3CDTF">2024-06-04T08:47:27Z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77FBECE9A3D94757900527C44336CCB2_13</vt:lpwstr>
  </property>
</Properties>
</file>