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华文中宋" w:hAnsi="华文中宋" w:eastAsia="黑体" w:cs="华文中宋"/>
          <w:color w:val="auto"/>
          <w:spacing w:val="-12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ordWrap/>
        <w:adjustRightInd/>
        <w:snapToGrid/>
        <w:spacing w:line="560" w:lineRule="exact"/>
        <w:ind w:firstLine="832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spacing w:val="-12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</w:rPr>
        <w:t>部分不合格项目小知识</w:t>
      </w:r>
    </w:p>
    <w:p>
      <w:pPr>
        <w:pStyle w:val="11"/>
        <w:wordWrap/>
        <w:adjustRightInd/>
        <w:snapToGrid/>
        <w:spacing w:after="0" w:line="560" w:lineRule="exact"/>
        <w:ind w:left="640" w:firstLine="480"/>
        <w:textAlignment w:val="auto"/>
        <w:rPr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（一）脱氢乙酸及其钠盐（以脱氢乙酸计）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default" w:ascii="Calibri" w:hAnsi="Calibri" w:eastAsia="仿宋_GB2312" w:cs="黑体"/>
          <w:kern w:val="2"/>
          <w:sz w:val="28"/>
          <w:szCs w:val="22"/>
          <w:lang w:val="en-US" w:eastAsia="zh-CN" w:bidi="ar-SA"/>
        </w:rPr>
        <w:t>脱氢乙酸及其钠盐作为一种广谱食品防腐剂，对霉菌和酵母菌的抑制能力强。《食品安全国家标准食品添加剂使用标准》（GB 2760—2014）中规定，糕点中脱氢乙酸及其钠盐（以脱氢乙酸计）最大使用量为0.5g/kg。脱氢乙酸及其钠盐能被人体完全吸收，并能抑制人体内多种氧化酶，长期过量摄入脱氢乙酸及其钠盐会危害人体健康。脱氢乙酸及其钠盐（以脱氢乙酸计）超标的原因，可能是个别企业为防止食品腐败变质超范围使用了该添加剂，也可能是其使用的复配添加剂中含有该添加剂。</w:t>
      </w:r>
    </w:p>
    <w:p>
      <w:pPr>
        <w:ind w:firstLine="642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（二）磺胺类(总量)</w:t>
      </w:r>
    </w:p>
    <w:p>
      <w:pPr>
        <w:ind w:firstLine="560" w:firstLineChars="200"/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  <w:t>磺胺类药物是一种人工合成的抗菌谱较广、性质稳定、使用简便的抗菌药，对大多数革兰氏阳性菌和阴性菌都有较强抑制作用，广泛用于防治鸡球虫病。摄入磺胺类（总量）超标的食品，可能引起皮疹、药热等过敏反应。猪肉中磺胺类超标的原因，可能是养殖户在养殖过程中违规使用相关兽药。长期摄入磺胺类超标的动物性食品，可能导致泌尿系统和肝脏损伤等健康危害。</w:t>
      </w:r>
    </w:p>
    <w:p>
      <w:pPr>
        <w:spacing w:line="360" w:lineRule="auto"/>
        <w:ind w:firstLine="642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（三）</w:t>
      </w:r>
      <w:bookmarkStart w:id="0" w:name="OLE_LINK2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灭蝇胺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default" w:ascii="Calibri" w:hAnsi="Calibri" w:eastAsia="仿宋_GB2312" w:cs="黑体"/>
          <w:kern w:val="2"/>
          <w:sz w:val="28"/>
          <w:szCs w:val="22"/>
          <w:lang w:val="en-US" w:eastAsia="zh-CN" w:bidi="ar-SA"/>
        </w:rPr>
        <w:t>　</w:t>
      </w:r>
      <w:r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  <w:t>灭蝇胺又名环丙氨嗪，是一种触杀、胃毒和内吸传导作用的昆虫生长调节剂类杀虫剂。根据GB 2763-2021《食品安全国家标准食品中农药最大残留限量》中规定，灭蝇胺在豇豆中的最大残留限量为0.5 mg/kg。少量的残留不会引起人体急性中毒，但长期食用灭蝇胺超标的食品，可能对人体健康有一定影响。豇豆中灭蝇胺超标的原因，可能是菜农对使用农药的安全间隔期不了解，从而违规使用或滥用农药。</w:t>
      </w:r>
    </w:p>
    <w:bookmarkEnd w:id="0"/>
    <w:p>
      <w:pPr>
        <w:spacing w:line="360" w:lineRule="auto"/>
        <w:ind w:firstLine="642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（四）铅（以Pb计）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  <w:t>铅是一种常见的重金属元素污染物，会严重危害人体健康。长期食用铅超标的食品，可能会对人体的血液系统、神经系统产生损害，尤其对儿童生长和智力发育的影响较大。《食品安全国家标准食品中污染物限量》（GB 2762—2022）中规定，铅（以Pb计）在姜中的最大残留限量为0.2mg/kg。姜中铅（以Pb计）超标的原因，可能与生姜生长过程中富集环境中的铅元素有关。</w:t>
      </w:r>
    </w:p>
    <w:p>
      <w:pPr>
        <w:spacing w:line="360" w:lineRule="auto"/>
        <w:ind w:firstLine="642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（五）镉（以Cd计）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  <w:t>镉（以Cd计）是一种蓄积性的重金属元素。长期食用镉（以Cd计）超标的食品，可能对肾脏、肝脏和骨骼造成损害，还可能影响免疫系统，甚至可能对儿童高级神经活动有损害。《食品安全国家标准食品中污染物限量》（GB 2762—2022）中规定，镉（以Cd计）在韭菜中的最大残留限量为0.05 mg/kg。韭菜中镉（以Cd计）超标的原因，可能与生长过程中富集环境中的镉元素有关。</w:t>
      </w:r>
    </w:p>
    <w:p>
      <w:pPr>
        <w:spacing w:line="360" w:lineRule="auto"/>
        <w:ind w:firstLine="642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（六）噻虫胺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  <w:t>噻虫胺是新烟碱类中的一种杀虫剂，是一类高效安全、高选择性的新型杀虫剂。食用少量的残留农药，人体自身会降解，不会突然引起急性中毒，但长期食用没有清洗干净带有残留农药的农产品，可能会导致身体免疫力下降，加重肝脏的负担，或者引起恶心等。红尖椒中噻虫胺超标的原因，可能是菜农对使用农药的安全间隔期不了解，从而违规使用或滥用农药。</w:t>
      </w:r>
    </w:p>
    <w:p>
      <w:pPr>
        <w:spacing w:line="360" w:lineRule="auto"/>
        <w:ind w:firstLine="642" w:firstLineChars="200"/>
        <w:jc w:val="left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（七）地美硝唑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  <w:t>地美硝唑是硝基咪唑类抗原虫药，可用于治疗禽组织滴虫病等。长期食用检出地美硝唑的食品，可能在人体内蓄积，引起平衡失调以及肝肾功能损伤等。《食品安全国家标准 食品中兽药最大残留限量》（GB 31650-2019）中规定，地美硝唑允许作治疗用，</w:t>
      </w:r>
      <w:r>
        <w:rPr>
          <w:rFonts w:hint="default" w:ascii="Calibri" w:hAnsi="Calibri" w:eastAsia="仿宋_GB2312" w:cs="黑体"/>
          <w:kern w:val="2"/>
          <w:sz w:val="28"/>
          <w:szCs w:val="22"/>
          <w:lang w:val="en-US" w:eastAsia="zh-CN" w:bidi="ar-SA"/>
        </w:rPr>
        <w:t>但不得在动物性食品中检出的兽药。鸡蛋中检出地美硝唑的原因，可能是用药治疗蛋鸡疾病导致地美硝唑在其体内残留，进而传递至鸡蛋中。</w:t>
      </w:r>
    </w:p>
    <w:p>
      <w:pPr>
        <w:pStyle w:val="3"/>
        <w:numPr>
          <w:numId w:val="0"/>
        </w:numPr>
        <w:ind w:firstLine="64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（八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）呋喃唑酮代谢物</w:t>
      </w:r>
    </w:p>
    <w:p>
      <w:pPr>
        <w:pStyle w:val="2"/>
        <w:rPr>
          <w:rFonts w:hint="default" w:ascii="Calibri" w:hAnsi="Calibri" w:eastAsia="仿宋_GB2312" w:cs="黑体"/>
          <w:kern w:val="2"/>
          <w:sz w:val="28"/>
          <w:szCs w:val="22"/>
          <w:lang w:val="en-US" w:eastAsia="zh-CN" w:bidi="ar-SA"/>
        </w:rPr>
      </w:pPr>
      <w:r>
        <w:rPr>
          <w:rFonts w:hint="default" w:ascii="Calibri" w:hAnsi="Calibri" w:eastAsia="仿宋_GB2312" w:cs="黑体"/>
          <w:kern w:val="2"/>
          <w:sz w:val="28"/>
          <w:szCs w:val="22"/>
          <w:lang w:val="en-US" w:eastAsia="zh-CN" w:bidi="ar-SA"/>
        </w:rPr>
        <w:t>呋喃唑酮是一种硝基呋喃抗炎药，可用以医治病菌和疟原虫造成的痢疾、肠炎、胃溃疡等消化道疾病。呋喃唑酮为广谱抗菌药，对普遍的革兰氏阳性菌阴性菌和阳性菌有抑制效果。中华人民共和国农业农村部公告第 250 号《食品动物中禁止使用的药品及其他化合物清单》中要求，食品动物中禁止使用硝基呋喃类药物。过量使用呋喃唑酮可能会导致胃肠道反应；溶血性贫血、皮疹、药热等过敏反应；多发性神经炎；新生儿和G-6-PH缺乏可致溶血性贫血。研究也表明，长时间或高剂量服用呋喃唑酮对人的肝、肾、心脏、下丘脑及生殖系统等都有不同程度的毒副作用。</w:t>
      </w:r>
    </w:p>
    <w:p>
      <w:pPr>
        <w:ind w:firstLine="642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（九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）2,4-滴和2,4-滴钠盐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="Calibri" w:hAnsi="Calibri" w:eastAsia="仿宋_GB2312" w:cs="黑体"/>
          <w:kern w:val="2"/>
          <w:sz w:val="28"/>
          <w:szCs w:val="22"/>
          <w:lang w:val="en-US" w:eastAsia="zh-CN" w:bidi="ar-SA"/>
        </w:rPr>
        <w:t>2,4-滴钠盐是选择性内吸传导激素型化学制剂，对植物有强烈的生理活性。低浓度时（1～30ppm）具有植物生长素之功能，可刺激作物生长，可作为植物生长调节剂，也可作为除草剂。2，4-滴和2,4-滴钠盐超标，原因可能是快速控制虫害时加大药量，或未遵守采摘间隔期规定，致使上市销售时产品中的药物残留量为降解至标准限量以下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5D87"/>
    <w:rsid w:val="000E11B9"/>
    <w:rsid w:val="000E3D58"/>
    <w:rsid w:val="003337F0"/>
    <w:rsid w:val="00482B25"/>
    <w:rsid w:val="00597BE5"/>
    <w:rsid w:val="00652391"/>
    <w:rsid w:val="006F1AC3"/>
    <w:rsid w:val="007C015E"/>
    <w:rsid w:val="00837988"/>
    <w:rsid w:val="00962E79"/>
    <w:rsid w:val="00C6147A"/>
    <w:rsid w:val="00D32A12"/>
    <w:rsid w:val="00DC1BE9"/>
    <w:rsid w:val="00FD5D87"/>
    <w:rsid w:val="01703FCC"/>
    <w:rsid w:val="038A0E9B"/>
    <w:rsid w:val="03D21894"/>
    <w:rsid w:val="06DB307E"/>
    <w:rsid w:val="06ED7C8E"/>
    <w:rsid w:val="09550E1D"/>
    <w:rsid w:val="0B944C67"/>
    <w:rsid w:val="105F10C2"/>
    <w:rsid w:val="11967B5A"/>
    <w:rsid w:val="11A14E51"/>
    <w:rsid w:val="11A61283"/>
    <w:rsid w:val="13830ABC"/>
    <w:rsid w:val="14FE278E"/>
    <w:rsid w:val="179F5CDF"/>
    <w:rsid w:val="18197C79"/>
    <w:rsid w:val="1DA90CDB"/>
    <w:rsid w:val="1EB1407B"/>
    <w:rsid w:val="1FE16016"/>
    <w:rsid w:val="1FE63693"/>
    <w:rsid w:val="20236A17"/>
    <w:rsid w:val="216456F5"/>
    <w:rsid w:val="24107A0A"/>
    <w:rsid w:val="26B3029E"/>
    <w:rsid w:val="2BFA29CF"/>
    <w:rsid w:val="2EC16D66"/>
    <w:rsid w:val="2F992B46"/>
    <w:rsid w:val="30F22B39"/>
    <w:rsid w:val="3658401E"/>
    <w:rsid w:val="36CC40A2"/>
    <w:rsid w:val="36DC65D0"/>
    <w:rsid w:val="39B82271"/>
    <w:rsid w:val="3A9C284F"/>
    <w:rsid w:val="3ABD6286"/>
    <w:rsid w:val="3CB70FFB"/>
    <w:rsid w:val="3E36364F"/>
    <w:rsid w:val="3FFCA3F7"/>
    <w:rsid w:val="414819A5"/>
    <w:rsid w:val="41764853"/>
    <w:rsid w:val="41AF633F"/>
    <w:rsid w:val="41E12811"/>
    <w:rsid w:val="42D84DE1"/>
    <w:rsid w:val="46BD3ECE"/>
    <w:rsid w:val="46EC7E96"/>
    <w:rsid w:val="495820B3"/>
    <w:rsid w:val="4AA41E3E"/>
    <w:rsid w:val="4B4476EB"/>
    <w:rsid w:val="4C2C2250"/>
    <w:rsid w:val="4CD063C3"/>
    <w:rsid w:val="52CD7EE2"/>
    <w:rsid w:val="548668F6"/>
    <w:rsid w:val="560143AB"/>
    <w:rsid w:val="5856369B"/>
    <w:rsid w:val="59673CB0"/>
    <w:rsid w:val="5A1B165B"/>
    <w:rsid w:val="5B7D9189"/>
    <w:rsid w:val="5C4E181B"/>
    <w:rsid w:val="5D17FCD0"/>
    <w:rsid w:val="5EFF9EDD"/>
    <w:rsid w:val="60710F4D"/>
    <w:rsid w:val="624B68AC"/>
    <w:rsid w:val="62BD40DD"/>
    <w:rsid w:val="64A06D31"/>
    <w:rsid w:val="64C67637"/>
    <w:rsid w:val="664769BF"/>
    <w:rsid w:val="681F0B5E"/>
    <w:rsid w:val="691058AE"/>
    <w:rsid w:val="69961F9F"/>
    <w:rsid w:val="6C670B12"/>
    <w:rsid w:val="6D4E4E61"/>
    <w:rsid w:val="6EEA194B"/>
    <w:rsid w:val="70DC3B36"/>
    <w:rsid w:val="71940C37"/>
    <w:rsid w:val="72EA59A9"/>
    <w:rsid w:val="73132CD6"/>
    <w:rsid w:val="77F127E4"/>
    <w:rsid w:val="798249BB"/>
    <w:rsid w:val="7D5C025A"/>
    <w:rsid w:val="7DDBE08B"/>
    <w:rsid w:val="7DEA6C04"/>
    <w:rsid w:val="7E7440C5"/>
    <w:rsid w:val="7EACF1DC"/>
    <w:rsid w:val="7F037761"/>
    <w:rsid w:val="7F769FE9"/>
    <w:rsid w:val="7F9E3854"/>
    <w:rsid w:val="AFEA026E"/>
    <w:rsid w:val="EF5FA30F"/>
    <w:rsid w:val="FFBF62DB"/>
    <w:rsid w:val="FFF34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240" w:lineRule="auto"/>
      <w:outlineLvl w:val="1"/>
    </w:pPr>
    <w:rPr>
      <w:rFonts w:ascii="楷体" w:hAnsi="楷体" w:eastAsia="楷体" w:cs="黑体"/>
      <w:b/>
      <w:bCs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styleId="5">
    <w:name w:val="Body Text"/>
    <w:basedOn w:val="1"/>
    <w:next w:val="1"/>
    <w:unhideWhenUsed/>
    <w:qFormat/>
    <w:uiPriority w:val="99"/>
    <w:rPr>
      <w:sz w:val="28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0">
    <w:name w:val="Body Text First Indent"/>
    <w:basedOn w:val="5"/>
    <w:next w:val="11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2021-11-24T09:31:00Z</dcterms:created>
  <dc:creator>Windows User</dc:creator>
  <cp:lastModifiedBy>user</cp:lastModifiedBy>
  <dcterms:modified xsi:type="dcterms:W3CDTF">2024-11-04T15:07:46Z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