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6E188">
      <w:pPr>
        <w:pStyle w:val="3"/>
        <w:spacing w:before="55" w:line="560" w:lineRule="exac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4-2</w:t>
      </w:r>
    </w:p>
    <w:p w14:paraId="4D8FB50C">
      <w:pPr>
        <w:keepNext w:val="0"/>
        <w:keepLines w:val="0"/>
        <w:pageBreakBefore w:val="0"/>
        <w:widowControl w:val="0"/>
        <w:tabs>
          <w:tab w:val="left" w:pos="6481"/>
          <w:tab w:val="left" w:pos="111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" w:after="45" w:line="5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2024年度五华县畜禽粪污资源化利用整县推进项目专项资金项目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p w14:paraId="2B546A0C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/>
        </w:rPr>
        <w:t>（种植经营主体类）</w:t>
      </w:r>
    </w:p>
    <w:p w14:paraId="09C1E897">
      <w:pPr>
        <w:tabs>
          <w:tab w:val="left" w:pos="6481"/>
          <w:tab w:val="left" w:pos="11161"/>
        </w:tabs>
        <w:spacing w:before="1" w:after="45" w:line="560" w:lineRule="exact"/>
        <w:ind w:firstLine="240" w:firstLineChars="100"/>
        <w:jc w:val="left"/>
        <w:rPr>
          <w:rFonts w:ascii="Times New Roman" w:hAnsi="Times New Roman" w:eastAsia="黑体" w:cs="黑体"/>
          <w:sz w:val="24"/>
        </w:rPr>
      </w:pPr>
      <w:r>
        <w:rPr>
          <w:rFonts w:hint="eastAsia" w:ascii="Times New Roman" w:hAnsi="Times New Roman" w:eastAsia="黑体" w:cs="黑体"/>
          <w:sz w:val="24"/>
        </w:rPr>
        <w:t>填报单</w:t>
      </w:r>
      <w:r>
        <w:rPr>
          <w:rFonts w:hint="eastAsia" w:ascii="Times New Roman" w:hAnsi="Times New Roman" w:eastAsia="黑体" w:cs="黑体"/>
          <w:spacing w:val="-3"/>
          <w:sz w:val="24"/>
        </w:rPr>
        <w:t>位</w:t>
      </w:r>
      <w:r>
        <w:rPr>
          <w:rFonts w:hint="eastAsia" w:ascii="Times New Roman" w:hAnsi="Times New Roman" w:eastAsia="黑体" w:cs="黑体"/>
          <w:sz w:val="24"/>
        </w:rPr>
        <w:t>（盖</w:t>
      </w:r>
      <w:r>
        <w:rPr>
          <w:rFonts w:hint="eastAsia" w:ascii="Times New Roman" w:hAnsi="Times New Roman" w:eastAsia="黑体" w:cs="黑体"/>
          <w:spacing w:val="1"/>
          <w:sz w:val="24"/>
        </w:rPr>
        <w:t>章</w:t>
      </w:r>
      <w:r>
        <w:rPr>
          <w:rFonts w:hint="eastAsia" w:ascii="Times New Roman" w:hAnsi="Times New Roman" w:eastAsia="黑体" w:cs="黑体"/>
          <w:spacing w:val="-120"/>
          <w:sz w:val="24"/>
        </w:rPr>
        <w:t>）</w:t>
      </w:r>
      <w:r>
        <w:rPr>
          <w:rFonts w:hint="eastAsia" w:ascii="Times New Roman" w:hAnsi="Times New Roman" w:eastAsia="黑体" w:cs="黑体"/>
          <w:sz w:val="24"/>
        </w:rPr>
        <w:tab/>
      </w:r>
      <w:r>
        <w:rPr>
          <w:rFonts w:hint="eastAsia" w:ascii="Times New Roman" w:hAnsi="Times New Roman" w:eastAsia="黑体" w:cs="黑体"/>
          <w:sz w:val="24"/>
        </w:rPr>
        <w:t>填报人及联系方</w:t>
      </w:r>
      <w:r>
        <w:rPr>
          <w:rFonts w:hint="eastAsia" w:ascii="Times New Roman" w:hAnsi="Times New Roman" w:eastAsia="黑体" w:cs="黑体"/>
          <w:spacing w:val="-3"/>
          <w:sz w:val="24"/>
        </w:rPr>
        <w:t>式</w:t>
      </w:r>
      <w:r>
        <w:rPr>
          <w:rFonts w:hint="eastAsia" w:ascii="Times New Roman" w:hAnsi="Times New Roman" w:eastAsia="黑体" w:cs="黑体"/>
          <w:sz w:val="24"/>
        </w:rPr>
        <w:t>：</w:t>
      </w:r>
      <w:r>
        <w:rPr>
          <w:rFonts w:hint="eastAsia" w:ascii="Times New Roman" w:hAnsi="Times New Roman" w:eastAsia="黑体" w:cs="黑体"/>
          <w:sz w:val="24"/>
        </w:rPr>
        <w:tab/>
      </w:r>
      <w:r>
        <w:rPr>
          <w:rFonts w:hint="eastAsia" w:ascii="Times New Roman" w:hAnsi="Times New Roman" w:eastAsia="黑体" w:cs="黑体"/>
          <w:sz w:val="24"/>
        </w:rPr>
        <w:t>填报日</w:t>
      </w:r>
      <w:r>
        <w:rPr>
          <w:rFonts w:hint="eastAsia" w:ascii="Times New Roman" w:hAnsi="Times New Roman" w:eastAsia="黑体" w:cs="黑体"/>
          <w:spacing w:val="-3"/>
          <w:sz w:val="24"/>
        </w:rPr>
        <w:t>期</w:t>
      </w:r>
      <w:r>
        <w:rPr>
          <w:rFonts w:hint="eastAsia" w:ascii="Times New Roman" w:hAnsi="Times New Roman" w:eastAsia="黑体" w:cs="黑体"/>
          <w:sz w:val="24"/>
        </w:rPr>
        <w:t>：</w:t>
      </w:r>
    </w:p>
    <w:tbl>
      <w:tblPr>
        <w:tblStyle w:val="6"/>
        <w:tblW w:w="491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1288"/>
        <w:gridCol w:w="861"/>
        <w:gridCol w:w="1361"/>
        <w:gridCol w:w="1301"/>
        <w:gridCol w:w="644"/>
        <w:gridCol w:w="598"/>
        <w:gridCol w:w="818"/>
        <w:gridCol w:w="1049"/>
        <w:gridCol w:w="932"/>
        <w:gridCol w:w="894"/>
        <w:gridCol w:w="3105"/>
      </w:tblGrid>
      <w:tr w14:paraId="430BD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263" w:type="pct"/>
            <w:vMerge w:val="restart"/>
            <w:vAlign w:val="center"/>
          </w:tcPr>
          <w:p w14:paraId="7197778A">
            <w:pPr>
              <w:pStyle w:val="8"/>
              <w:spacing w:line="56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序号</w:t>
            </w:r>
          </w:p>
        </w:tc>
        <w:tc>
          <w:tcPr>
            <w:tcW w:w="474" w:type="pct"/>
            <w:vMerge w:val="restart"/>
            <w:vAlign w:val="center"/>
          </w:tcPr>
          <w:p w14:paraId="484370D4">
            <w:pPr>
              <w:pStyle w:val="8"/>
              <w:spacing w:line="56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项目名称</w:t>
            </w:r>
          </w:p>
        </w:tc>
        <w:tc>
          <w:tcPr>
            <w:tcW w:w="317" w:type="pct"/>
            <w:vMerge w:val="restart"/>
            <w:vAlign w:val="center"/>
          </w:tcPr>
          <w:p w14:paraId="0924FFEC">
            <w:pPr>
              <w:pStyle w:val="8"/>
              <w:spacing w:line="56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种植品种</w:t>
            </w:r>
          </w:p>
        </w:tc>
        <w:tc>
          <w:tcPr>
            <w:tcW w:w="980" w:type="pct"/>
            <w:gridSpan w:val="2"/>
            <w:vAlign w:val="center"/>
          </w:tcPr>
          <w:p w14:paraId="6CC267EB">
            <w:pPr>
              <w:pStyle w:val="8"/>
              <w:spacing w:line="56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项目新增粪肥还田利用规模</w:t>
            </w:r>
          </w:p>
        </w:tc>
        <w:tc>
          <w:tcPr>
            <w:tcW w:w="237" w:type="pct"/>
            <w:vMerge w:val="restart"/>
            <w:vAlign w:val="center"/>
          </w:tcPr>
          <w:p w14:paraId="0139B6F2">
            <w:pPr>
              <w:pStyle w:val="8"/>
              <w:spacing w:line="56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建设</w:t>
            </w:r>
          </w:p>
          <w:p w14:paraId="5B29F740">
            <w:pPr>
              <w:pStyle w:val="8"/>
              <w:spacing w:line="56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性质</w:t>
            </w:r>
          </w:p>
        </w:tc>
        <w:tc>
          <w:tcPr>
            <w:tcW w:w="220" w:type="pct"/>
            <w:vMerge w:val="restart"/>
            <w:vAlign w:val="center"/>
          </w:tcPr>
          <w:p w14:paraId="5772B1DA">
            <w:pPr>
              <w:pStyle w:val="8"/>
              <w:spacing w:line="56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建设</w:t>
            </w:r>
          </w:p>
          <w:p w14:paraId="5BF8F5EE">
            <w:pPr>
              <w:pStyle w:val="8"/>
              <w:spacing w:line="56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地点</w:t>
            </w:r>
          </w:p>
        </w:tc>
        <w:tc>
          <w:tcPr>
            <w:tcW w:w="301" w:type="pct"/>
            <w:vMerge w:val="restart"/>
            <w:vAlign w:val="center"/>
          </w:tcPr>
          <w:p w14:paraId="4468750B">
            <w:pPr>
              <w:pStyle w:val="8"/>
              <w:spacing w:line="56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建设期限</w:t>
            </w:r>
          </w:p>
        </w:tc>
        <w:tc>
          <w:tcPr>
            <w:tcW w:w="386" w:type="pct"/>
            <w:vMerge w:val="restart"/>
            <w:vAlign w:val="center"/>
          </w:tcPr>
          <w:p w14:paraId="22C16105">
            <w:pPr>
              <w:pStyle w:val="8"/>
              <w:spacing w:line="56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总投资</w:t>
            </w:r>
          </w:p>
          <w:p w14:paraId="50C9835E">
            <w:pPr>
              <w:pStyle w:val="8"/>
              <w:spacing w:line="56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（万元）</w:t>
            </w:r>
          </w:p>
        </w:tc>
        <w:tc>
          <w:tcPr>
            <w:tcW w:w="343" w:type="pct"/>
            <w:vMerge w:val="restart"/>
            <w:vAlign w:val="center"/>
          </w:tcPr>
          <w:p w14:paraId="00E51107">
            <w:pPr>
              <w:pStyle w:val="8"/>
              <w:spacing w:line="56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中央投资（万元）</w:t>
            </w:r>
          </w:p>
        </w:tc>
        <w:tc>
          <w:tcPr>
            <w:tcW w:w="329" w:type="pct"/>
            <w:vMerge w:val="restart"/>
            <w:vAlign w:val="center"/>
          </w:tcPr>
          <w:p w14:paraId="32440E90">
            <w:pPr>
              <w:pStyle w:val="8"/>
              <w:spacing w:line="56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自筹资金</w:t>
            </w:r>
          </w:p>
          <w:p w14:paraId="2979BCE0">
            <w:pPr>
              <w:pStyle w:val="8"/>
              <w:spacing w:line="56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（万元）</w:t>
            </w:r>
          </w:p>
        </w:tc>
        <w:tc>
          <w:tcPr>
            <w:tcW w:w="1143" w:type="pct"/>
            <w:vMerge w:val="restart"/>
            <w:vAlign w:val="center"/>
          </w:tcPr>
          <w:p w14:paraId="6BC69CBE">
            <w:pPr>
              <w:pStyle w:val="8"/>
              <w:spacing w:line="56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建设单位负责人（姓</w:t>
            </w:r>
            <w:r>
              <w:rPr>
                <w:rFonts w:hint="eastAsia" w:ascii="Times New Roman" w:hAnsi="Times New Roman" w:eastAsia="黑体"/>
                <w:spacing w:val="-9"/>
                <w:sz w:val="21"/>
                <w:szCs w:val="21"/>
              </w:rPr>
              <w:t>名、职务</w:t>
            </w:r>
            <w:r>
              <w:rPr>
                <w:rFonts w:hint="eastAsia" w:ascii="Times New Roman" w:hAnsi="Times New Roman" w:eastAsia="黑体"/>
                <w:sz w:val="21"/>
                <w:szCs w:val="21"/>
              </w:rPr>
              <w:t>及联系方式）</w:t>
            </w:r>
          </w:p>
        </w:tc>
      </w:tr>
      <w:tr w14:paraId="6BE4A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63" w:type="pct"/>
            <w:vMerge w:val="continue"/>
            <w:tcBorders>
              <w:top w:val="nil"/>
            </w:tcBorders>
            <w:vAlign w:val="center"/>
          </w:tcPr>
          <w:p w14:paraId="29F2A30B">
            <w:pPr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tcBorders>
              <w:top w:val="nil"/>
            </w:tcBorders>
            <w:vAlign w:val="center"/>
          </w:tcPr>
          <w:p w14:paraId="321259BE">
            <w:pPr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7" w:type="pct"/>
            <w:vMerge w:val="continue"/>
            <w:tcBorders>
              <w:top w:val="nil"/>
            </w:tcBorders>
            <w:vAlign w:val="center"/>
          </w:tcPr>
          <w:p w14:paraId="0C77951F">
            <w:pPr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1" w:type="pct"/>
            <w:vAlign w:val="center"/>
          </w:tcPr>
          <w:p w14:paraId="07F04B4C">
            <w:pPr>
              <w:pStyle w:val="8"/>
              <w:spacing w:line="56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粪肥还田利用</w:t>
            </w:r>
          </w:p>
          <w:p w14:paraId="69EC57A4">
            <w:pPr>
              <w:pStyle w:val="8"/>
              <w:spacing w:line="56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面积（亩）</w:t>
            </w:r>
          </w:p>
        </w:tc>
        <w:tc>
          <w:tcPr>
            <w:tcW w:w="479" w:type="pct"/>
            <w:vAlign w:val="center"/>
          </w:tcPr>
          <w:p w14:paraId="4C75D79C">
            <w:pPr>
              <w:pStyle w:val="8"/>
              <w:spacing w:line="56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粪肥代替化肥</w:t>
            </w:r>
          </w:p>
          <w:p w14:paraId="5E343E5E">
            <w:pPr>
              <w:pStyle w:val="8"/>
              <w:spacing w:line="56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比例</w:t>
            </w:r>
          </w:p>
        </w:tc>
        <w:tc>
          <w:tcPr>
            <w:tcW w:w="237" w:type="pct"/>
            <w:vMerge w:val="continue"/>
            <w:tcBorders>
              <w:top w:val="nil"/>
            </w:tcBorders>
            <w:vAlign w:val="center"/>
          </w:tcPr>
          <w:p w14:paraId="49EC59BC">
            <w:pPr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pct"/>
            <w:vMerge w:val="continue"/>
            <w:tcBorders>
              <w:top w:val="nil"/>
            </w:tcBorders>
            <w:vAlign w:val="center"/>
          </w:tcPr>
          <w:p w14:paraId="0FFCE19B">
            <w:pPr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1" w:type="pct"/>
            <w:vMerge w:val="continue"/>
            <w:tcBorders>
              <w:top w:val="nil"/>
            </w:tcBorders>
            <w:vAlign w:val="center"/>
          </w:tcPr>
          <w:p w14:paraId="675D2485">
            <w:pPr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6" w:type="pct"/>
            <w:vMerge w:val="continue"/>
            <w:tcBorders>
              <w:top w:val="nil"/>
            </w:tcBorders>
            <w:vAlign w:val="center"/>
          </w:tcPr>
          <w:p w14:paraId="26510342">
            <w:pPr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tcBorders>
              <w:top w:val="nil"/>
            </w:tcBorders>
            <w:vAlign w:val="center"/>
          </w:tcPr>
          <w:p w14:paraId="14AAC621">
            <w:pPr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9" w:type="pct"/>
            <w:vMerge w:val="continue"/>
            <w:tcBorders>
              <w:top w:val="nil"/>
            </w:tcBorders>
            <w:vAlign w:val="center"/>
          </w:tcPr>
          <w:p w14:paraId="63CB4955">
            <w:pPr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3" w:type="pct"/>
            <w:vMerge w:val="continue"/>
            <w:tcBorders>
              <w:top w:val="nil"/>
            </w:tcBorders>
            <w:vAlign w:val="center"/>
          </w:tcPr>
          <w:p w14:paraId="77B03F28">
            <w:pPr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14:paraId="0CBDC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63" w:type="pct"/>
            <w:vAlign w:val="center"/>
          </w:tcPr>
          <w:p w14:paraId="667288CF">
            <w:pPr>
              <w:pStyle w:val="8"/>
              <w:spacing w:line="560" w:lineRule="exact"/>
              <w:ind w:left="38" w:right="31"/>
              <w:jc w:val="center"/>
              <w:rPr>
                <w:rFonts w:ascii="Times New Roman" w:hAnsi="Times New Roman" w:eastAsia="Microsoft JhengHei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Microsoft JhengHei"/>
                <w:b/>
                <w:sz w:val="21"/>
                <w:szCs w:val="21"/>
              </w:rPr>
              <w:t>合计</w:t>
            </w:r>
          </w:p>
        </w:tc>
        <w:tc>
          <w:tcPr>
            <w:tcW w:w="474" w:type="pct"/>
            <w:vAlign w:val="center"/>
          </w:tcPr>
          <w:p w14:paraId="25D77D13">
            <w:pPr>
              <w:pStyle w:val="8"/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7" w:type="pct"/>
            <w:vAlign w:val="center"/>
          </w:tcPr>
          <w:p w14:paraId="73C263FE">
            <w:pPr>
              <w:pStyle w:val="8"/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1" w:type="pct"/>
            <w:vAlign w:val="center"/>
          </w:tcPr>
          <w:p w14:paraId="3639A066">
            <w:pPr>
              <w:pStyle w:val="8"/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79" w:type="pct"/>
            <w:vAlign w:val="center"/>
          </w:tcPr>
          <w:p w14:paraId="515D9CB7">
            <w:pPr>
              <w:pStyle w:val="8"/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7" w:type="pct"/>
            <w:vAlign w:val="center"/>
          </w:tcPr>
          <w:p w14:paraId="14FEAD89">
            <w:pPr>
              <w:pStyle w:val="8"/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pct"/>
            <w:vAlign w:val="center"/>
          </w:tcPr>
          <w:p w14:paraId="449CFF01">
            <w:pPr>
              <w:pStyle w:val="8"/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1" w:type="pct"/>
            <w:vAlign w:val="center"/>
          </w:tcPr>
          <w:p w14:paraId="1F52DE38">
            <w:pPr>
              <w:pStyle w:val="8"/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6" w:type="pct"/>
            <w:vAlign w:val="center"/>
          </w:tcPr>
          <w:p w14:paraId="4252FEE4">
            <w:pPr>
              <w:pStyle w:val="8"/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3" w:type="pct"/>
            <w:vAlign w:val="center"/>
          </w:tcPr>
          <w:p w14:paraId="6923FC5E">
            <w:pPr>
              <w:pStyle w:val="8"/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9" w:type="pct"/>
            <w:vAlign w:val="center"/>
          </w:tcPr>
          <w:p w14:paraId="69442365">
            <w:pPr>
              <w:pStyle w:val="8"/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3" w:type="pct"/>
            <w:vAlign w:val="center"/>
          </w:tcPr>
          <w:p w14:paraId="24D8DB90">
            <w:pPr>
              <w:pStyle w:val="8"/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14:paraId="7E9D7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63" w:type="pct"/>
          </w:tcPr>
          <w:p w14:paraId="6D76C030">
            <w:pPr>
              <w:pStyle w:val="8"/>
              <w:spacing w:before="159" w:line="560" w:lineRule="exact"/>
              <w:ind w:left="1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w w:val="85"/>
                <w:sz w:val="21"/>
                <w:szCs w:val="21"/>
              </w:rPr>
              <w:t>1</w:t>
            </w:r>
          </w:p>
        </w:tc>
        <w:tc>
          <w:tcPr>
            <w:tcW w:w="474" w:type="pct"/>
          </w:tcPr>
          <w:p w14:paraId="542F5BAD">
            <w:pPr>
              <w:pStyle w:val="8"/>
              <w:spacing w:line="56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7" w:type="pct"/>
          </w:tcPr>
          <w:p w14:paraId="19C9B2FF">
            <w:pPr>
              <w:pStyle w:val="8"/>
              <w:spacing w:line="56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1" w:type="pct"/>
          </w:tcPr>
          <w:p w14:paraId="142ED491">
            <w:pPr>
              <w:pStyle w:val="8"/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79" w:type="pct"/>
          </w:tcPr>
          <w:p w14:paraId="60B3791D">
            <w:pPr>
              <w:pStyle w:val="8"/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7" w:type="pct"/>
          </w:tcPr>
          <w:p w14:paraId="5F36C50F">
            <w:pPr>
              <w:pStyle w:val="8"/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pct"/>
          </w:tcPr>
          <w:p w14:paraId="2422047A">
            <w:pPr>
              <w:pStyle w:val="8"/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1" w:type="pct"/>
          </w:tcPr>
          <w:p w14:paraId="3A780249">
            <w:pPr>
              <w:pStyle w:val="8"/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6" w:type="pct"/>
          </w:tcPr>
          <w:p w14:paraId="2AD22E7F">
            <w:pPr>
              <w:pStyle w:val="8"/>
              <w:spacing w:line="56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3" w:type="pct"/>
          </w:tcPr>
          <w:p w14:paraId="4731A06A">
            <w:pPr>
              <w:pStyle w:val="8"/>
              <w:spacing w:line="56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9" w:type="pct"/>
          </w:tcPr>
          <w:p w14:paraId="61EE6FE1">
            <w:pPr>
              <w:pStyle w:val="8"/>
              <w:spacing w:line="56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3" w:type="pct"/>
          </w:tcPr>
          <w:p w14:paraId="2DF373F8">
            <w:pPr>
              <w:pStyle w:val="8"/>
              <w:spacing w:line="56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14:paraId="5C6FA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263" w:type="pct"/>
          </w:tcPr>
          <w:p w14:paraId="5A26D7CC">
            <w:pPr>
              <w:pStyle w:val="8"/>
              <w:spacing w:line="560" w:lineRule="exact"/>
              <w:ind w:left="1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w w:val="85"/>
                <w:sz w:val="21"/>
                <w:szCs w:val="21"/>
              </w:rPr>
              <w:t>2</w:t>
            </w:r>
          </w:p>
        </w:tc>
        <w:tc>
          <w:tcPr>
            <w:tcW w:w="474" w:type="pct"/>
          </w:tcPr>
          <w:p w14:paraId="1555392C">
            <w:pPr>
              <w:pStyle w:val="8"/>
              <w:spacing w:line="56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7" w:type="pct"/>
          </w:tcPr>
          <w:p w14:paraId="6A00ED32">
            <w:pPr>
              <w:pStyle w:val="8"/>
              <w:spacing w:line="56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1" w:type="pct"/>
          </w:tcPr>
          <w:p w14:paraId="197B17A8">
            <w:pPr>
              <w:pStyle w:val="8"/>
              <w:spacing w:line="56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79" w:type="pct"/>
          </w:tcPr>
          <w:p w14:paraId="39D81CB9">
            <w:pPr>
              <w:pStyle w:val="8"/>
              <w:spacing w:line="56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7" w:type="pct"/>
          </w:tcPr>
          <w:p w14:paraId="20DAE1F5">
            <w:pPr>
              <w:pStyle w:val="8"/>
              <w:spacing w:line="56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pct"/>
          </w:tcPr>
          <w:p w14:paraId="468EB89D">
            <w:pPr>
              <w:pStyle w:val="8"/>
              <w:spacing w:line="56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1" w:type="pct"/>
          </w:tcPr>
          <w:p w14:paraId="6AFEC9DA">
            <w:pPr>
              <w:pStyle w:val="8"/>
              <w:spacing w:line="56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6" w:type="pct"/>
          </w:tcPr>
          <w:p w14:paraId="3440C7F9">
            <w:pPr>
              <w:pStyle w:val="8"/>
              <w:spacing w:line="56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3" w:type="pct"/>
          </w:tcPr>
          <w:p w14:paraId="774CE7D3">
            <w:pPr>
              <w:pStyle w:val="8"/>
              <w:spacing w:line="56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9" w:type="pct"/>
          </w:tcPr>
          <w:p w14:paraId="34326442">
            <w:pPr>
              <w:pStyle w:val="8"/>
              <w:spacing w:line="56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3" w:type="pct"/>
          </w:tcPr>
          <w:p w14:paraId="10666B66">
            <w:pPr>
              <w:pStyle w:val="8"/>
              <w:spacing w:line="56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14:paraId="559D3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263" w:type="pct"/>
          </w:tcPr>
          <w:p w14:paraId="118D8822">
            <w:pPr>
              <w:pStyle w:val="8"/>
              <w:spacing w:before="161" w:line="560" w:lineRule="exact"/>
              <w:ind w:left="38" w:right="31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w w:val="145"/>
                <w:sz w:val="21"/>
                <w:szCs w:val="21"/>
              </w:rPr>
              <w:t>⋯⋯</w:t>
            </w:r>
          </w:p>
        </w:tc>
        <w:tc>
          <w:tcPr>
            <w:tcW w:w="474" w:type="pct"/>
          </w:tcPr>
          <w:p w14:paraId="0EBD9F2B">
            <w:pPr>
              <w:pStyle w:val="8"/>
              <w:spacing w:line="56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7" w:type="pct"/>
          </w:tcPr>
          <w:p w14:paraId="5D9F3339">
            <w:pPr>
              <w:pStyle w:val="8"/>
              <w:spacing w:line="56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1" w:type="pct"/>
          </w:tcPr>
          <w:p w14:paraId="64CF6E67">
            <w:pPr>
              <w:pStyle w:val="8"/>
              <w:spacing w:line="56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79" w:type="pct"/>
          </w:tcPr>
          <w:p w14:paraId="6C499C43">
            <w:pPr>
              <w:pStyle w:val="8"/>
              <w:spacing w:line="56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7" w:type="pct"/>
          </w:tcPr>
          <w:p w14:paraId="1B92BFFA">
            <w:pPr>
              <w:pStyle w:val="8"/>
              <w:spacing w:line="56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pct"/>
          </w:tcPr>
          <w:p w14:paraId="7C1E9561">
            <w:pPr>
              <w:pStyle w:val="8"/>
              <w:spacing w:line="56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1" w:type="pct"/>
          </w:tcPr>
          <w:p w14:paraId="2E76FF81">
            <w:pPr>
              <w:pStyle w:val="8"/>
              <w:spacing w:line="56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6" w:type="pct"/>
          </w:tcPr>
          <w:p w14:paraId="1F2CEF9D">
            <w:pPr>
              <w:pStyle w:val="8"/>
              <w:spacing w:line="56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3" w:type="pct"/>
          </w:tcPr>
          <w:p w14:paraId="4E3D476D">
            <w:pPr>
              <w:pStyle w:val="8"/>
              <w:spacing w:line="56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9" w:type="pct"/>
          </w:tcPr>
          <w:p w14:paraId="2F2869C6">
            <w:pPr>
              <w:pStyle w:val="8"/>
              <w:spacing w:line="56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3" w:type="pct"/>
          </w:tcPr>
          <w:p w14:paraId="62FF080B">
            <w:pPr>
              <w:pStyle w:val="8"/>
              <w:spacing w:line="560" w:lineRule="exact"/>
              <w:rPr>
                <w:rFonts w:ascii="Times New Roman" w:hAnsi="Times New Roman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14:paraId="6C506AFE"/>
    <w:sectPr>
      <w:footerReference r:id="rId3" w:type="default"/>
      <w:pgSz w:w="16838" w:h="11906" w:orient="landscape"/>
      <w:pgMar w:top="1984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6671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354650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354650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>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F064F"/>
    <w:rsid w:val="1CF54E8B"/>
    <w:rsid w:val="21CB5AD7"/>
    <w:rsid w:val="30D055FC"/>
    <w:rsid w:val="35EE0C0F"/>
    <w:rsid w:val="3AA427B5"/>
    <w:rsid w:val="3D256B22"/>
    <w:rsid w:val="60994DD3"/>
    <w:rsid w:val="697F57D3"/>
    <w:rsid w:val="75E737A4"/>
    <w:rsid w:val="78B8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170</Characters>
  <Lines>0</Lines>
  <Paragraphs>0</Paragraphs>
  <TotalTime>0</TotalTime>
  <ScaleCrop>false</ScaleCrop>
  <LinksUpToDate>false</LinksUpToDate>
  <CharactersWithSpaces>172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2025-02-08T07:35:00Z</dcterms:created>
  <dc:creator>THTF</dc:creator>
  <cp:lastModifiedBy>君君谢☀</cp:lastModifiedBy>
  <dcterms:modified xsi:type="dcterms:W3CDTF">2025-07-01T01:08:30Z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eyJoZGlkIjoiZDc2NWRiMzE2ZjNhZmJjOGMzOGQ4ZWUxOTRiZjQ3Y2EiLCJ1c2VySWQiOiI0OTg2NDAwOTgifQ==</vt:lpwstr>
  </property>
  <property fmtid="{D5CDD505-2E9C-101B-9397-08002B2CF9AE}" pid="4" name="ICV">
    <vt:lpwstr>CE48516DC3404BA29B45B6C19E6589F4_12</vt:lpwstr>
  </property>
</Properties>
</file>