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AF347">
      <w:pPr>
        <w:spacing w:line="360" w:lineRule="auto"/>
        <w:rPr>
          <w:rFonts w:ascii="黑体" w:hAnsi="黑体" w:eastAsia="黑体" w:cs="黑体"/>
          <w:sz w:val="32"/>
          <w:szCs w:val="32"/>
        </w:rPr>
      </w:pPr>
      <w:r>
        <w:rPr>
          <w:rFonts w:hint="eastAsia" w:ascii="黑体" w:hAnsi="黑体" w:eastAsia="黑体" w:cs="黑体"/>
          <w:sz w:val="32"/>
          <w:szCs w:val="32"/>
        </w:rPr>
        <w:t>附件3</w:t>
      </w:r>
    </w:p>
    <w:p w14:paraId="1F0AD2B3">
      <w:pPr>
        <w:spacing w:line="360" w:lineRule="auto"/>
        <w:rPr>
          <w:rFonts w:ascii="仿宋_GB2312" w:eastAsia="仿宋_GB2312"/>
          <w:sz w:val="32"/>
          <w:szCs w:val="32"/>
        </w:rPr>
      </w:pPr>
    </w:p>
    <w:p w14:paraId="6F6BFB27">
      <w:pPr>
        <w:spacing w:line="360" w:lineRule="auto"/>
        <w:jc w:val="center"/>
        <w:rPr>
          <w:rFonts w:ascii="仿宋_GB2312" w:eastAsia="仿宋_GB2312"/>
          <w:sz w:val="44"/>
          <w:szCs w:val="44"/>
        </w:rPr>
      </w:pPr>
      <w:r>
        <w:rPr>
          <w:rFonts w:hint="eastAsia" w:ascii="方正小标宋简体" w:hAnsi="方正小标宋简体" w:eastAsia="方正小标宋简体" w:cs="方正小标宋简体"/>
          <w:sz w:val="44"/>
          <w:szCs w:val="44"/>
        </w:rPr>
        <w:t>项目绩效自评报告</w:t>
      </w:r>
    </w:p>
    <w:p w14:paraId="06B69950">
      <w:pPr>
        <w:spacing w:line="360" w:lineRule="auto"/>
        <w:jc w:val="center"/>
        <w:rPr>
          <w:rFonts w:ascii="楷体_GB2312" w:eastAsia="楷体_GB2312"/>
          <w:sz w:val="32"/>
          <w:szCs w:val="32"/>
        </w:rPr>
      </w:pPr>
    </w:p>
    <w:p w14:paraId="065390E8">
      <w:pPr>
        <w:spacing w:line="360" w:lineRule="auto"/>
        <w:ind w:firstLine="450" w:firstLineChars="150"/>
        <w:rPr>
          <w:rFonts w:ascii="仿宋_GB2312" w:eastAsia="仿宋_GB2312"/>
          <w:sz w:val="30"/>
          <w:szCs w:val="30"/>
        </w:rPr>
      </w:pPr>
    </w:p>
    <w:p w14:paraId="54E18A21">
      <w:pPr>
        <w:spacing w:line="360" w:lineRule="auto"/>
        <w:ind w:firstLine="450" w:firstLineChars="150"/>
        <w:rPr>
          <w:rFonts w:ascii="仿宋_GB2312" w:eastAsia="仿宋_GB2312"/>
          <w:sz w:val="30"/>
          <w:szCs w:val="30"/>
        </w:rPr>
      </w:pPr>
    </w:p>
    <w:p w14:paraId="67A3814B">
      <w:pPr>
        <w:spacing w:line="360" w:lineRule="auto"/>
        <w:ind w:firstLine="450" w:firstLineChars="150"/>
        <w:rPr>
          <w:rFonts w:ascii="仿宋_GB2312" w:eastAsia="仿宋_GB2312"/>
          <w:sz w:val="30"/>
          <w:szCs w:val="30"/>
        </w:rPr>
      </w:pPr>
    </w:p>
    <w:p w14:paraId="5B261900">
      <w:pPr>
        <w:spacing w:line="360" w:lineRule="auto"/>
        <w:ind w:firstLine="450" w:firstLineChars="150"/>
        <w:rPr>
          <w:rFonts w:ascii="仿宋_GB2312" w:eastAsia="仿宋_GB2312"/>
          <w:sz w:val="30"/>
          <w:szCs w:val="30"/>
        </w:rPr>
      </w:pPr>
    </w:p>
    <w:p w14:paraId="7B7CE37A">
      <w:pPr>
        <w:spacing w:line="360" w:lineRule="auto"/>
        <w:ind w:firstLine="450" w:firstLineChars="150"/>
        <w:rPr>
          <w:rFonts w:ascii="仿宋_GB2312" w:eastAsia="仿宋_GB2312"/>
          <w:sz w:val="30"/>
          <w:szCs w:val="30"/>
        </w:rPr>
      </w:pPr>
    </w:p>
    <w:p w14:paraId="2242BEC4">
      <w:pPr>
        <w:spacing w:line="360" w:lineRule="auto"/>
        <w:ind w:firstLine="450" w:firstLineChars="150"/>
        <w:rPr>
          <w:rFonts w:ascii="仿宋_GB2312" w:eastAsia="仿宋_GB2312"/>
          <w:sz w:val="30"/>
          <w:szCs w:val="30"/>
        </w:rPr>
      </w:pPr>
    </w:p>
    <w:p w14:paraId="4A857CC7">
      <w:pPr>
        <w:spacing w:line="360" w:lineRule="auto"/>
        <w:ind w:firstLine="450" w:firstLineChars="150"/>
        <w:rPr>
          <w:rFonts w:ascii="仿宋_GB2312" w:eastAsia="仿宋_GB2312"/>
          <w:sz w:val="30"/>
          <w:szCs w:val="30"/>
        </w:rPr>
      </w:pPr>
    </w:p>
    <w:p w14:paraId="66E9F903">
      <w:pPr>
        <w:spacing w:line="360" w:lineRule="auto"/>
        <w:ind w:firstLine="450" w:firstLineChars="150"/>
        <w:rPr>
          <w:rFonts w:ascii="仿宋_GB2312" w:eastAsia="仿宋_GB2312"/>
          <w:sz w:val="30"/>
          <w:szCs w:val="30"/>
        </w:rPr>
      </w:pPr>
    </w:p>
    <w:p w14:paraId="61D81362">
      <w:pPr>
        <w:spacing w:line="360" w:lineRule="auto"/>
        <w:ind w:firstLine="450" w:firstLineChars="150"/>
        <w:rPr>
          <w:rFonts w:ascii="仿宋_GB2312" w:eastAsia="仿宋_GB2312"/>
          <w:sz w:val="30"/>
          <w:szCs w:val="30"/>
        </w:rPr>
      </w:pPr>
    </w:p>
    <w:p w14:paraId="1DC104F5">
      <w:pPr>
        <w:spacing w:line="360" w:lineRule="auto"/>
        <w:ind w:firstLine="450" w:firstLineChars="150"/>
        <w:rPr>
          <w:rFonts w:ascii="仿宋_GB2312" w:eastAsia="仿宋_GB2312"/>
          <w:sz w:val="30"/>
          <w:szCs w:val="30"/>
        </w:rPr>
      </w:pPr>
    </w:p>
    <w:p w14:paraId="537329D3">
      <w:pPr>
        <w:snapToGrid w:val="0"/>
        <w:spacing w:line="360" w:lineRule="auto"/>
        <w:rPr>
          <w:rFonts w:eastAsia="方正仿宋简体"/>
          <w:sz w:val="32"/>
          <w:szCs w:val="32"/>
        </w:rPr>
      </w:pPr>
      <w:r>
        <w:rPr>
          <w:rFonts w:eastAsia="方正仿宋简体"/>
          <w:sz w:val="32"/>
          <w:szCs w:val="32"/>
        </w:rPr>
        <w:t>项目名称：202</w:t>
      </w:r>
      <w:r>
        <w:rPr>
          <w:rFonts w:hint="eastAsia" w:eastAsia="方正仿宋简体"/>
          <w:sz w:val="32"/>
          <w:szCs w:val="32"/>
          <w:lang w:val="en-US" w:eastAsia="zh-CN"/>
        </w:rPr>
        <w:t>4</w:t>
      </w:r>
      <w:r>
        <w:rPr>
          <w:rFonts w:eastAsia="方正仿宋简体"/>
          <w:sz w:val="32"/>
          <w:szCs w:val="32"/>
        </w:rPr>
        <w:t>年粮食风险基金</w:t>
      </w:r>
    </w:p>
    <w:p w14:paraId="6BB5AFD9">
      <w:pPr>
        <w:snapToGrid w:val="0"/>
        <w:spacing w:line="360" w:lineRule="auto"/>
        <w:rPr>
          <w:rFonts w:eastAsia="方正仿宋简体"/>
          <w:sz w:val="32"/>
          <w:szCs w:val="32"/>
        </w:rPr>
      </w:pPr>
      <w:r>
        <w:rPr>
          <w:rFonts w:eastAsia="方正仿宋简体"/>
          <w:sz w:val="32"/>
          <w:szCs w:val="32"/>
        </w:rPr>
        <w:t>项目主管部门：五华县发展和改革局</w:t>
      </w:r>
    </w:p>
    <w:p w14:paraId="409B743D">
      <w:pPr>
        <w:snapToGrid w:val="0"/>
        <w:spacing w:line="360" w:lineRule="auto"/>
        <w:rPr>
          <w:rFonts w:eastAsia="方正仿宋简体"/>
          <w:sz w:val="32"/>
          <w:szCs w:val="32"/>
        </w:rPr>
      </w:pPr>
      <w:r>
        <w:rPr>
          <w:rFonts w:eastAsia="方正仿宋简体"/>
          <w:sz w:val="32"/>
          <w:szCs w:val="32"/>
        </w:rPr>
        <w:t>填报人姓名：吴昊</w:t>
      </w:r>
    </w:p>
    <w:p w14:paraId="5ECB6D16">
      <w:pPr>
        <w:snapToGrid w:val="0"/>
        <w:spacing w:line="360" w:lineRule="auto"/>
        <w:rPr>
          <w:rFonts w:eastAsia="方正仿宋简体"/>
          <w:sz w:val="32"/>
          <w:szCs w:val="32"/>
        </w:rPr>
      </w:pPr>
      <w:r>
        <w:rPr>
          <w:rFonts w:eastAsia="方正仿宋简体"/>
          <w:sz w:val="32"/>
          <w:szCs w:val="32"/>
        </w:rPr>
        <w:t>联系电话：0753-4433191</w:t>
      </w:r>
    </w:p>
    <w:p w14:paraId="570F2C56">
      <w:pPr>
        <w:snapToGrid w:val="0"/>
        <w:spacing w:line="360" w:lineRule="auto"/>
        <w:rPr>
          <w:rFonts w:eastAsia="方正仿宋简体"/>
          <w:sz w:val="32"/>
          <w:szCs w:val="32"/>
        </w:rPr>
      </w:pPr>
      <w:r>
        <w:rPr>
          <w:rFonts w:eastAsia="方正仿宋简体"/>
          <w:sz w:val="32"/>
          <w:szCs w:val="32"/>
        </w:rPr>
        <w:t>填报日期：202</w:t>
      </w:r>
      <w:r>
        <w:rPr>
          <w:rFonts w:hint="eastAsia" w:eastAsia="方正仿宋简体"/>
          <w:sz w:val="32"/>
          <w:szCs w:val="32"/>
          <w:lang w:val="en-US" w:eastAsia="zh-CN"/>
        </w:rPr>
        <w:t>5</w:t>
      </w:r>
      <w:r>
        <w:rPr>
          <w:rFonts w:eastAsia="方正仿宋简体"/>
          <w:sz w:val="32"/>
          <w:szCs w:val="32"/>
        </w:rPr>
        <w:t>年</w:t>
      </w:r>
      <w:r>
        <w:rPr>
          <w:rFonts w:hint="eastAsia" w:eastAsia="方正仿宋简体"/>
          <w:sz w:val="32"/>
          <w:szCs w:val="32"/>
          <w:lang w:val="en-US" w:eastAsia="zh-CN"/>
        </w:rPr>
        <w:t>9</w:t>
      </w:r>
      <w:r>
        <w:rPr>
          <w:rFonts w:eastAsia="方正仿宋简体"/>
          <w:sz w:val="32"/>
          <w:szCs w:val="32"/>
        </w:rPr>
        <w:t>月</w:t>
      </w:r>
      <w:r>
        <w:rPr>
          <w:rFonts w:hint="eastAsia" w:eastAsia="方正仿宋简体"/>
          <w:sz w:val="32"/>
          <w:szCs w:val="32"/>
          <w:lang w:val="en-US" w:eastAsia="zh-CN"/>
        </w:rPr>
        <w:t>2</w:t>
      </w:r>
      <w:r>
        <w:rPr>
          <w:rFonts w:hint="eastAsia" w:eastAsia="方正仿宋简体"/>
          <w:sz w:val="32"/>
          <w:szCs w:val="32"/>
        </w:rPr>
        <w:t>4</w:t>
      </w:r>
      <w:r>
        <w:rPr>
          <w:rFonts w:eastAsia="方正仿宋简体"/>
          <w:sz w:val="32"/>
          <w:szCs w:val="32"/>
        </w:rPr>
        <w:t>日</w:t>
      </w:r>
    </w:p>
    <w:p w14:paraId="2C90B08D">
      <w:pPr>
        <w:snapToGrid w:val="0"/>
        <w:spacing w:line="360" w:lineRule="auto"/>
        <w:rPr>
          <w:rFonts w:ascii="黑体" w:eastAsia="黑体"/>
          <w:sz w:val="32"/>
          <w:szCs w:val="32"/>
        </w:rPr>
      </w:pPr>
    </w:p>
    <w:p w14:paraId="7CF8C755">
      <w:pPr>
        <w:snapToGrid w:val="0"/>
        <w:spacing w:line="520" w:lineRule="atLeast"/>
        <w:ind w:firstLine="640" w:firstLineChars="200"/>
        <w:rPr>
          <w:rFonts w:ascii="黑体" w:eastAsia="黑体"/>
          <w:sz w:val="32"/>
          <w:szCs w:val="32"/>
        </w:rPr>
      </w:pPr>
      <w:r>
        <w:rPr>
          <w:rFonts w:hint="eastAsia" w:ascii="黑体" w:eastAsia="黑体"/>
          <w:sz w:val="32"/>
          <w:szCs w:val="32"/>
        </w:rPr>
        <w:t>一、基本情况</w:t>
      </w:r>
    </w:p>
    <w:p w14:paraId="71B83E59">
      <w:pPr>
        <w:snapToGrid w:val="0"/>
        <w:spacing w:line="520" w:lineRule="atLeast"/>
        <w:ind w:firstLine="643" w:firstLineChars="200"/>
        <w:rPr>
          <w:rFonts w:ascii="仿宋_GB2312" w:eastAsia="仿宋_GB2312"/>
          <w:b/>
          <w:bCs/>
          <w:sz w:val="32"/>
          <w:szCs w:val="32"/>
        </w:rPr>
      </w:pPr>
      <w:r>
        <w:rPr>
          <w:rFonts w:hint="eastAsia" w:ascii="仿宋_GB2312" w:eastAsia="仿宋_GB2312"/>
          <w:b/>
          <w:bCs/>
          <w:sz w:val="32"/>
          <w:szCs w:val="32"/>
        </w:rPr>
        <w:t>（一）项目基本情况</w:t>
      </w:r>
    </w:p>
    <w:p w14:paraId="6C253FB3">
      <w:pPr>
        <w:snapToGrid w:val="0"/>
        <w:spacing w:line="520" w:lineRule="atLeast"/>
        <w:ind w:firstLine="640" w:firstLineChars="200"/>
        <w:rPr>
          <w:rFonts w:eastAsia="方正仿宋简体"/>
          <w:sz w:val="32"/>
          <w:szCs w:val="32"/>
        </w:rPr>
      </w:pPr>
      <w:r>
        <w:rPr>
          <w:rFonts w:eastAsia="方正仿宋简体"/>
          <w:sz w:val="32"/>
          <w:szCs w:val="32"/>
        </w:rPr>
        <w:t>粮食风险基金的使用范围主要包括：</w:t>
      </w:r>
    </w:p>
    <w:p w14:paraId="53BE5653">
      <w:pPr>
        <w:snapToGrid w:val="0"/>
        <w:spacing w:line="520" w:lineRule="atLeast"/>
        <w:ind w:firstLine="640" w:firstLineChars="200"/>
        <w:rPr>
          <w:rFonts w:eastAsia="方正仿宋简体"/>
          <w:sz w:val="32"/>
          <w:szCs w:val="32"/>
        </w:rPr>
      </w:pPr>
      <w:r>
        <w:rPr>
          <w:rFonts w:eastAsia="方正仿宋简体"/>
          <w:sz w:val="32"/>
          <w:szCs w:val="32"/>
        </w:rPr>
        <w:t>1.地方储备粮油利息、费用补贴。其中，储备粮油的管理费用补贴包括保管费用、轮换差价补贴。管理费用补贴的具体标准、补贴方式及其动态调整机制，由财政部门征求粮食行政主管部门意见后提出，报同级人民政府批准。储备粮油货款利息实行据实补贴。储备粮油管理利息、费用补贴应通过粮食风险基金专户直接拔付到粮食承储企业；</w:t>
      </w:r>
    </w:p>
    <w:p w14:paraId="1D268DAB">
      <w:pPr>
        <w:snapToGrid w:val="0"/>
        <w:spacing w:line="520" w:lineRule="atLeast"/>
        <w:ind w:firstLine="640" w:firstLineChars="200"/>
        <w:rPr>
          <w:rFonts w:eastAsia="方正仿宋简体"/>
          <w:sz w:val="32"/>
          <w:szCs w:val="32"/>
        </w:rPr>
      </w:pPr>
      <w:r>
        <w:rPr>
          <w:rFonts w:eastAsia="方正仿宋简体"/>
          <w:sz w:val="32"/>
          <w:szCs w:val="32"/>
        </w:rPr>
        <w:t>2.1998年6月以来发生的并在2013年前报经国务院批准认定的粮食政策性财务挂账利息补贴；</w:t>
      </w:r>
    </w:p>
    <w:p w14:paraId="16CCB91D">
      <w:pPr>
        <w:snapToGrid w:val="0"/>
        <w:spacing w:line="520" w:lineRule="atLeast"/>
        <w:ind w:firstLine="640" w:firstLineChars="200"/>
        <w:rPr>
          <w:rFonts w:eastAsia="方正仿宋简体"/>
          <w:sz w:val="32"/>
          <w:szCs w:val="32"/>
        </w:rPr>
      </w:pPr>
      <w:r>
        <w:rPr>
          <w:rFonts w:eastAsia="方正仿宋简体"/>
          <w:sz w:val="32"/>
          <w:szCs w:val="32"/>
        </w:rPr>
        <w:t>3.按照党中央、国务院有关决策部署以及省政府和市政府有关工作部署，明确允许从粮食风险基金中列支的超标粮食收购处置费用补贴等支出；</w:t>
      </w:r>
    </w:p>
    <w:p w14:paraId="08EA56A2">
      <w:pPr>
        <w:snapToGrid w:val="0"/>
        <w:spacing w:line="520" w:lineRule="atLeast"/>
        <w:ind w:firstLine="640" w:firstLineChars="200"/>
        <w:rPr>
          <w:rFonts w:eastAsia="方正仿宋简体"/>
          <w:sz w:val="32"/>
          <w:szCs w:val="32"/>
        </w:rPr>
      </w:pPr>
      <w:r>
        <w:rPr>
          <w:rFonts w:eastAsia="方正仿宋简体"/>
          <w:sz w:val="32"/>
          <w:szCs w:val="32"/>
        </w:rPr>
        <w:t>4.按上述规定用途使用后，粮食风险基金仍有节余的，可用于按规定消化粮食政策性财务挂账、加强粮食应急供应保障</w:t>
      </w:r>
    </w:p>
    <w:p w14:paraId="1BF8E9D4">
      <w:pPr>
        <w:snapToGrid w:val="0"/>
        <w:spacing w:line="520" w:lineRule="atLeast"/>
        <w:rPr>
          <w:rFonts w:eastAsia="方正仿宋简体"/>
          <w:sz w:val="32"/>
          <w:szCs w:val="32"/>
        </w:rPr>
      </w:pPr>
      <w:r>
        <w:rPr>
          <w:rFonts w:eastAsia="方正仿宋简体"/>
          <w:sz w:val="32"/>
          <w:szCs w:val="32"/>
        </w:rPr>
        <w:t>体系建设、发展城市小包装成品粮油、支持仓储设施建设等粮食方面的支出。</w:t>
      </w:r>
    </w:p>
    <w:p w14:paraId="5990F2FF">
      <w:pPr>
        <w:snapToGrid w:val="0"/>
        <w:spacing w:line="520" w:lineRule="atLeast"/>
        <w:ind w:firstLine="643" w:firstLineChars="200"/>
        <w:rPr>
          <w:rFonts w:ascii="仿宋_GB2312" w:eastAsia="仿宋_GB2312"/>
          <w:b/>
          <w:bCs/>
          <w:sz w:val="32"/>
          <w:szCs w:val="32"/>
        </w:rPr>
      </w:pPr>
      <w:r>
        <w:rPr>
          <w:rFonts w:hint="eastAsia" w:ascii="仿宋_GB2312" w:eastAsia="仿宋_GB2312"/>
          <w:b/>
          <w:bCs/>
          <w:sz w:val="32"/>
          <w:szCs w:val="32"/>
        </w:rPr>
        <w:t>（二）</w:t>
      </w:r>
      <w:r>
        <w:rPr>
          <w:rFonts w:ascii="仿宋_GB2312" w:eastAsia="仿宋_GB2312"/>
          <w:b/>
          <w:bCs/>
          <w:sz w:val="32"/>
          <w:szCs w:val="32"/>
        </w:rPr>
        <w:t>项目决策情况</w:t>
      </w:r>
    </w:p>
    <w:p w14:paraId="385D62D2">
      <w:pPr>
        <w:snapToGrid w:val="0"/>
        <w:spacing w:line="520" w:lineRule="atLeast"/>
        <w:ind w:firstLine="640" w:firstLineChars="200"/>
        <w:rPr>
          <w:rFonts w:eastAsia="方正仿宋简体"/>
          <w:sz w:val="32"/>
          <w:szCs w:val="32"/>
        </w:rPr>
      </w:pPr>
      <w:r>
        <w:rPr>
          <w:rFonts w:eastAsia="方正仿宋简体"/>
          <w:sz w:val="32"/>
          <w:szCs w:val="32"/>
        </w:rPr>
        <w:t>1.财政安排的粮食风险基金规模数由本级人民政府根据粮食储备规模等因素测算，由市有关部门审核后报经市人民政府审批并报省级批准后下达。</w:t>
      </w:r>
    </w:p>
    <w:p w14:paraId="4E288068">
      <w:pPr>
        <w:snapToGrid w:val="0"/>
        <w:spacing w:line="520" w:lineRule="atLeast"/>
        <w:ind w:firstLine="640" w:firstLineChars="200"/>
        <w:rPr>
          <w:rFonts w:eastAsia="方正仿宋简体"/>
          <w:sz w:val="32"/>
          <w:szCs w:val="32"/>
        </w:rPr>
      </w:pPr>
      <w:r>
        <w:rPr>
          <w:rFonts w:eastAsia="方正仿宋简体"/>
          <w:sz w:val="32"/>
          <w:szCs w:val="32"/>
        </w:rPr>
        <w:t>2.粮食风险基金按政策规定纳入地方各级政府预算，及时足额安排到位。当年实际到位数不得低于经核定的粮食风险基金规模数，且不得留有缺口。待预算年度开始后，按程序拨入粮食风险基金专户。</w:t>
      </w:r>
    </w:p>
    <w:p w14:paraId="24074048">
      <w:pPr>
        <w:snapToGrid w:val="0"/>
        <w:spacing w:line="520" w:lineRule="atLeast"/>
        <w:ind w:firstLine="640" w:firstLineChars="200"/>
        <w:rPr>
          <w:rFonts w:eastAsia="方正仿宋简体"/>
          <w:sz w:val="32"/>
          <w:szCs w:val="32"/>
        </w:rPr>
      </w:pPr>
      <w:r>
        <w:rPr>
          <w:rFonts w:eastAsia="方正仿宋简体"/>
          <w:sz w:val="32"/>
          <w:szCs w:val="32"/>
        </w:rPr>
        <w:t>3.由财政部门按照预算管理有关规定及时下达粮食风险基金预算。据实结算等特殊项目转移支付，需采取分期下达预算方式的，按照预算管理有关规定合理设定分批次下达时间及下达数。</w:t>
      </w:r>
    </w:p>
    <w:p w14:paraId="43F01057">
      <w:pPr>
        <w:snapToGrid w:val="0"/>
        <w:spacing w:line="520" w:lineRule="atLeast"/>
        <w:ind w:firstLine="643" w:firstLineChars="200"/>
        <w:rPr>
          <w:rFonts w:eastAsia="方正仿宋简体"/>
          <w:b/>
          <w:bCs/>
          <w:sz w:val="32"/>
          <w:szCs w:val="32"/>
        </w:rPr>
      </w:pPr>
      <w:r>
        <w:rPr>
          <w:rFonts w:eastAsia="方正仿宋简体"/>
          <w:b/>
          <w:bCs/>
          <w:sz w:val="32"/>
          <w:szCs w:val="32"/>
        </w:rPr>
        <w:t>（三）绩效目标</w:t>
      </w:r>
    </w:p>
    <w:p w14:paraId="5EBC49EC">
      <w:pPr>
        <w:snapToGrid w:val="0"/>
        <w:spacing w:line="520" w:lineRule="atLeast"/>
        <w:ind w:firstLine="640" w:firstLineChars="200"/>
        <w:rPr>
          <w:rFonts w:ascii="仿宋_GB2312" w:eastAsia="仿宋_GB2312"/>
          <w:sz w:val="32"/>
          <w:szCs w:val="32"/>
        </w:rPr>
      </w:pPr>
      <w:r>
        <w:rPr>
          <w:rFonts w:hint="eastAsia" w:eastAsia="方正仿宋简体"/>
          <w:sz w:val="32"/>
          <w:szCs w:val="32"/>
        </w:rPr>
        <w:t>按时完成全年度储备粮油补贴、粮油补贴及粮食风险基金</w:t>
      </w:r>
      <w:bookmarkStart w:id="20" w:name="_GoBack"/>
      <w:bookmarkEnd w:id="20"/>
      <w:r>
        <w:rPr>
          <w:rFonts w:eastAsia="方正仿宋简体"/>
          <w:sz w:val="32"/>
          <w:szCs w:val="32"/>
        </w:rPr>
        <w:t>。</w:t>
      </w:r>
    </w:p>
    <w:p w14:paraId="54D4D62A">
      <w:pPr>
        <w:snapToGrid w:val="0"/>
        <w:spacing w:line="520" w:lineRule="atLeast"/>
        <w:ind w:firstLine="640" w:firstLineChars="200"/>
        <w:rPr>
          <w:rFonts w:ascii="黑体" w:eastAsia="黑体"/>
          <w:sz w:val="32"/>
          <w:szCs w:val="32"/>
        </w:rPr>
      </w:pPr>
      <w:r>
        <w:rPr>
          <w:rFonts w:hint="eastAsia" w:ascii="黑体" w:eastAsia="黑体"/>
          <w:sz w:val="32"/>
          <w:szCs w:val="32"/>
        </w:rPr>
        <w:t>二、绩效自评工作组织情况</w:t>
      </w:r>
    </w:p>
    <w:p w14:paraId="32108F76">
      <w:pPr>
        <w:snapToGrid w:val="0"/>
        <w:spacing w:line="520" w:lineRule="atLeast"/>
        <w:ind w:firstLine="640" w:firstLineChars="200"/>
        <w:rPr>
          <w:rFonts w:eastAsia="方正仿宋简体"/>
          <w:sz w:val="32"/>
          <w:szCs w:val="32"/>
        </w:rPr>
      </w:pPr>
      <w:r>
        <w:rPr>
          <w:rFonts w:hint="eastAsia" w:eastAsia="方正仿宋简体"/>
          <w:sz w:val="32"/>
          <w:szCs w:val="32"/>
        </w:rPr>
        <w:t>通过绩效自评工作，总结经验，找准问题，进一步加强规范项目和资金管理，完善管理办法，在被评价项目相关资料真实、可靠的基础上，我单位202</w:t>
      </w:r>
      <w:r>
        <w:rPr>
          <w:rFonts w:hint="eastAsia" w:eastAsia="方正仿宋简体"/>
          <w:sz w:val="32"/>
          <w:szCs w:val="32"/>
          <w:lang w:val="en-US" w:eastAsia="zh-CN"/>
        </w:rPr>
        <w:t>4</w:t>
      </w:r>
      <w:r>
        <w:rPr>
          <w:rFonts w:hint="eastAsia" w:eastAsia="方正仿宋简体"/>
          <w:sz w:val="32"/>
          <w:szCs w:val="32"/>
        </w:rPr>
        <w:t>年度基本完成了绩效目标任务，达到了既定的目标。</w:t>
      </w:r>
    </w:p>
    <w:p w14:paraId="5F5CFD9F">
      <w:pPr>
        <w:snapToGrid w:val="0"/>
        <w:spacing w:line="520" w:lineRule="atLeast"/>
        <w:ind w:firstLine="640" w:firstLineChars="200"/>
        <w:rPr>
          <w:rFonts w:ascii="黑体" w:eastAsia="黑体"/>
          <w:sz w:val="32"/>
          <w:szCs w:val="32"/>
        </w:rPr>
      </w:pPr>
      <w:r>
        <w:rPr>
          <w:rFonts w:hint="eastAsia" w:ascii="黑体" w:eastAsia="黑体"/>
          <w:sz w:val="32"/>
          <w:szCs w:val="32"/>
        </w:rPr>
        <w:t>三、绩效自评结论</w:t>
      </w:r>
    </w:p>
    <w:p w14:paraId="01187A29">
      <w:pPr>
        <w:snapToGrid w:val="0"/>
        <w:spacing w:line="520" w:lineRule="atLeast"/>
        <w:ind w:firstLine="640" w:firstLineChars="200"/>
        <w:rPr>
          <w:rFonts w:eastAsia="方正仿宋简体"/>
          <w:sz w:val="32"/>
          <w:szCs w:val="32"/>
        </w:rPr>
      </w:pPr>
      <w:r>
        <w:rPr>
          <w:rFonts w:hint="eastAsia" w:eastAsia="方正仿宋简体"/>
          <w:sz w:val="32"/>
          <w:szCs w:val="32"/>
        </w:rPr>
        <w:t>202</w:t>
      </w:r>
      <w:r>
        <w:rPr>
          <w:rFonts w:hint="eastAsia" w:eastAsia="方正仿宋简体"/>
          <w:sz w:val="32"/>
          <w:szCs w:val="32"/>
          <w:lang w:val="en-US" w:eastAsia="zh-CN"/>
        </w:rPr>
        <w:t>4</w:t>
      </w:r>
      <w:r>
        <w:rPr>
          <w:rFonts w:hint="eastAsia" w:eastAsia="方正仿宋简体"/>
          <w:sz w:val="32"/>
          <w:szCs w:val="32"/>
        </w:rPr>
        <w:t>年粮食风险基金项目支出绩效自评分数为100分，自评等级为优秀。</w:t>
      </w:r>
    </w:p>
    <w:p w14:paraId="748AE15A">
      <w:pPr>
        <w:snapToGrid w:val="0"/>
        <w:spacing w:line="520" w:lineRule="atLeast"/>
        <w:ind w:firstLine="640" w:firstLineChars="200"/>
        <w:rPr>
          <w:rFonts w:ascii="黑体" w:eastAsia="黑体"/>
          <w:sz w:val="32"/>
          <w:szCs w:val="32"/>
        </w:rPr>
      </w:pPr>
      <w:r>
        <w:rPr>
          <w:rFonts w:hint="eastAsia" w:ascii="黑体" w:eastAsia="黑体"/>
          <w:sz w:val="32"/>
          <w:szCs w:val="32"/>
        </w:rPr>
        <w:t>四、绩效指标分析</w:t>
      </w:r>
    </w:p>
    <w:p w14:paraId="7714D7F8">
      <w:pPr>
        <w:snapToGrid w:val="0"/>
        <w:spacing w:line="520" w:lineRule="atLeast"/>
        <w:ind w:firstLine="640" w:firstLineChars="200"/>
        <w:rPr>
          <w:rFonts w:ascii="仿宋_GB2312" w:eastAsia="仿宋_GB2312"/>
          <w:b/>
          <w:bCs/>
          <w:color w:val="000000"/>
          <w:sz w:val="32"/>
          <w:szCs w:val="32"/>
        </w:rPr>
      </w:pPr>
      <w:r>
        <w:rPr>
          <w:rFonts w:hint="eastAsia" w:ascii="仿宋_GB2312" w:eastAsia="仿宋_GB2312"/>
          <w:sz w:val="32"/>
          <w:szCs w:val="32"/>
        </w:rPr>
        <w:t>（一）</w:t>
      </w:r>
      <w:r>
        <w:rPr>
          <w:rFonts w:hint="eastAsia" w:ascii="仿宋_GB2312" w:eastAsia="仿宋_GB2312"/>
          <w:b/>
          <w:bCs/>
          <w:color w:val="000000"/>
          <w:sz w:val="32"/>
          <w:szCs w:val="32"/>
        </w:rPr>
        <w:t>决策分析</w:t>
      </w:r>
    </w:p>
    <w:p w14:paraId="6B7F133A">
      <w:pPr>
        <w:snapToGrid w:val="0"/>
        <w:spacing w:line="520" w:lineRule="atLeast"/>
        <w:ind w:firstLine="643" w:firstLineChars="200"/>
        <w:rPr>
          <w:rFonts w:eastAsia="方正仿宋简体"/>
          <w:b/>
          <w:bCs/>
          <w:sz w:val="32"/>
          <w:szCs w:val="32"/>
        </w:rPr>
      </w:pPr>
      <w:r>
        <w:rPr>
          <w:rFonts w:hint="eastAsia" w:eastAsia="方正仿宋简体"/>
          <w:b/>
          <w:bCs/>
          <w:sz w:val="32"/>
          <w:szCs w:val="32"/>
        </w:rPr>
        <w:t>1.项目立项情况</w:t>
      </w:r>
    </w:p>
    <w:p w14:paraId="49C931F2">
      <w:pPr>
        <w:snapToGrid w:val="0"/>
        <w:spacing w:line="520" w:lineRule="atLeast"/>
        <w:ind w:firstLine="640" w:firstLineChars="200"/>
        <w:rPr>
          <w:rFonts w:eastAsia="方正仿宋简体"/>
          <w:sz w:val="32"/>
          <w:szCs w:val="32"/>
        </w:rPr>
      </w:pPr>
      <w:r>
        <w:rPr>
          <w:rFonts w:hint="eastAsia" w:eastAsia="方正仿宋简体"/>
          <w:sz w:val="32"/>
          <w:szCs w:val="32"/>
        </w:rPr>
        <w:t>（1）论证决策</w:t>
      </w:r>
    </w:p>
    <w:p w14:paraId="48E44CB0">
      <w:pPr>
        <w:snapToGrid w:val="0"/>
        <w:spacing w:line="520" w:lineRule="atLeast"/>
        <w:ind w:firstLine="640" w:firstLineChars="200"/>
        <w:rPr>
          <w:rFonts w:eastAsia="方正仿宋简体"/>
          <w:sz w:val="32"/>
          <w:szCs w:val="32"/>
        </w:rPr>
      </w:pPr>
      <w:r>
        <w:rPr>
          <w:rFonts w:hint="eastAsia" w:eastAsia="方正仿宋简体"/>
          <w:sz w:val="32"/>
          <w:szCs w:val="32"/>
        </w:rPr>
        <w:t>项目论证决策充分合理，经过集体会议协商、并咨询相关专家意见、且有文字材料。因此该项得分计5分。</w:t>
      </w:r>
    </w:p>
    <w:p w14:paraId="3F5C142C">
      <w:pPr>
        <w:snapToGrid w:val="0"/>
        <w:spacing w:line="520" w:lineRule="atLeast"/>
        <w:ind w:firstLine="640" w:firstLineChars="200"/>
        <w:rPr>
          <w:rFonts w:eastAsia="方正仿宋简体"/>
          <w:sz w:val="32"/>
          <w:szCs w:val="32"/>
        </w:rPr>
      </w:pPr>
      <w:r>
        <w:rPr>
          <w:rFonts w:hint="eastAsia" w:eastAsia="方正仿宋简体"/>
          <w:sz w:val="32"/>
          <w:szCs w:val="32"/>
        </w:rPr>
        <w:t>（2）目标设置</w:t>
      </w:r>
    </w:p>
    <w:p w14:paraId="565CA3F3">
      <w:pPr>
        <w:snapToGrid w:val="0"/>
        <w:spacing w:line="520" w:lineRule="atLeast"/>
        <w:ind w:firstLine="640" w:firstLineChars="200"/>
        <w:rPr>
          <w:rFonts w:eastAsia="方正仿宋简体"/>
          <w:sz w:val="32"/>
          <w:szCs w:val="32"/>
        </w:rPr>
      </w:pPr>
      <w:r>
        <w:rPr>
          <w:rFonts w:hint="eastAsia" w:eastAsia="方正仿宋简体"/>
          <w:sz w:val="32"/>
          <w:szCs w:val="32"/>
        </w:rPr>
        <w:t>目标设置合理，符合国家法律法规和部门中长期规划。因此该项得分计6分。</w:t>
      </w:r>
    </w:p>
    <w:p w14:paraId="2598252D">
      <w:pPr>
        <w:snapToGrid w:val="0"/>
        <w:spacing w:line="520" w:lineRule="atLeast"/>
        <w:ind w:firstLine="640" w:firstLineChars="200"/>
        <w:rPr>
          <w:rFonts w:eastAsia="方正仿宋简体"/>
          <w:sz w:val="32"/>
          <w:szCs w:val="32"/>
        </w:rPr>
      </w:pPr>
      <w:r>
        <w:rPr>
          <w:rFonts w:hint="eastAsia" w:eastAsia="方正仿宋简体"/>
          <w:sz w:val="32"/>
          <w:szCs w:val="32"/>
        </w:rPr>
        <w:t>（3）保障措施</w:t>
      </w:r>
    </w:p>
    <w:p w14:paraId="3FCE083B">
      <w:pPr>
        <w:snapToGrid w:val="0"/>
        <w:spacing w:line="520" w:lineRule="atLeast"/>
        <w:ind w:firstLine="640" w:firstLineChars="200"/>
        <w:rPr>
          <w:rFonts w:eastAsia="方正仿宋简体"/>
          <w:sz w:val="32"/>
          <w:szCs w:val="32"/>
        </w:rPr>
      </w:pPr>
      <w:r>
        <w:rPr>
          <w:rFonts w:hint="eastAsia" w:eastAsia="方正仿宋简体"/>
          <w:sz w:val="32"/>
          <w:szCs w:val="32"/>
        </w:rPr>
        <w:t>相关基础信息和证据判断制度完整，计划安排合理性。因此该项得分计2分。</w:t>
      </w:r>
    </w:p>
    <w:p w14:paraId="75484175">
      <w:pPr>
        <w:snapToGrid w:val="0"/>
        <w:spacing w:line="520" w:lineRule="atLeast"/>
        <w:ind w:firstLine="643" w:firstLineChars="200"/>
        <w:rPr>
          <w:rFonts w:eastAsia="方正仿宋简体"/>
          <w:b/>
          <w:bCs/>
          <w:sz w:val="32"/>
          <w:szCs w:val="32"/>
        </w:rPr>
      </w:pPr>
      <w:r>
        <w:rPr>
          <w:rFonts w:hint="eastAsia" w:eastAsia="方正仿宋简体"/>
          <w:b/>
          <w:bCs/>
          <w:sz w:val="32"/>
          <w:szCs w:val="32"/>
        </w:rPr>
        <w:t>2.资金落实情况</w:t>
      </w:r>
    </w:p>
    <w:p w14:paraId="1EE470FE">
      <w:pPr>
        <w:snapToGrid w:val="0"/>
        <w:spacing w:line="520" w:lineRule="atLeast"/>
        <w:ind w:firstLine="640" w:firstLineChars="200"/>
        <w:rPr>
          <w:rFonts w:eastAsia="方正仿宋简体"/>
          <w:sz w:val="32"/>
          <w:szCs w:val="32"/>
        </w:rPr>
      </w:pPr>
      <w:r>
        <w:rPr>
          <w:rFonts w:hint="eastAsia" w:eastAsia="方正仿宋简体"/>
          <w:sz w:val="32"/>
          <w:szCs w:val="32"/>
        </w:rPr>
        <w:t>（1）资金到位</w:t>
      </w:r>
    </w:p>
    <w:p w14:paraId="61BB7B88">
      <w:pPr>
        <w:snapToGrid w:val="0"/>
        <w:spacing w:line="520" w:lineRule="atLeast"/>
        <w:ind w:firstLine="640" w:firstLineChars="200"/>
        <w:rPr>
          <w:rFonts w:eastAsia="方正仿宋简体"/>
          <w:sz w:val="32"/>
          <w:szCs w:val="32"/>
        </w:rPr>
      </w:pPr>
      <w:r>
        <w:rPr>
          <w:rFonts w:hint="eastAsia" w:eastAsia="方正仿宋简体"/>
          <w:sz w:val="32"/>
          <w:szCs w:val="32"/>
        </w:rPr>
        <w:t>项目资金到位及时且足额。因此该项得分计5分。</w:t>
      </w:r>
    </w:p>
    <w:p w14:paraId="33808085">
      <w:pPr>
        <w:snapToGrid w:val="0"/>
        <w:spacing w:line="520" w:lineRule="atLeast"/>
        <w:ind w:firstLine="640" w:firstLineChars="200"/>
        <w:rPr>
          <w:rFonts w:eastAsia="方正仿宋简体"/>
          <w:sz w:val="32"/>
          <w:szCs w:val="32"/>
        </w:rPr>
      </w:pPr>
      <w:r>
        <w:rPr>
          <w:rFonts w:hint="eastAsia" w:eastAsia="方正仿宋简体"/>
          <w:sz w:val="32"/>
          <w:szCs w:val="32"/>
        </w:rPr>
        <w:t>（2）资金分配</w:t>
      </w:r>
    </w:p>
    <w:p w14:paraId="0220FF3B">
      <w:pPr>
        <w:snapToGrid w:val="0"/>
        <w:spacing w:line="520" w:lineRule="atLeast"/>
        <w:ind w:firstLine="640" w:firstLineChars="200"/>
        <w:rPr>
          <w:rFonts w:eastAsia="方正仿宋简体"/>
          <w:sz w:val="32"/>
          <w:szCs w:val="32"/>
        </w:rPr>
      </w:pPr>
      <w:r>
        <w:rPr>
          <w:rFonts w:hint="eastAsia" w:eastAsia="方正仿宋简体"/>
          <w:sz w:val="32"/>
          <w:szCs w:val="32"/>
        </w:rPr>
        <w:t>资金分配合理，有助于实现资金的绩效目标。因此该项得分计3分。</w:t>
      </w:r>
    </w:p>
    <w:p w14:paraId="62412A68">
      <w:pPr>
        <w:snapToGrid w:val="0"/>
        <w:spacing w:line="520" w:lineRule="atLeast"/>
        <w:ind w:firstLine="643" w:firstLineChars="200"/>
        <w:rPr>
          <w:rFonts w:eastAsia="方正仿宋简体"/>
          <w:b/>
          <w:bCs/>
          <w:sz w:val="32"/>
          <w:szCs w:val="32"/>
        </w:rPr>
      </w:pPr>
      <w:r>
        <w:rPr>
          <w:rFonts w:hint="eastAsia" w:eastAsia="方正仿宋简体"/>
          <w:b/>
          <w:bCs/>
          <w:sz w:val="32"/>
          <w:szCs w:val="32"/>
        </w:rPr>
        <w:t>（二）管理分析</w:t>
      </w:r>
    </w:p>
    <w:p w14:paraId="42DB33B8">
      <w:pPr>
        <w:snapToGrid w:val="0"/>
        <w:spacing w:line="520" w:lineRule="atLeast"/>
        <w:ind w:firstLine="643" w:firstLineChars="200"/>
        <w:rPr>
          <w:rFonts w:eastAsia="方正仿宋简体"/>
          <w:b/>
          <w:bCs/>
          <w:sz w:val="32"/>
          <w:szCs w:val="32"/>
        </w:rPr>
      </w:pPr>
      <w:r>
        <w:rPr>
          <w:rFonts w:hint="eastAsia" w:eastAsia="方正仿宋简体"/>
          <w:b/>
          <w:bCs/>
          <w:sz w:val="32"/>
          <w:szCs w:val="32"/>
        </w:rPr>
        <w:t>1.资金管理</w:t>
      </w:r>
    </w:p>
    <w:p w14:paraId="3E887DC1">
      <w:pPr>
        <w:snapToGrid w:val="0"/>
        <w:spacing w:line="520" w:lineRule="atLeast"/>
        <w:ind w:firstLine="640" w:firstLineChars="200"/>
        <w:rPr>
          <w:rFonts w:eastAsia="方正仿宋简体"/>
          <w:sz w:val="32"/>
          <w:szCs w:val="32"/>
        </w:rPr>
      </w:pPr>
      <w:r>
        <w:rPr>
          <w:rFonts w:hint="eastAsia" w:eastAsia="方正仿宋简体"/>
          <w:sz w:val="32"/>
          <w:szCs w:val="32"/>
        </w:rPr>
        <w:t>（1）资金支付</w:t>
      </w:r>
    </w:p>
    <w:p w14:paraId="683080AE">
      <w:pPr>
        <w:snapToGrid w:val="0"/>
        <w:spacing w:line="520" w:lineRule="atLeast"/>
        <w:ind w:firstLine="640" w:firstLineChars="200"/>
        <w:rPr>
          <w:rFonts w:eastAsia="方正仿宋简体"/>
          <w:sz w:val="32"/>
          <w:szCs w:val="32"/>
        </w:rPr>
      </w:pPr>
      <w:r>
        <w:rPr>
          <w:rFonts w:hint="eastAsia" w:eastAsia="方正仿宋简体"/>
          <w:sz w:val="32"/>
          <w:szCs w:val="32"/>
        </w:rPr>
        <w:t>资金支付及时，未出现工作进度迟缓现象，未有垫资或履行支付手续而影响支出率。因此该项得分计6分。</w:t>
      </w:r>
    </w:p>
    <w:p w14:paraId="17866576">
      <w:pPr>
        <w:snapToGrid w:val="0"/>
        <w:spacing w:line="520" w:lineRule="atLeast"/>
        <w:ind w:firstLine="640" w:firstLineChars="200"/>
        <w:rPr>
          <w:rFonts w:eastAsia="方正仿宋简体"/>
          <w:sz w:val="32"/>
          <w:szCs w:val="32"/>
        </w:rPr>
      </w:pPr>
      <w:r>
        <w:rPr>
          <w:rFonts w:hint="eastAsia" w:eastAsia="方正仿宋简体"/>
          <w:sz w:val="32"/>
          <w:szCs w:val="32"/>
        </w:rPr>
        <w:t>（2）支出规范性</w:t>
      </w:r>
    </w:p>
    <w:p w14:paraId="6AFCD412">
      <w:pPr>
        <w:snapToGrid w:val="0"/>
        <w:spacing w:line="520" w:lineRule="atLeast"/>
        <w:ind w:firstLine="640" w:firstLineChars="200"/>
        <w:rPr>
          <w:rFonts w:eastAsia="方正仿宋简体"/>
          <w:sz w:val="32"/>
          <w:szCs w:val="32"/>
        </w:rPr>
      </w:pPr>
      <w:r>
        <w:rPr>
          <w:rFonts w:hint="eastAsia" w:eastAsia="方正仿宋简体"/>
          <w:sz w:val="32"/>
          <w:szCs w:val="32"/>
        </w:rPr>
        <w:t>按规定履行调整报批手续，且按事项完成进度支付资金。资金管理、费用标准、支付符合有关制度规定。规范执行会计核算制度。因此该项得分计6分。</w:t>
      </w:r>
    </w:p>
    <w:p w14:paraId="5E182DAF">
      <w:pPr>
        <w:snapToGrid w:val="0"/>
        <w:spacing w:line="520" w:lineRule="atLeast"/>
        <w:ind w:firstLine="643" w:firstLineChars="200"/>
        <w:rPr>
          <w:rFonts w:eastAsia="方正仿宋简体"/>
          <w:b/>
          <w:bCs/>
          <w:sz w:val="32"/>
          <w:szCs w:val="32"/>
        </w:rPr>
      </w:pPr>
      <w:r>
        <w:rPr>
          <w:rFonts w:hint="eastAsia" w:eastAsia="方正仿宋简体"/>
          <w:b/>
          <w:bCs/>
          <w:sz w:val="32"/>
          <w:szCs w:val="32"/>
        </w:rPr>
        <w:t>2.事项管理</w:t>
      </w:r>
    </w:p>
    <w:p w14:paraId="6A03555E">
      <w:pPr>
        <w:snapToGrid w:val="0"/>
        <w:spacing w:line="520" w:lineRule="atLeast"/>
        <w:ind w:firstLine="640" w:firstLineChars="200"/>
        <w:rPr>
          <w:rFonts w:eastAsia="方正仿宋简体"/>
          <w:sz w:val="32"/>
          <w:szCs w:val="32"/>
        </w:rPr>
      </w:pPr>
      <w:r>
        <w:rPr>
          <w:rFonts w:hint="eastAsia" w:eastAsia="方正仿宋简体"/>
          <w:sz w:val="32"/>
          <w:szCs w:val="32"/>
        </w:rPr>
        <w:t>（1）实施程序</w:t>
      </w:r>
    </w:p>
    <w:p w14:paraId="09E6DB55">
      <w:pPr>
        <w:snapToGrid w:val="0"/>
        <w:spacing w:line="520" w:lineRule="atLeast"/>
        <w:ind w:firstLine="640" w:firstLineChars="200"/>
        <w:rPr>
          <w:rFonts w:eastAsia="方正仿宋简体"/>
          <w:sz w:val="32"/>
          <w:szCs w:val="32"/>
        </w:rPr>
      </w:pPr>
      <w:r>
        <w:rPr>
          <w:rFonts w:hint="eastAsia" w:eastAsia="方正仿宋简体"/>
          <w:sz w:val="32"/>
          <w:szCs w:val="32"/>
        </w:rPr>
        <w:t>项目按规定程序实施,按规定履行报批手续，项目招投标、建设、验收等严格执行相关制度规定。因此该项得分计4分。</w:t>
      </w:r>
    </w:p>
    <w:p w14:paraId="0A6D740F">
      <w:pPr>
        <w:snapToGrid w:val="0"/>
        <w:spacing w:line="520" w:lineRule="atLeast"/>
        <w:ind w:firstLine="640" w:firstLineChars="200"/>
        <w:rPr>
          <w:rFonts w:eastAsia="方正仿宋简体"/>
          <w:sz w:val="32"/>
          <w:szCs w:val="32"/>
        </w:rPr>
      </w:pPr>
      <w:r>
        <w:rPr>
          <w:rFonts w:hint="eastAsia" w:eastAsia="方正仿宋简体"/>
          <w:sz w:val="32"/>
          <w:szCs w:val="32"/>
        </w:rPr>
        <w:t>（2）管理情况</w:t>
      </w:r>
    </w:p>
    <w:p w14:paraId="55A08F07">
      <w:pPr>
        <w:snapToGrid w:val="0"/>
        <w:spacing w:line="520" w:lineRule="atLeast"/>
        <w:ind w:firstLine="640" w:firstLineChars="200"/>
        <w:rPr>
          <w:rFonts w:eastAsia="方正仿宋简体"/>
          <w:sz w:val="32"/>
          <w:szCs w:val="32"/>
        </w:rPr>
      </w:pPr>
      <w:r>
        <w:rPr>
          <w:rFonts w:hint="eastAsia" w:eastAsia="方正仿宋简体"/>
          <w:sz w:val="32"/>
          <w:szCs w:val="32"/>
        </w:rPr>
        <w:t>建立了有效管理机制，且执行情况良好，主管部门按规定对项目建设开展了有效的检查、监控。因此该项得分计4分。</w:t>
      </w:r>
    </w:p>
    <w:p w14:paraId="05F5F010">
      <w:pPr>
        <w:snapToGrid w:val="0"/>
        <w:spacing w:line="520" w:lineRule="atLeast"/>
        <w:ind w:firstLine="643" w:firstLineChars="200"/>
        <w:rPr>
          <w:rFonts w:eastAsia="方正仿宋简体"/>
          <w:b/>
          <w:bCs/>
          <w:sz w:val="32"/>
          <w:szCs w:val="32"/>
        </w:rPr>
      </w:pPr>
      <w:r>
        <w:rPr>
          <w:rFonts w:hint="eastAsia" w:eastAsia="方正仿宋简体"/>
          <w:b/>
          <w:bCs/>
          <w:sz w:val="32"/>
          <w:szCs w:val="32"/>
        </w:rPr>
        <w:t>（三）产出分析</w:t>
      </w:r>
    </w:p>
    <w:p w14:paraId="325BDB31">
      <w:pPr>
        <w:snapToGrid w:val="0"/>
        <w:spacing w:line="520" w:lineRule="atLeast"/>
        <w:ind w:firstLine="643" w:firstLineChars="200"/>
        <w:rPr>
          <w:rFonts w:eastAsia="方正仿宋简体"/>
          <w:b/>
          <w:bCs/>
          <w:sz w:val="32"/>
          <w:szCs w:val="32"/>
        </w:rPr>
      </w:pPr>
      <w:r>
        <w:rPr>
          <w:rFonts w:hint="eastAsia" w:eastAsia="方正仿宋简体"/>
          <w:b/>
          <w:bCs/>
          <w:sz w:val="32"/>
          <w:szCs w:val="32"/>
        </w:rPr>
        <w:t>1.经济性</w:t>
      </w:r>
    </w:p>
    <w:p w14:paraId="377E9717">
      <w:pPr>
        <w:snapToGrid w:val="0"/>
        <w:spacing w:line="520" w:lineRule="atLeast"/>
        <w:ind w:firstLine="640" w:firstLineChars="200"/>
        <w:rPr>
          <w:rFonts w:eastAsia="方正仿宋简体"/>
          <w:sz w:val="32"/>
          <w:szCs w:val="32"/>
        </w:rPr>
      </w:pPr>
      <w:r>
        <w:rPr>
          <w:rFonts w:hint="eastAsia" w:eastAsia="方正仿宋简体"/>
          <w:sz w:val="32"/>
          <w:szCs w:val="32"/>
        </w:rPr>
        <w:t>在预算执行进度与事项完成进度基本匹配的前提下，实际支出未超过预算计划；项目按照预算完成，与同类市场价格比较，项目实施的成本属于合理范围。因此该项得分计5分。</w:t>
      </w:r>
    </w:p>
    <w:p w14:paraId="21F36ADF">
      <w:pPr>
        <w:snapToGrid w:val="0"/>
        <w:spacing w:line="520" w:lineRule="atLeast"/>
        <w:ind w:firstLine="643" w:firstLineChars="200"/>
        <w:rPr>
          <w:rFonts w:eastAsia="方正仿宋简体"/>
          <w:b/>
          <w:bCs/>
          <w:sz w:val="32"/>
          <w:szCs w:val="32"/>
        </w:rPr>
      </w:pPr>
      <w:r>
        <w:rPr>
          <w:rFonts w:hint="eastAsia" w:eastAsia="方正仿宋简体"/>
          <w:b/>
          <w:bCs/>
          <w:sz w:val="32"/>
          <w:szCs w:val="32"/>
        </w:rPr>
        <w:t>2.效率性</w:t>
      </w:r>
    </w:p>
    <w:p w14:paraId="29219334">
      <w:pPr>
        <w:snapToGrid w:val="0"/>
        <w:spacing w:line="520" w:lineRule="atLeast"/>
        <w:ind w:firstLine="640" w:firstLineChars="200"/>
        <w:rPr>
          <w:rFonts w:ascii="仿宋_GB2312" w:eastAsia="仿宋_GB2312"/>
          <w:b/>
          <w:bCs/>
          <w:color w:val="000000"/>
          <w:sz w:val="32"/>
          <w:szCs w:val="32"/>
        </w:rPr>
      </w:pPr>
      <w:r>
        <w:rPr>
          <w:rFonts w:hint="eastAsia" w:eastAsia="方正仿宋简体"/>
          <w:sz w:val="32"/>
          <w:szCs w:val="32"/>
        </w:rPr>
        <w:t>202</w:t>
      </w:r>
      <w:r>
        <w:rPr>
          <w:rFonts w:hint="eastAsia" w:eastAsia="方正仿宋简体"/>
          <w:sz w:val="32"/>
          <w:szCs w:val="32"/>
          <w:lang w:val="en-US" w:eastAsia="zh-CN"/>
        </w:rPr>
        <w:t>4</w:t>
      </w:r>
      <w:r>
        <w:rPr>
          <w:rFonts w:hint="eastAsia" w:eastAsia="方正仿宋简体"/>
          <w:sz w:val="32"/>
          <w:szCs w:val="32"/>
        </w:rPr>
        <w:t>年度100%完成全年度储备粮油补贴、粮油补贴及粮食风险基金</w:t>
      </w:r>
    </w:p>
    <w:p w14:paraId="508A1D79">
      <w:pPr>
        <w:pStyle w:val="10"/>
        <w:tabs>
          <w:tab w:val="left" w:pos="1612"/>
        </w:tabs>
        <w:spacing w:after="120" w:line="520" w:lineRule="atLeast"/>
        <w:ind w:firstLine="643" w:firstLineChars="200"/>
        <w:rPr>
          <w:rFonts w:ascii="Times New Roman" w:hAnsi="Times New Roman" w:eastAsia="方正仿宋简体" w:cs="Times New Roman"/>
          <w:b/>
          <w:bCs/>
          <w:sz w:val="32"/>
          <w:szCs w:val="32"/>
          <w:lang w:val="en-US" w:eastAsia="zh-CN" w:bidi="ar-SA"/>
        </w:rPr>
      </w:pPr>
      <w:r>
        <w:rPr>
          <w:rFonts w:hint="eastAsia" w:ascii="Times New Roman" w:hAnsi="Times New Roman" w:eastAsia="方正仿宋简体" w:cs="Times New Roman"/>
          <w:b/>
          <w:bCs/>
          <w:sz w:val="32"/>
          <w:szCs w:val="32"/>
          <w:lang w:val="en-US" w:eastAsia="zh-CN" w:bidi="ar-SA"/>
        </w:rPr>
        <w:t>（四）效益实现度分析</w:t>
      </w:r>
    </w:p>
    <w:p w14:paraId="0550FA81">
      <w:pPr>
        <w:snapToGrid w:val="0"/>
        <w:spacing w:line="520" w:lineRule="atLeast"/>
        <w:ind w:firstLine="643" w:firstLineChars="200"/>
        <w:rPr>
          <w:rFonts w:eastAsia="方正仿宋简体"/>
          <w:b/>
          <w:bCs/>
          <w:sz w:val="32"/>
          <w:szCs w:val="32"/>
        </w:rPr>
      </w:pPr>
      <w:r>
        <w:rPr>
          <w:rFonts w:hint="eastAsia" w:eastAsia="方正仿宋简体"/>
          <w:b/>
          <w:bCs/>
          <w:sz w:val="32"/>
          <w:szCs w:val="32"/>
        </w:rPr>
        <w:t>1.效果性</w:t>
      </w:r>
    </w:p>
    <w:p w14:paraId="589CC4CE">
      <w:pPr>
        <w:snapToGrid w:val="0"/>
        <w:spacing w:line="520" w:lineRule="atLeast"/>
        <w:ind w:firstLine="640" w:firstLineChars="200"/>
        <w:rPr>
          <w:rFonts w:eastAsia="方正仿宋简体"/>
          <w:sz w:val="32"/>
          <w:szCs w:val="32"/>
        </w:rPr>
      </w:pPr>
      <w:r>
        <w:rPr>
          <w:rFonts w:hint="eastAsia" w:eastAsia="方正仿宋简体"/>
          <w:sz w:val="32"/>
          <w:szCs w:val="32"/>
        </w:rPr>
        <w:t>及时归还农发行储备粮贷款，充分保证粮食安全，保障储备稻谷安全，稳定社会粮食安全情况。因此该项得分计25分。</w:t>
      </w:r>
    </w:p>
    <w:p w14:paraId="6DA5F539">
      <w:pPr>
        <w:snapToGrid w:val="0"/>
        <w:spacing w:line="520" w:lineRule="atLeast"/>
        <w:ind w:firstLine="643" w:firstLineChars="200"/>
        <w:rPr>
          <w:rFonts w:eastAsia="方正仿宋简体"/>
          <w:b/>
          <w:bCs/>
          <w:sz w:val="32"/>
          <w:szCs w:val="32"/>
        </w:rPr>
      </w:pPr>
      <w:r>
        <w:rPr>
          <w:rFonts w:hint="eastAsia" w:eastAsia="方正仿宋简体"/>
          <w:b/>
          <w:bCs/>
          <w:sz w:val="32"/>
          <w:szCs w:val="32"/>
        </w:rPr>
        <w:t>2.公平性</w:t>
      </w:r>
    </w:p>
    <w:p w14:paraId="1C58D23B">
      <w:pPr>
        <w:snapToGrid w:val="0"/>
        <w:spacing w:line="520" w:lineRule="atLeast"/>
        <w:ind w:firstLine="640" w:firstLineChars="200"/>
        <w:rPr>
          <w:rFonts w:eastAsia="方正仿宋简体"/>
          <w:sz w:val="32"/>
          <w:szCs w:val="32"/>
        </w:rPr>
      </w:pPr>
      <w:r>
        <w:rPr>
          <w:rFonts w:hint="eastAsia" w:eastAsia="方正仿宋简体"/>
          <w:sz w:val="32"/>
          <w:szCs w:val="32"/>
        </w:rPr>
        <w:t>服务对象满意。因此该项得分计5分。</w:t>
      </w:r>
    </w:p>
    <w:p w14:paraId="1889954D">
      <w:pPr>
        <w:snapToGrid w:val="0"/>
        <w:spacing w:line="520" w:lineRule="atLeast"/>
        <w:ind w:firstLine="640" w:firstLineChars="200"/>
        <w:rPr>
          <w:rFonts w:ascii="黑体" w:eastAsia="黑体"/>
          <w:sz w:val="32"/>
          <w:szCs w:val="32"/>
        </w:rPr>
      </w:pPr>
      <w:r>
        <w:rPr>
          <w:rFonts w:hint="eastAsia" w:ascii="黑体" w:eastAsia="黑体"/>
          <w:sz w:val="32"/>
          <w:szCs w:val="32"/>
        </w:rPr>
        <w:t>五、主要绩效</w:t>
      </w:r>
    </w:p>
    <w:p w14:paraId="5ACBAD19">
      <w:pPr>
        <w:snapToGrid w:val="0"/>
        <w:spacing w:line="520" w:lineRule="atLeast"/>
        <w:ind w:firstLine="640" w:firstLineChars="200"/>
        <w:rPr>
          <w:rFonts w:eastAsia="方正仿宋简体"/>
          <w:sz w:val="32"/>
          <w:szCs w:val="32"/>
        </w:rPr>
      </w:pPr>
      <w:r>
        <w:rPr>
          <w:rFonts w:hint="eastAsia" w:eastAsia="方正仿宋简体"/>
          <w:sz w:val="32"/>
          <w:szCs w:val="32"/>
        </w:rPr>
        <w:t>按时完成全年度储备粮油补贴、粮油补贴及粮食风险基金。</w:t>
      </w:r>
    </w:p>
    <w:p w14:paraId="01D5106E">
      <w:pPr>
        <w:snapToGrid w:val="0"/>
        <w:spacing w:line="520" w:lineRule="atLeast"/>
        <w:ind w:firstLine="640" w:firstLineChars="200"/>
        <w:rPr>
          <w:rFonts w:ascii="黑体" w:eastAsia="黑体"/>
          <w:sz w:val="32"/>
          <w:szCs w:val="32"/>
        </w:rPr>
      </w:pPr>
      <w:r>
        <w:rPr>
          <w:rFonts w:hint="eastAsia" w:ascii="黑体" w:eastAsia="黑体"/>
          <w:sz w:val="32"/>
          <w:szCs w:val="32"/>
        </w:rPr>
        <w:t>六、存在问题</w:t>
      </w:r>
    </w:p>
    <w:p w14:paraId="0363158F">
      <w:pPr>
        <w:snapToGrid w:val="0"/>
        <w:spacing w:line="520" w:lineRule="atLeast"/>
        <w:ind w:firstLine="640" w:firstLineChars="200"/>
        <w:rPr>
          <w:rFonts w:eastAsia="方正仿宋简体"/>
          <w:sz w:val="32"/>
          <w:szCs w:val="32"/>
        </w:rPr>
      </w:pPr>
      <w:r>
        <w:rPr>
          <w:rFonts w:hint="eastAsia" w:eastAsia="方正仿宋简体"/>
          <w:sz w:val="32"/>
          <w:szCs w:val="32"/>
        </w:rPr>
        <w:t>1.项目提早谋划，制定切实可行的方案，对方案及活动细节进行认真分析，研判可能出现的问题，及时调整。</w:t>
      </w:r>
    </w:p>
    <w:p w14:paraId="55783F43">
      <w:pPr>
        <w:snapToGrid w:val="0"/>
        <w:spacing w:line="520" w:lineRule="atLeast"/>
        <w:ind w:firstLine="640" w:firstLineChars="200"/>
        <w:rPr>
          <w:rFonts w:eastAsia="方正仿宋简体"/>
          <w:sz w:val="32"/>
          <w:szCs w:val="32"/>
        </w:rPr>
      </w:pPr>
      <w:r>
        <w:rPr>
          <w:rFonts w:hint="eastAsia" w:eastAsia="方正仿宋简体"/>
          <w:sz w:val="32"/>
          <w:szCs w:val="32"/>
        </w:rPr>
        <w:t>2.内控管理制度不够完善，不够系统，需进一步完善和加强。</w:t>
      </w:r>
    </w:p>
    <w:p w14:paraId="2645FA63">
      <w:pPr>
        <w:snapToGrid w:val="0"/>
        <w:spacing w:line="520" w:lineRule="atLeast"/>
        <w:ind w:firstLine="640" w:firstLineChars="200"/>
        <w:rPr>
          <w:rFonts w:ascii="黑体" w:eastAsia="黑体"/>
          <w:sz w:val="32"/>
          <w:szCs w:val="32"/>
        </w:rPr>
      </w:pPr>
      <w:r>
        <w:rPr>
          <w:rFonts w:hint="eastAsia" w:ascii="黑体" w:eastAsia="黑体"/>
          <w:sz w:val="32"/>
          <w:szCs w:val="32"/>
        </w:rPr>
        <w:t>七、下一步工作计划</w:t>
      </w:r>
      <w:bookmarkStart w:id="0" w:name="bookmark117"/>
      <w:bookmarkEnd w:id="0"/>
      <w:bookmarkStart w:id="1" w:name="bookmark127"/>
      <w:bookmarkEnd w:id="1"/>
      <w:bookmarkStart w:id="2" w:name="bookmark114"/>
      <w:bookmarkEnd w:id="2"/>
      <w:bookmarkStart w:id="3" w:name="bookmark115"/>
      <w:bookmarkEnd w:id="3"/>
      <w:bookmarkStart w:id="4" w:name="bookmark120"/>
      <w:bookmarkEnd w:id="4"/>
      <w:bookmarkStart w:id="5" w:name="bookmark112"/>
      <w:bookmarkEnd w:id="5"/>
      <w:bookmarkStart w:id="6" w:name="bookmark123"/>
      <w:bookmarkEnd w:id="6"/>
      <w:bookmarkStart w:id="7" w:name="bookmark119"/>
      <w:bookmarkEnd w:id="7"/>
      <w:bookmarkStart w:id="8" w:name="bookmark121"/>
      <w:bookmarkEnd w:id="8"/>
      <w:bookmarkStart w:id="9" w:name="bookmark126"/>
      <w:bookmarkEnd w:id="9"/>
      <w:bookmarkStart w:id="10" w:name="bookmark107"/>
      <w:bookmarkEnd w:id="10"/>
      <w:bookmarkStart w:id="11" w:name="bookmark122"/>
      <w:bookmarkEnd w:id="11"/>
      <w:bookmarkStart w:id="12" w:name="bookmark106"/>
      <w:bookmarkEnd w:id="12"/>
      <w:bookmarkStart w:id="13" w:name="bookmark108"/>
      <w:bookmarkEnd w:id="13"/>
      <w:bookmarkStart w:id="14" w:name="bookmark118"/>
      <w:bookmarkEnd w:id="14"/>
      <w:bookmarkStart w:id="15" w:name="bookmark128"/>
      <w:bookmarkEnd w:id="15"/>
      <w:bookmarkStart w:id="16" w:name="bookmark113"/>
      <w:bookmarkEnd w:id="16"/>
      <w:bookmarkStart w:id="17" w:name="bookmark116"/>
      <w:bookmarkEnd w:id="17"/>
      <w:bookmarkStart w:id="18" w:name="bookmark125"/>
      <w:bookmarkEnd w:id="18"/>
      <w:bookmarkStart w:id="19" w:name="bookmark124"/>
      <w:bookmarkEnd w:id="19"/>
    </w:p>
    <w:p w14:paraId="057F89D9">
      <w:pPr>
        <w:snapToGrid w:val="0"/>
        <w:spacing w:line="520" w:lineRule="atLeast"/>
        <w:ind w:firstLine="640" w:firstLineChars="200"/>
        <w:rPr>
          <w:rFonts w:eastAsia="方正仿宋简体"/>
          <w:sz w:val="32"/>
          <w:szCs w:val="32"/>
          <w:lang w:val="zh-CN"/>
        </w:rPr>
      </w:pPr>
      <w:r>
        <w:rPr>
          <w:rFonts w:hint="eastAsia" w:eastAsia="方正仿宋简体"/>
          <w:sz w:val="32"/>
          <w:szCs w:val="32"/>
          <w:lang w:val="zh-CN"/>
        </w:rPr>
        <w:t>（一）完善绩效评价体系，加强对绩效管理工作的跟踪督查，做到绩效管理有依据、按程序，实现绩效管理的规范化、常态化。</w:t>
      </w:r>
    </w:p>
    <w:p w14:paraId="623AB53B">
      <w:pPr>
        <w:snapToGrid w:val="0"/>
        <w:spacing w:line="520" w:lineRule="atLeast"/>
        <w:ind w:firstLine="640" w:firstLineChars="200"/>
        <w:rPr>
          <w:rFonts w:eastAsia="方正仿宋简体"/>
          <w:sz w:val="32"/>
          <w:szCs w:val="32"/>
          <w:lang w:val="zh-CN"/>
        </w:rPr>
      </w:pPr>
      <w:r>
        <w:rPr>
          <w:rFonts w:hint="eastAsia" w:eastAsia="方正仿宋简体"/>
          <w:sz w:val="32"/>
          <w:szCs w:val="32"/>
          <w:lang w:val="zh-CN"/>
        </w:rPr>
        <w:t>（二）推动相关制度建设，逐步建立以绩效为导向的预算编制模式。</w:t>
      </w:r>
    </w:p>
    <w:p w14:paraId="207AF31D">
      <w:pPr>
        <w:snapToGrid w:val="0"/>
        <w:spacing w:line="520" w:lineRule="atLeast"/>
        <w:ind w:firstLine="640" w:firstLineChars="200"/>
        <w:rPr>
          <w:rFonts w:eastAsia="方正仿宋简体"/>
          <w:sz w:val="32"/>
          <w:szCs w:val="32"/>
        </w:rPr>
      </w:pPr>
      <w:r>
        <w:rPr>
          <w:rFonts w:hint="eastAsia" w:eastAsia="方正仿宋简体"/>
          <w:sz w:val="32"/>
          <w:szCs w:val="32"/>
          <w:lang w:val="zh-CN"/>
        </w:rPr>
        <w:t>（三）统筹协调，提高资金使用绩效的关节点，切实提高资金使用效率。采取得力措施，科学编制和细化预算，做到预算有目标，执行有细则，控制专项支出，降低行政运行成本，提高资金使用效率和效益。</w:t>
      </w:r>
    </w:p>
    <w:p w14:paraId="23E42087"/>
    <w:sectPr>
      <w:footerReference r:id="rId3" w:type="default"/>
      <w:footerReference r:id="rId4" w:type="even"/>
      <w:pgSz w:w="11900" w:h="16840"/>
      <w:pgMar w:top="2041" w:right="1587" w:bottom="1701" w:left="1587" w:header="0" w:footer="3"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1DB5">
    <w:pPr>
      <w:spacing w:line="1" w:lineRule="exact"/>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ge">
                <wp:posOffset>10154285</wp:posOffset>
              </wp:positionV>
              <wp:extent cx="382270" cy="24765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82270" cy="247650"/>
                      </a:xfrm>
                      <a:prstGeom prst="rect">
                        <a:avLst/>
                      </a:prstGeom>
                      <a:noFill/>
                      <a:ln>
                        <a:noFill/>
                      </a:ln>
                      <a:effectLst/>
                    </wps:spPr>
                    <wps:txbx>
                      <w:txbxContent>
                        <w:p w14:paraId="5F8EB8FC">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1</w:t>
                          </w:r>
                          <w:r>
                            <w:fldChar w:fldCharType="end"/>
                          </w:r>
                          <w:r>
                            <w:rPr>
                              <w:color w:val="000000"/>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799.55pt;height:19.5pt;width:30.1pt;mso-position-horizontal:center;mso-position-horizontal-relative:margin;mso-position-vertical-relative:page;mso-wrap-style:none;z-index:251660288;mso-width-relative:page;mso-height-relative:page;" filled="f" stroked="f" coordsize="21600,21600" o:gfxdata="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qbEebVAAAACQEAAA8AAAAAAAAAAQAgAAAA&#10;IgAAAGRycy9kb3ducmV2LnhtbFBLAQIUABQAAAAIAIdO4kARl7y1DgIAABAEAAAOAAAAAAAAAAEA&#10;IAAAACQBAABkcnMvZTJvRG9jLnhtbFBLBQYAAAAABgAGAFkBAACkBQAAAAA=&#10;">
              <v:fill on="f" focussize="0,0"/>
              <v:stroke on="f"/>
              <v:imagedata o:title=""/>
              <o:lock v:ext="edit" aspectratio="f"/>
              <v:textbox inset="0mm,0mm,0mm,0mm" style="mso-fit-shape-to-text:t;">
                <w:txbxContent>
                  <w:p w14:paraId="5F8EB8FC">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1</w:t>
                    </w:r>
                    <w:r>
                      <w:fldChar w:fldCharType="end"/>
                    </w:r>
                    <w:r>
                      <w:rPr>
                        <w:color w:val="000000"/>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D3E1">
    <w:pPr>
      <w:spacing w:line="1" w:lineRule="exact"/>
    </w:pPr>
    <w:r>
      <mc:AlternateContent>
        <mc:Choice Requires="wps">
          <w:drawing>
            <wp:anchor distT="0" distB="0" distL="0" distR="0" simplePos="0" relativeHeight="251659264" behindDoc="1" locked="0" layoutInCell="1" allowOverlap="1">
              <wp:simplePos x="0" y="0"/>
              <wp:positionH relativeFrom="page">
                <wp:posOffset>694690</wp:posOffset>
              </wp:positionH>
              <wp:positionV relativeFrom="page">
                <wp:posOffset>10151745</wp:posOffset>
              </wp:positionV>
              <wp:extent cx="589915" cy="134620"/>
              <wp:effectExtent l="0" t="0" r="1270" b="6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9915" cy="134620"/>
                      </a:xfrm>
                      <a:prstGeom prst="rect">
                        <a:avLst/>
                      </a:prstGeom>
                      <a:noFill/>
                      <a:ln>
                        <a:noFill/>
                      </a:ln>
                    </wps:spPr>
                    <wps:txbx>
                      <w:txbxContent>
                        <w:p w14:paraId="438ED5C5">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22</w:t>
                          </w:r>
                          <w:r>
                            <w:fldChar w:fldCharType="end"/>
                          </w:r>
                          <w:r>
                            <w:rPr>
                              <w:color w:val="000000"/>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54.7pt;margin-top:799.35pt;height:10.6pt;width:46.45pt;mso-position-horizontal-relative:page;mso-position-vertical-relative:page;mso-wrap-style:none;z-index:-251657216;mso-width-relative:page;mso-height-relative:page;" filled="f" stroked="f" coordsize="21600,21600" o:gfxdata="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c2STp2QAAAA0BAAAPAAAAAAAAAAEAIAAA&#10;ACIAAABkcnMvZG93bnJldi54bWxQSwECFAAUAAAACACHTuJASbWZ2gsCAAACBAAADgAAAAAAAAAB&#10;ACAAAAAoAQAAZHJzL2Uyb0RvYy54bWxQSwUGAAAAAAYABgBZAQAApQUAAAAA&#10;">
              <v:fill on="f" focussize="0,0"/>
              <v:stroke on="f"/>
              <v:imagedata o:title=""/>
              <o:lock v:ext="edit" aspectratio="f"/>
              <v:textbox inset="0mm,0mm,0mm,0mm" style="mso-fit-shape-to-text:t;">
                <w:txbxContent>
                  <w:p w14:paraId="438ED5C5">
                    <w:pPr>
                      <w:pStyle w:val="12"/>
                    </w:pPr>
                    <w:r>
                      <w:rPr>
                        <w:color w:val="000000"/>
                        <w:lang w:val="en-US" w:eastAsia="en-US" w:bidi="en-US"/>
                      </w:rPr>
                      <w:t>-</w:t>
                    </w:r>
                    <w:r>
                      <w:fldChar w:fldCharType="begin"/>
                    </w:r>
                    <w:r>
                      <w:instrText xml:space="preserve"> PAGE \* MERGEFORMAT </w:instrText>
                    </w:r>
                    <w:r>
                      <w:fldChar w:fldCharType="separate"/>
                    </w:r>
                    <w:r>
                      <w:rPr>
                        <w:lang w:val="en-US" w:eastAsia="zh-CN"/>
                      </w:rPr>
                      <w:t>22</w:t>
                    </w:r>
                    <w:r>
                      <w:fldChar w:fldCharType="end"/>
                    </w:r>
                    <w:r>
                      <w:rPr>
                        <w:color w:val="000000"/>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WNjYzllNjQzYjQ3YWJmMDZlZDNlMjJjZWExY2MifQ=="/>
  </w:docVars>
  <w:rsids>
    <w:rsidRoot w:val="00223CA7"/>
    <w:rsid w:val="000B60BA"/>
    <w:rsid w:val="001422B9"/>
    <w:rsid w:val="001F579F"/>
    <w:rsid w:val="00223CA7"/>
    <w:rsid w:val="003176DD"/>
    <w:rsid w:val="00326792"/>
    <w:rsid w:val="00363CD8"/>
    <w:rsid w:val="00852570"/>
    <w:rsid w:val="00B86128"/>
    <w:rsid w:val="00C212CA"/>
    <w:rsid w:val="00C70596"/>
    <w:rsid w:val="00C91598"/>
    <w:rsid w:val="00D9593C"/>
    <w:rsid w:val="00E62D31"/>
    <w:rsid w:val="0817127E"/>
    <w:rsid w:val="0C7A6C03"/>
    <w:rsid w:val="114B56AF"/>
    <w:rsid w:val="137073A1"/>
    <w:rsid w:val="237F0D75"/>
    <w:rsid w:val="2D3C7E6D"/>
    <w:rsid w:val="320D446F"/>
    <w:rsid w:val="351D3E75"/>
    <w:rsid w:val="36CE34E6"/>
    <w:rsid w:val="3A184B1B"/>
    <w:rsid w:val="3B385F43"/>
    <w:rsid w:val="3C7A386B"/>
    <w:rsid w:val="40590A09"/>
    <w:rsid w:val="40EF45E5"/>
    <w:rsid w:val="411F38F6"/>
    <w:rsid w:val="473621D8"/>
    <w:rsid w:val="50821C16"/>
    <w:rsid w:val="5B680F04"/>
    <w:rsid w:val="5E8E1597"/>
    <w:rsid w:val="65C644C0"/>
    <w:rsid w:val="77BD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Body text|1_"/>
    <w:basedOn w:val="6"/>
    <w:link w:val="10"/>
    <w:qFormat/>
    <w:uiPriority w:val="0"/>
    <w:rPr>
      <w:rFonts w:ascii="宋体" w:hAnsi="宋体" w:eastAsia="宋体" w:cs="宋体"/>
      <w:sz w:val="30"/>
      <w:szCs w:val="30"/>
      <w:lang w:val="zh-TW" w:eastAsia="zh-TW" w:bidi="zh-TW"/>
    </w:rPr>
  </w:style>
  <w:style w:type="paragraph" w:customStyle="1" w:styleId="10">
    <w:name w:val="Body text|1"/>
    <w:basedOn w:val="1"/>
    <w:link w:val="9"/>
    <w:qFormat/>
    <w:uiPriority w:val="0"/>
    <w:pPr>
      <w:spacing w:line="439" w:lineRule="auto"/>
      <w:ind w:firstLine="400"/>
      <w:jc w:val="left"/>
    </w:pPr>
    <w:rPr>
      <w:rFonts w:ascii="宋体" w:hAnsi="宋体" w:cs="宋体"/>
      <w:sz w:val="30"/>
      <w:szCs w:val="30"/>
      <w:lang w:val="zh-TW" w:eastAsia="zh-TW" w:bidi="zh-TW"/>
    </w:rPr>
  </w:style>
  <w:style w:type="character" w:customStyle="1" w:styleId="11">
    <w:name w:val="Header or footer|1_"/>
    <w:basedOn w:val="6"/>
    <w:link w:val="12"/>
    <w:qFormat/>
    <w:uiPriority w:val="0"/>
    <w:rPr>
      <w:rFonts w:ascii="宋体" w:hAnsi="宋体" w:eastAsia="宋体" w:cs="宋体"/>
      <w:b/>
      <w:bCs/>
      <w:sz w:val="30"/>
      <w:szCs w:val="30"/>
      <w:lang w:val="zh-TW" w:eastAsia="zh-TW" w:bidi="zh-TW"/>
    </w:rPr>
  </w:style>
  <w:style w:type="paragraph" w:customStyle="1" w:styleId="12">
    <w:name w:val="Header or footer|1"/>
    <w:basedOn w:val="1"/>
    <w:link w:val="11"/>
    <w:qFormat/>
    <w:uiPriority w:val="0"/>
    <w:pPr>
      <w:jc w:val="left"/>
    </w:pPr>
    <w:rPr>
      <w:rFonts w:ascii="宋体" w:hAnsi="宋体" w:cs="宋体"/>
      <w:b/>
      <w:bCs/>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1900</Words>
  <Characters>1958</Characters>
  <Lines>14</Lines>
  <Paragraphs>4</Paragraphs>
  <TotalTime>7</TotalTime>
  <ScaleCrop>false</ScaleCrop>
  <LinksUpToDate>false</LinksUpToDate>
  <CharactersWithSpaces>1958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2023-04-27T02:44:00Z</dcterms:created>
  <dc:creator>Lenovo</dc:creator>
  <cp:lastModifiedBy>安秦天</cp:lastModifiedBy>
  <dcterms:modified xsi:type="dcterms:W3CDTF">2025-09-25T08:26:31Z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EAE37722A6234B91A67CE1B3962F625E_12</vt:lpwstr>
  </property>
  <property fmtid="{D5CDD505-2E9C-101B-9397-08002B2CF9AE}" pid="4" name="KSOTemplateDocerSaveRecord">
    <vt:lpwstr>eyJoZGlkIjoiNGQyMWNjYzllNjQzYjQ3YWJmMDZlZDNlMjJjZWExY2MiLCJ1c2VySWQiOiI0MzE0NDY5MDkifQ==</vt:lpwstr>
  </property>
</Properties>
</file>