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185B">
      <w:pPr>
        <w:spacing w:line="360" w:lineRule="auto"/>
        <w:rPr>
          <w:rFonts w:ascii="黑体" w:hAnsi="黑体" w:eastAsia="黑体" w:cs="黑体"/>
          <w:sz w:val="32"/>
          <w:szCs w:val="32"/>
        </w:rPr>
      </w:pPr>
      <w:r>
        <w:rPr>
          <w:rFonts w:hint="eastAsia" w:ascii="黑体" w:hAnsi="黑体" w:eastAsia="黑体" w:cs="黑体"/>
          <w:sz w:val="32"/>
          <w:szCs w:val="32"/>
        </w:rPr>
        <w:t>附件3</w:t>
      </w:r>
    </w:p>
    <w:p w14:paraId="4D2F200A">
      <w:pPr>
        <w:spacing w:line="360" w:lineRule="auto"/>
        <w:rPr>
          <w:rFonts w:ascii="仿宋_GB2312" w:eastAsia="仿宋_GB2312"/>
          <w:sz w:val="32"/>
          <w:szCs w:val="32"/>
        </w:rPr>
      </w:pPr>
    </w:p>
    <w:p w14:paraId="0133C875">
      <w:pPr>
        <w:spacing w:line="360" w:lineRule="auto"/>
        <w:jc w:val="center"/>
        <w:rPr>
          <w:rFonts w:ascii="仿宋_GB2312" w:eastAsia="仿宋_GB2312"/>
          <w:sz w:val="44"/>
          <w:szCs w:val="44"/>
        </w:rPr>
      </w:pPr>
      <w:r>
        <w:rPr>
          <w:rFonts w:hint="eastAsia" w:ascii="方正小标宋简体" w:hAnsi="方正小标宋简体" w:eastAsia="方正小标宋简体" w:cs="方正小标宋简体"/>
          <w:sz w:val="44"/>
          <w:szCs w:val="44"/>
        </w:rPr>
        <w:t>项目绩效自评报告</w:t>
      </w:r>
    </w:p>
    <w:p w14:paraId="078DE0BD">
      <w:pPr>
        <w:spacing w:line="360" w:lineRule="auto"/>
        <w:jc w:val="center"/>
        <w:rPr>
          <w:rFonts w:ascii="楷体_GB2312" w:eastAsia="楷体_GB2312"/>
          <w:sz w:val="32"/>
          <w:szCs w:val="32"/>
        </w:rPr>
      </w:pPr>
    </w:p>
    <w:p w14:paraId="07A23202">
      <w:pPr>
        <w:spacing w:line="360" w:lineRule="auto"/>
        <w:ind w:firstLine="450" w:firstLineChars="150"/>
        <w:rPr>
          <w:rFonts w:ascii="仿宋_GB2312" w:eastAsia="仿宋_GB2312"/>
          <w:sz w:val="30"/>
          <w:szCs w:val="30"/>
        </w:rPr>
      </w:pPr>
    </w:p>
    <w:p w14:paraId="71310BF2">
      <w:pPr>
        <w:spacing w:line="360" w:lineRule="auto"/>
        <w:ind w:firstLine="450" w:firstLineChars="150"/>
        <w:rPr>
          <w:rFonts w:ascii="仿宋_GB2312" w:eastAsia="仿宋_GB2312"/>
          <w:sz w:val="30"/>
          <w:szCs w:val="30"/>
        </w:rPr>
      </w:pPr>
    </w:p>
    <w:p w14:paraId="2BA62A84">
      <w:pPr>
        <w:spacing w:line="360" w:lineRule="auto"/>
        <w:ind w:firstLine="450" w:firstLineChars="150"/>
        <w:rPr>
          <w:rFonts w:ascii="仿宋_GB2312" w:eastAsia="仿宋_GB2312"/>
          <w:sz w:val="30"/>
          <w:szCs w:val="30"/>
        </w:rPr>
      </w:pPr>
    </w:p>
    <w:p w14:paraId="3FAF0E58">
      <w:pPr>
        <w:spacing w:line="360" w:lineRule="auto"/>
        <w:ind w:firstLine="450" w:firstLineChars="150"/>
        <w:rPr>
          <w:rFonts w:ascii="仿宋_GB2312" w:eastAsia="仿宋_GB2312"/>
          <w:sz w:val="30"/>
          <w:szCs w:val="30"/>
        </w:rPr>
      </w:pPr>
    </w:p>
    <w:p w14:paraId="683EB45B">
      <w:pPr>
        <w:spacing w:line="360" w:lineRule="auto"/>
        <w:ind w:firstLine="450" w:firstLineChars="150"/>
        <w:rPr>
          <w:rFonts w:ascii="仿宋_GB2312" w:eastAsia="仿宋_GB2312"/>
          <w:sz w:val="30"/>
          <w:szCs w:val="30"/>
        </w:rPr>
      </w:pPr>
    </w:p>
    <w:p w14:paraId="739FA35E">
      <w:pPr>
        <w:spacing w:line="360" w:lineRule="auto"/>
        <w:ind w:firstLine="450" w:firstLineChars="150"/>
        <w:rPr>
          <w:rFonts w:ascii="仿宋_GB2312" w:eastAsia="仿宋_GB2312"/>
          <w:sz w:val="30"/>
          <w:szCs w:val="30"/>
        </w:rPr>
      </w:pPr>
    </w:p>
    <w:p w14:paraId="7E9A027C">
      <w:pPr>
        <w:spacing w:line="360" w:lineRule="auto"/>
        <w:ind w:firstLine="450" w:firstLineChars="150"/>
        <w:rPr>
          <w:rFonts w:ascii="仿宋_GB2312" w:eastAsia="仿宋_GB2312"/>
          <w:sz w:val="30"/>
          <w:szCs w:val="30"/>
        </w:rPr>
      </w:pPr>
    </w:p>
    <w:p w14:paraId="6F02F577">
      <w:pPr>
        <w:spacing w:line="360" w:lineRule="auto"/>
        <w:ind w:firstLine="450" w:firstLineChars="150"/>
        <w:rPr>
          <w:rFonts w:ascii="仿宋_GB2312" w:eastAsia="仿宋_GB2312"/>
          <w:sz w:val="30"/>
          <w:szCs w:val="30"/>
        </w:rPr>
      </w:pPr>
    </w:p>
    <w:p w14:paraId="0BD5C14A">
      <w:pPr>
        <w:spacing w:line="360" w:lineRule="auto"/>
        <w:ind w:firstLine="450" w:firstLineChars="150"/>
        <w:rPr>
          <w:rFonts w:ascii="仿宋_GB2312" w:eastAsia="仿宋_GB2312"/>
          <w:sz w:val="30"/>
          <w:szCs w:val="30"/>
        </w:rPr>
      </w:pPr>
    </w:p>
    <w:p w14:paraId="3C3B58E6">
      <w:pPr>
        <w:spacing w:line="360" w:lineRule="auto"/>
        <w:ind w:firstLine="450" w:firstLineChars="150"/>
        <w:rPr>
          <w:rFonts w:ascii="仿宋_GB2312" w:eastAsia="仿宋_GB2312"/>
          <w:sz w:val="30"/>
          <w:szCs w:val="30"/>
        </w:rPr>
      </w:pPr>
    </w:p>
    <w:p w14:paraId="32B419C5">
      <w:pPr>
        <w:snapToGrid w:val="0"/>
        <w:spacing w:line="360" w:lineRule="auto"/>
        <w:rPr>
          <w:rFonts w:eastAsia="方正仿宋简体"/>
          <w:sz w:val="32"/>
          <w:szCs w:val="32"/>
        </w:rPr>
      </w:pPr>
      <w:r>
        <w:rPr>
          <w:rFonts w:eastAsia="方正仿宋简体"/>
          <w:sz w:val="32"/>
          <w:szCs w:val="32"/>
        </w:rPr>
        <w:t>项目名称：新建</w:t>
      </w:r>
      <w:r>
        <w:rPr>
          <w:rFonts w:hint="eastAsia" w:eastAsia="方正仿宋简体"/>
          <w:sz w:val="32"/>
          <w:szCs w:val="32"/>
        </w:rPr>
        <w:t>梅州至</w:t>
      </w:r>
      <w:r>
        <w:rPr>
          <w:rFonts w:eastAsia="方正仿宋简体"/>
          <w:sz w:val="32"/>
          <w:szCs w:val="32"/>
        </w:rPr>
        <w:t>龙川铁路五华站站房</w:t>
      </w:r>
      <w:r>
        <w:rPr>
          <w:rFonts w:hint="eastAsia" w:eastAsia="方正仿宋简体"/>
          <w:sz w:val="32"/>
          <w:szCs w:val="32"/>
        </w:rPr>
        <w:t>增加</w:t>
      </w:r>
      <w:r>
        <w:rPr>
          <w:rFonts w:eastAsia="方正仿宋简体"/>
          <w:sz w:val="32"/>
          <w:szCs w:val="32"/>
        </w:rPr>
        <w:t>建设规模项目</w:t>
      </w:r>
    </w:p>
    <w:p w14:paraId="1676E582">
      <w:pPr>
        <w:snapToGrid w:val="0"/>
        <w:spacing w:line="360" w:lineRule="auto"/>
        <w:rPr>
          <w:rFonts w:eastAsia="方正仿宋简体"/>
          <w:sz w:val="32"/>
          <w:szCs w:val="32"/>
        </w:rPr>
      </w:pPr>
      <w:r>
        <w:rPr>
          <w:rFonts w:eastAsia="方正仿宋简体"/>
          <w:sz w:val="32"/>
          <w:szCs w:val="32"/>
        </w:rPr>
        <w:t>项目主管部门：五华县发展和改革局</w:t>
      </w:r>
    </w:p>
    <w:p w14:paraId="3B8D8C77">
      <w:pPr>
        <w:snapToGrid w:val="0"/>
        <w:spacing w:line="360" w:lineRule="auto"/>
        <w:rPr>
          <w:rFonts w:eastAsia="方正仿宋简体"/>
          <w:sz w:val="32"/>
          <w:szCs w:val="32"/>
        </w:rPr>
      </w:pPr>
      <w:r>
        <w:rPr>
          <w:rFonts w:eastAsia="方正仿宋简体"/>
          <w:sz w:val="32"/>
          <w:szCs w:val="32"/>
        </w:rPr>
        <w:t>填报人姓名：吴昊</w:t>
      </w:r>
    </w:p>
    <w:p w14:paraId="685E441F">
      <w:pPr>
        <w:snapToGrid w:val="0"/>
        <w:spacing w:line="360" w:lineRule="auto"/>
        <w:rPr>
          <w:rFonts w:eastAsia="方正仿宋简体"/>
          <w:sz w:val="32"/>
          <w:szCs w:val="32"/>
        </w:rPr>
      </w:pPr>
      <w:r>
        <w:rPr>
          <w:rFonts w:eastAsia="方正仿宋简体"/>
          <w:sz w:val="32"/>
          <w:szCs w:val="32"/>
        </w:rPr>
        <w:t>联系电话：0753-4433191</w:t>
      </w:r>
    </w:p>
    <w:p w14:paraId="52D1BF30">
      <w:pPr>
        <w:snapToGrid w:val="0"/>
        <w:spacing w:line="360" w:lineRule="auto"/>
        <w:rPr>
          <w:rFonts w:eastAsia="方正仿宋简体"/>
          <w:sz w:val="32"/>
          <w:szCs w:val="32"/>
        </w:rPr>
      </w:pPr>
      <w:r>
        <w:rPr>
          <w:rFonts w:eastAsia="方正仿宋简体"/>
          <w:sz w:val="32"/>
          <w:szCs w:val="32"/>
        </w:rPr>
        <w:t>填报日期：202</w:t>
      </w:r>
      <w:r>
        <w:rPr>
          <w:rFonts w:hint="eastAsia" w:eastAsia="方正仿宋简体"/>
          <w:sz w:val="32"/>
          <w:szCs w:val="32"/>
        </w:rPr>
        <w:t>5</w:t>
      </w:r>
      <w:r>
        <w:rPr>
          <w:rFonts w:eastAsia="方正仿宋简体"/>
          <w:sz w:val="32"/>
          <w:szCs w:val="32"/>
        </w:rPr>
        <w:t>年</w:t>
      </w:r>
      <w:r>
        <w:rPr>
          <w:rFonts w:hint="eastAsia" w:eastAsia="方正仿宋简体"/>
          <w:sz w:val="32"/>
          <w:szCs w:val="32"/>
        </w:rPr>
        <w:t>9</w:t>
      </w:r>
      <w:r>
        <w:rPr>
          <w:rFonts w:eastAsia="方正仿宋简体"/>
          <w:sz w:val="32"/>
          <w:szCs w:val="32"/>
        </w:rPr>
        <w:t>月</w:t>
      </w:r>
      <w:r>
        <w:rPr>
          <w:rFonts w:hint="eastAsia" w:eastAsia="方正仿宋简体"/>
          <w:sz w:val="32"/>
          <w:szCs w:val="32"/>
        </w:rPr>
        <w:t>24</w:t>
      </w:r>
      <w:r>
        <w:rPr>
          <w:rFonts w:eastAsia="方正仿宋简体"/>
          <w:sz w:val="32"/>
          <w:szCs w:val="32"/>
        </w:rPr>
        <w:t>日</w:t>
      </w:r>
    </w:p>
    <w:p w14:paraId="656A7304">
      <w:pPr>
        <w:snapToGrid w:val="0"/>
        <w:spacing w:line="360" w:lineRule="auto"/>
        <w:rPr>
          <w:rFonts w:ascii="黑体" w:eastAsia="黑体"/>
          <w:sz w:val="32"/>
          <w:szCs w:val="32"/>
        </w:rPr>
      </w:pPr>
    </w:p>
    <w:p w14:paraId="388C19A7">
      <w:pPr>
        <w:snapToGrid w:val="0"/>
        <w:spacing w:line="520" w:lineRule="atLeast"/>
        <w:ind w:firstLine="640" w:firstLineChars="200"/>
        <w:rPr>
          <w:rFonts w:ascii="黑体" w:eastAsia="黑体"/>
          <w:sz w:val="32"/>
          <w:szCs w:val="32"/>
        </w:rPr>
      </w:pPr>
      <w:r>
        <w:rPr>
          <w:rFonts w:hint="eastAsia" w:ascii="黑体" w:eastAsia="黑体"/>
          <w:sz w:val="32"/>
          <w:szCs w:val="32"/>
        </w:rPr>
        <w:t>一、基本情况</w:t>
      </w:r>
    </w:p>
    <w:p w14:paraId="2077D494">
      <w:pPr>
        <w:snapToGrid w:val="0"/>
        <w:spacing w:line="520" w:lineRule="atLeast"/>
        <w:ind w:firstLine="643" w:firstLineChars="200"/>
        <w:rPr>
          <w:rFonts w:ascii="仿宋_GB2312" w:eastAsia="仿宋_GB2312"/>
          <w:b/>
          <w:bCs/>
          <w:sz w:val="32"/>
          <w:szCs w:val="32"/>
        </w:rPr>
      </w:pPr>
      <w:r>
        <w:rPr>
          <w:rFonts w:hint="eastAsia" w:ascii="仿宋_GB2312" w:eastAsia="仿宋_GB2312"/>
          <w:b/>
          <w:bCs/>
          <w:sz w:val="32"/>
          <w:szCs w:val="32"/>
        </w:rPr>
        <w:t>（一）项目基本情况</w:t>
      </w:r>
    </w:p>
    <w:p w14:paraId="62DA4F8D">
      <w:pPr>
        <w:snapToGrid w:val="0"/>
        <w:spacing w:line="520" w:lineRule="atLeast"/>
        <w:ind w:firstLine="640" w:firstLineChars="200"/>
        <w:rPr>
          <w:rFonts w:eastAsia="方正仿宋简体"/>
          <w:sz w:val="32"/>
          <w:szCs w:val="32"/>
        </w:rPr>
      </w:pPr>
      <w:r>
        <w:rPr>
          <w:rFonts w:hint="eastAsia" w:eastAsia="方正仿宋简体"/>
          <w:sz w:val="32"/>
          <w:szCs w:val="32"/>
        </w:rPr>
        <w:t>按照2020年6月我县与广东梅龙公司签订的《新建梅州至龙川铁路五华站站房增加建设出资协议》要求，我县要在2023年3月底前应支付项目准备金。根据《广东省交通运输厅关于新建梅州至龙川铁路兴宁南站和五华站站房及相关配套工程补充设计的批复》(粤交铁〔2022〕403 号），五华站站房规模及地下出站通道调整等增加投资。五华站新增两组自动扶梯及相关工程与站房等主体工程同步设计，同步实施，该部分费用由我县财政承担，不纳入梅龙高铁项目概算。</w:t>
      </w:r>
    </w:p>
    <w:p w14:paraId="2FFA1B6A">
      <w:pPr>
        <w:snapToGrid w:val="0"/>
        <w:spacing w:line="520" w:lineRule="atLeast"/>
        <w:ind w:firstLine="643" w:firstLineChars="200"/>
        <w:rPr>
          <w:rFonts w:ascii="仿宋_GB2312" w:eastAsia="仿宋_GB2312"/>
          <w:b/>
          <w:bCs/>
          <w:sz w:val="32"/>
          <w:szCs w:val="32"/>
        </w:rPr>
      </w:pPr>
      <w:r>
        <w:rPr>
          <w:rFonts w:hint="eastAsia" w:ascii="仿宋_GB2312" w:eastAsia="仿宋_GB2312"/>
          <w:b/>
          <w:bCs/>
          <w:sz w:val="32"/>
          <w:szCs w:val="32"/>
        </w:rPr>
        <w:t>（二）</w:t>
      </w:r>
      <w:r>
        <w:rPr>
          <w:rFonts w:ascii="仿宋_GB2312" w:eastAsia="仿宋_GB2312"/>
          <w:b/>
          <w:bCs/>
          <w:sz w:val="32"/>
          <w:szCs w:val="32"/>
        </w:rPr>
        <w:t>项目决策情况</w:t>
      </w:r>
    </w:p>
    <w:p w14:paraId="75BBF334">
      <w:pPr>
        <w:snapToGrid w:val="0"/>
        <w:spacing w:line="520" w:lineRule="atLeast"/>
        <w:ind w:firstLine="640" w:firstLineChars="200"/>
        <w:rPr>
          <w:rFonts w:eastAsia="方正仿宋简体"/>
          <w:sz w:val="32"/>
          <w:szCs w:val="32"/>
        </w:rPr>
      </w:pPr>
      <w:r>
        <w:rPr>
          <w:rFonts w:hint="eastAsia" w:eastAsia="方正仿宋简体"/>
          <w:sz w:val="32"/>
          <w:szCs w:val="32"/>
        </w:rPr>
        <w:t>我县已复函广东梅龙铁路有限公司《关于五华站站房增加建设规模补充出资的函》(梅龙铁路工函〔2022〕54号），同意按照相关程序来履行付款手续。</w:t>
      </w:r>
    </w:p>
    <w:p w14:paraId="2C5FB6C5">
      <w:pPr>
        <w:snapToGrid w:val="0"/>
        <w:spacing w:line="520" w:lineRule="atLeast"/>
        <w:ind w:firstLine="643" w:firstLineChars="200"/>
        <w:rPr>
          <w:rFonts w:eastAsia="方正仿宋简体"/>
          <w:b/>
          <w:bCs/>
          <w:sz w:val="32"/>
          <w:szCs w:val="32"/>
        </w:rPr>
      </w:pPr>
      <w:r>
        <w:rPr>
          <w:rFonts w:eastAsia="方正仿宋简体"/>
          <w:b/>
          <w:bCs/>
          <w:sz w:val="32"/>
          <w:szCs w:val="32"/>
        </w:rPr>
        <w:t>（三）绩效目标</w:t>
      </w:r>
    </w:p>
    <w:p w14:paraId="50CB8D12">
      <w:pPr>
        <w:snapToGrid w:val="0"/>
        <w:spacing w:line="520" w:lineRule="atLeast"/>
        <w:ind w:firstLine="640" w:firstLineChars="200"/>
        <w:rPr>
          <w:rFonts w:ascii="仿宋_GB2312" w:eastAsia="仿宋_GB2312"/>
          <w:sz w:val="32"/>
          <w:szCs w:val="32"/>
        </w:rPr>
      </w:pPr>
      <w:r>
        <w:rPr>
          <w:rFonts w:hint="eastAsia" w:eastAsia="方正仿宋简体"/>
          <w:sz w:val="32"/>
          <w:szCs w:val="32"/>
        </w:rPr>
        <w:t>确保梅龙高铁五华站站房无障碍建设，按时拨付相关县级资金。</w:t>
      </w:r>
    </w:p>
    <w:p w14:paraId="6ABBCA7D">
      <w:pPr>
        <w:snapToGrid w:val="0"/>
        <w:spacing w:line="520" w:lineRule="atLeast"/>
        <w:ind w:firstLine="640" w:firstLineChars="200"/>
        <w:rPr>
          <w:rFonts w:ascii="黑体" w:eastAsia="黑体"/>
          <w:sz w:val="32"/>
          <w:szCs w:val="32"/>
        </w:rPr>
      </w:pPr>
      <w:r>
        <w:rPr>
          <w:rFonts w:hint="eastAsia" w:ascii="黑体" w:eastAsia="黑体"/>
          <w:sz w:val="32"/>
          <w:szCs w:val="32"/>
        </w:rPr>
        <w:t>二、绩效自评工作组织情况</w:t>
      </w:r>
    </w:p>
    <w:p w14:paraId="5DE2E392">
      <w:pPr>
        <w:snapToGrid w:val="0"/>
        <w:spacing w:line="520" w:lineRule="atLeast"/>
        <w:ind w:firstLine="640" w:firstLineChars="200"/>
        <w:rPr>
          <w:rFonts w:eastAsia="方正仿宋简体"/>
          <w:sz w:val="32"/>
          <w:szCs w:val="32"/>
        </w:rPr>
      </w:pPr>
      <w:r>
        <w:rPr>
          <w:rFonts w:hint="eastAsia" w:eastAsia="方正仿宋简体"/>
          <w:sz w:val="32"/>
          <w:szCs w:val="32"/>
        </w:rPr>
        <w:t>通过绩效自评工作，总结经验，找准问题，进一步加强规范项目和资金管理，完善管理办法，在被评价项目相关资料真实、可靠的基础上，我单位2024年度基本完成了绩效目标任务，达到了既定的目标。</w:t>
      </w:r>
    </w:p>
    <w:p w14:paraId="710F60B9">
      <w:pPr>
        <w:snapToGrid w:val="0"/>
        <w:spacing w:line="520" w:lineRule="atLeast"/>
        <w:ind w:firstLine="640" w:firstLineChars="200"/>
        <w:rPr>
          <w:rFonts w:ascii="黑体" w:eastAsia="黑体"/>
          <w:sz w:val="32"/>
          <w:szCs w:val="32"/>
        </w:rPr>
      </w:pPr>
      <w:r>
        <w:rPr>
          <w:rFonts w:hint="eastAsia" w:ascii="黑体" w:eastAsia="黑体"/>
          <w:sz w:val="32"/>
          <w:szCs w:val="32"/>
        </w:rPr>
        <w:t>三、绩效自评结论</w:t>
      </w:r>
    </w:p>
    <w:p w14:paraId="41A314FD">
      <w:pPr>
        <w:snapToGrid w:val="0"/>
        <w:spacing w:line="520" w:lineRule="atLeast"/>
        <w:ind w:firstLine="640" w:firstLineChars="200"/>
        <w:rPr>
          <w:rFonts w:eastAsia="方正仿宋简体"/>
          <w:sz w:val="32"/>
          <w:szCs w:val="32"/>
        </w:rPr>
      </w:pPr>
      <w:r>
        <w:rPr>
          <w:rFonts w:hint="eastAsia" w:eastAsia="方正仿宋简体"/>
          <w:sz w:val="32"/>
          <w:szCs w:val="32"/>
        </w:rPr>
        <w:t>梅州至龙川铁路五华站站房及相关配套工程支出绩效自评分数为100分，自评等级为优秀。</w:t>
      </w:r>
    </w:p>
    <w:p w14:paraId="5E515952">
      <w:pPr>
        <w:snapToGrid w:val="0"/>
        <w:spacing w:line="520" w:lineRule="atLeast"/>
        <w:ind w:firstLine="640" w:firstLineChars="200"/>
        <w:rPr>
          <w:rFonts w:ascii="黑体" w:eastAsia="黑体"/>
          <w:sz w:val="32"/>
          <w:szCs w:val="32"/>
        </w:rPr>
      </w:pPr>
      <w:r>
        <w:rPr>
          <w:rFonts w:hint="eastAsia" w:ascii="黑体" w:eastAsia="黑体"/>
          <w:sz w:val="32"/>
          <w:szCs w:val="32"/>
        </w:rPr>
        <w:t>四、绩效指标分析</w:t>
      </w:r>
    </w:p>
    <w:p w14:paraId="298566DA">
      <w:pPr>
        <w:snapToGrid w:val="0"/>
        <w:spacing w:line="520" w:lineRule="atLeast"/>
        <w:ind w:firstLine="640" w:firstLineChars="200"/>
        <w:rPr>
          <w:rFonts w:ascii="仿宋_GB2312" w:eastAsia="仿宋_GB2312"/>
          <w:b/>
          <w:bCs/>
          <w:color w:val="000000"/>
          <w:sz w:val="32"/>
          <w:szCs w:val="32"/>
        </w:rPr>
      </w:pPr>
      <w:r>
        <w:rPr>
          <w:rFonts w:hint="eastAsia" w:ascii="仿宋_GB2312" w:eastAsia="仿宋_GB2312"/>
          <w:sz w:val="32"/>
          <w:szCs w:val="32"/>
        </w:rPr>
        <w:t>（一）</w:t>
      </w:r>
      <w:r>
        <w:rPr>
          <w:rFonts w:hint="eastAsia" w:ascii="仿宋_GB2312" w:eastAsia="仿宋_GB2312"/>
          <w:b/>
          <w:bCs/>
          <w:color w:val="000000"/>
          <w:sz w:val="32"/>
          <w:szCs w:val="32"/>
        </w:rPr>
        <w:t>决策分析</w:t>
      </w:r>
    </w:p>
    <w:p w14:paraId="3D85D489">
      <w:pPr>
        <w:snapToGrid w:val="0"/>
        <w:spacing w:line="520" w:lineRule="atLeast"/>
        <w:ind w:firstLine="643" w:firstLineChars="200"/>
        <w:rPr>
          <w:rFonts w:eastAsia="方正仿宋简体"/>
          <w:b/>
          <w:bCs/>
          <w:sz w:val="32"/>
          <w:szCs w:val="32"/>
        </w:rPr>
      </w:pPr>
      <w:r>
        <w:rPr>
          <w:rFonts w:hint="eastAsia" w:eastAsia="方正仿宋简体"/>
          <w:b/>
          <w:bCs/>
          <w:sz w:val="32"/>
          <w:szCs w:val="32"/>
        </w:rPr>
        <w:t>1.项目立项情况</w:t>
      </w:r>
    </w:p>
    <w:p w14:paraId="5FC1D72B">
      <w:pPr>
        <w:snapToGrid w:val="0"/>
        <w:spacing w:line="520" w:lineRule="atLeast"/>
        <w:ind w:firstLine="640" w:firstLineChars="200"/>
        <w:rPr>
          <w:rFonts w:eastAsia="方正仿宋简体"/>
          <w:sz w:val="32"/>
          <w:szCs w:val="32"/>
        </w:rPr>
      </w:pPr>
      <w:r>
        <w:rPr>
          <w:rFonts w:hint="eastAsia" w:eastAsia="方正仿宋简体"/>
          <w:sz w:val="32"/>
          <w:szCs w:val="32"/>
        </w:rPr>
        <w:t>（1）论证决策</w:t>
      </w:r>
    </w:p>
    <w:p w14:paraId="0B52FE76">
      <w:pPr>
        <w:snapToGrid w:val="0"/>
        <w:spacing w:line="520" w:lineRule="atLeast"/>
        <w:ind w:firstLine="640" w:firstLineChars="200"/>
        <w:rPr>
          <w:rFonts w:eastAsia="方正仿宋简体"/>
          <w:sz w:val="32"/>
          <w:szCs w:val="32"/>
        </w:rPr>
      </w:pPr>
      <w:r>
        <w:rPr>
          <w:rFonts w:hint="eastAsia" w:eastAsia="方正仿宋简体"/>
          <w:sz w:val="32"/>
          <w:szCs w:val="32"/>
        </w:rPr>
        <w:t>项目论证决策充分合理，经过集体会议协商、并咨询相关专家意见、且有文字材料。因此该项得分计5分。</w:t>
      </w:r>
    </w:p>
    <w:p w14:paraId="4BC688B3">
      <w:pPr>
        <w:snapToGrid w:val="0"/>
        <w:spacing w:line="520" w:lineRule="atLeast"/>
        <w:ind w:firstLine="640" w:firstLineChars="200"/>
        <w:rPr>
          <w:rFonts w:eastAsia="方正仿宋简体"/>
          <w:sz w:val="32"/>
          <w:szCs w:val="32"/>
        </w:rPr>
      </w:pPr>
      <w:r>
        <w:rPr>
          <w:rFonts w:hint="eastAsia" w:eastAsia="方正仿宋简体"/>
          <w:sz w:val="32"/>
          <w:szCs w:val="32"/>
        </w:rPr>
        <w:t>（2）目标设置</w:t>
      </w:r>
    </w:p>
    <w:p w14:paraId="47D27957">
      <w:pPr>
        <w:snapToGrid w:val="0"/>
        <w:spacing w:line="520" w:lineRule="atLeast"/>
        <w:ind w:firstLine="640" w:firstLineChars="200"/>
        <w:rPr>
          <w:rFonts w:eastAsia="方正仿宋简体"/>
          <w:sz w:val="32"/>
          <w:szCs w:val="32"/>
        </w:rPr>
      </w:pPr>
      <w:r>
        <w:rPr>
          <w:rFonts w:hint="eastAsia" w:eastAsia="方正仿宋简体"/>
          <w:sz w:val="32"/>
          <w:szCs w:val="32"/>
        </w:rPr>
        <w:t>目标设置合理，符合国家法律法规和部门中长期规划。因此该项得分计6分。</w:t>
      </w:r>
    </w:p>
    <w:p w14:paraId="7816156F">
      <w:pPr>
        <w:snapToGrid w:val="0"/>
        <w:spacing w:line="520" w:lineRule="atLeast"/>
        <w:ind w:firstLine="640" w:firstLineChars="200"/>
        <w:rPr>
          <w:rFonts w:eastAsia="方正仿宋简体"/>
          <w:sz w:val="32"/>
          <w:szCs w:val="32"/>
        </w:rPr>
      </w:pPr>
      <w:r>
        <w:rPr>
          <w:rFonts w:hint="eastAsia" w:eastAsia="方正仿宋简体"/>
          <w:sz w:val="32"/>
          <w:szCs w:val="32"/>
        </w:rPr>
        <w:t>（3）保障措施</w:t>
      </w:r>
    </w:p>
    <w:p w14:paraId="5D5270EF">
      <w:pPr>
        <w:snapToGrid w:val="0"/>
        <w:spacing w:line="520" w:lineRule="atLeast"/>
        <w:ind w:firstLine="640" w:firstLineChars="200"/>
        <w:rPr>
          <w:rFonts w:eastAsia="方正仿宋简体"/>
          <w:sz w:val="32"/>
          <w:szCs w:val="32"/>
        </w:rPr>
      </w:pPr>
      <w:r>
        <w:rPr>
          <w:rFonts w:hint="eastAsia" w:eastAsia="方正仿宋简体"/>
          <w:sz w:val="32"/>
          <w:szCs w:val="32"/>
        </w:rPr>
        <w:t>相关基础信息和证据判断制度完整，计划安排合理性。因此该项得分计2分。</w:t>
      </w:r>
    </w:p>
    <w:p w14:paraId="5DD41B68">
      <w:pPr>
        <w:snapToGrid w:val="0"/>
        <w:spacing w:line="520" w:lineRule="atLeast"/>
        <w:ind w:firstLine="643" w:firstLineChars="200"/>
        <w:rPr>
          <w:rFonts w:eastAsia="方正仿宋简体"/>
          <w:b/>
          <w:bCs/>
          <w:sz w:val="32"/>
          <w:szCs w:val="32"/>
        </w:rPr>
      </w:pPr>
      <w:r>
        <w:rPr>
          <w:rFonts w:hint="eastAsia" w:eastAsia="方正仿宋简体"/>
          <w:b/>
          <w:bCs/>
          <w:sz w:val="32"/>
          <w:szCs w:val="32"/>
        </w:rPr>
        <w:t>2.资金落实情况</w:t>
      </w:r>
    </w:p>
    <w:p w14:paraId="2C3BFDC9">
      <w:pPr>
        <w:snapToGrid w:val="0"/>
        <w:spacing w:line="520" w:lineRule="atLeast"/>
        <w:ind w:firstLine="640" w:firstLineChars="200"/>
        <w:rPr>
          <w:rFonts w:eastAsia="方正仿宋简体"/>
          <w:sz w:val="32"/>
          <w:szCs w:val="32"/>
        </w:rPr>
      </w:pPr>
      <w:r>
        <w:rPr>
          <w:rFonts w:hint="eastAsia" w:eastAsia="方正仿宋简体"/>
          <w:sz w:val="32"/>
          <w:szCs w:val="32"/>
        </w:rPr>
        <w:t>（1）资金到位</w:t>
      </w:r>
    </w:p>
    <w:p w14:paraId="69A9C5AD">
      <w:pPr>
        <w:snapToGrid w:val="0"/>
        <w:spacing w:line="520" w:lineRule="atLeast"/>
        <w:ind w:firstLine="640" w:firstLineChars="200"/>
        <w:rPr>
          <w:rFonts w:eastAsia="方正仿宋简体"/>
          <w:sz w:val="32"/>
          <w:szCs w:val="32"/>
        </w:rPr>
      </w:pPr>
      <w:r>
        <w:rPr>
          <w:rFonts w:hint="eastAsia" w:eastAsia="方正仿宋简体"/>
          <w:sz w:val="32"/>
          <w:szCs w:val="32"/>
        </w:rPr>
        <w:t>项目资金到位及时且足额。因此该项得分计5分。</w:t>
      </w:r>
    </w:p>
    <w:p w14:paraId="5D9873AD">
      <w:pPr>
        <w:snapToGrid w:val="0"/>
        <w:spacing w:line="520" w:lineRule="atLeast"/>
        <w:ind w:firstLine="640" w:firstLineChars="200"/>
        <w:rPr>
          <w:rFonts w:eastAsia="方正仿宋简体"/>
          <w:sz w:val="32"/>
          <w:szCs w:val="32"/>
        </w:rPr>
      </w:pPr>
      <w:r>
        <w:rPr>
          <w:rFonts w:hint="eastAsia" w:eastAsia="方正仿宋简体"/>
          <w:sz w:val="32"/>
          <w:szCs w:val="32"/>
        </w:rPr>
        <w:t>（2）资金分配</w:t>
      </w:r>
    </w:p>
    <w:p w14:paraId="5E7500C9">
      <w:pPr>
        <w:snapToGrid w:val="0"/>
        <w:spacing w:line="520" w:lineRule="atLeast"/>
        <w:ind w:firstLine="640" w:firstLineChars="200"/>
        <w:rPr>
          <w:rFonts w:eastAsia="方正仿宋简体"/>
          <w:sz w:val="32"/>
          <w:szCs w:val="32"/>
        </w:rPr>
      </w:pPr>
      <w:r>
        <w:rPr>
          <w:rFonts w:hint="eastAsia" w:eastAsia="方正仿宋简体"/>
          <w:sz w:val="32"/>
          <w:szCs w:val="32"/>
        </w:rPr>
        <w:t>资金分配合理，有助于实现资金的绩效目标。因此该项得分计3分。</w:t>
      </w:r>
    </w:p>
    <w:p w14:paraId="7415D3E8">
      <w:pPr>
        <w:snapToGrid w:val="0"/>
        <w:spacing w:line="520" w:lineRule="atLeast"/>
        <w:ind w:firstLine="643" w:firstLineChars="200"/>
        <w:rPr>
          <w:rFonts w:eastAsia="方正仿宋简体"/>
          <w:b/>
          <w:bCs/>
          <w:sz w:val="32"/>
          <w:szCs w:val="32"/>
        </w:rPr>
      </w:pPr>
      <w:r>
        <w:rPr>
          <w:rFonts w:hint="eastAsia" w:eastAsia="方正仿宋简体"/>
          <w:b/>
          <w:bCs/>
          <w:sz w:val="32"/>
          <w:szCs w:val="32"/>
        </w:rPr>
        <w:t>（二）管理分析</w:t>
      </w:r>
    </w:p>
    <w:p w14:paraId="4BC135BC">
      <w:pPr>
        <w:snapToGrid w:val="0"/>
        <w:spacing w:line="520" w:lineRule="atLeast"/>
        <w:ind w:firstLine="643" w:firstLineChars="200"/>
        <w:rPr>
          <w:rFonts w:eastAsia="方正仿宋简体"/>
          <w:b/>
          <w:bCs/>
          <w:sz w:val="32"/>
          <w:szCs w:val="32"/>
        </w:rPr>
      </w:pPr>
      <w:r>
        <w:rPr>
          <w:rFonts w:hint="eastAsia" w:eastAsia="方正仿宋简体"/>
          <w:b/>
          <w:bCs/>
          <w:sz w:val="32"/>
          <w:szCs w:val="32"/>
        </w:rPr>
        <w:t>1.资金管理</w:t>
      </w:r>
    </w:p>
    <w:p w14:paraId="23DD7201">
      <w:pPr>
        <w:snapToGrid w:val="0"/>
        <w:spacing w:line="520" w:lineRule="atLeast"/>
        <w:ind w:firstLine="640" w:firstLineChars="200"/>
        <w:rPr>
          <w:rFonts w:eastAsia="方正仿宋简体"/>
          <w:sz w:val="32"/>
          <w:szCs w:val="32"/>
        </w:rPr>
      </w:pPr>
      <w:r>
        <w:rPr>
          <w:rFonts w:hint="eastAsia" w:eastAsia="方正仿宋简体"/>
          <w:sz w:val="32"/>
          <w:szCs w:val="32"/>
        </w:rPr>
        <w:t>（1）资金支付</w:t>
      </w:r>
    </w:p>
    <w:p w14:paraId="045D4AEE">
      <w:pPr>
        <w:snapToGrid w:val="0"/>
        <w:spacing w:line="520" w:lineRule="atLeast"/>
        <w:ind w:firstLine="640" w:firstLineChars="200"/>
        <w:rPr>
          <w:rFonts w:eastAsia="方正仿宋简体"/>
          <w:sz w:val="32"/>
          <w:szCs w:val="32"/>
        </w:rPr>
      </w:pPr>
      <w:r>
        <w:rPr>
          <w:rFonts w:hint="eastAsia" w:eastAsia="方正仿宋简体"/>
          <w:sz w:val="32"/>
          <w:szCs w:val="32"/>
        </w:rPr>
        <w:t>资金支付及时，未出现工作进度迟缓现象，未有垫资或履行支付手续而影响支出率。因此该项得分计6分。</w:t>
      </w:r>
    </w:p>
    <w:p w14:paraId="36A55C25">
      <w:pPr>
        <w:snapToGrid w:val="0"/>
        <w:spacing w:line="520" w:lineRule="atLeast"/>
        <w:ind w:firstLine="640" w:firstLineChars="200"/>
        <w:rPr>
          <w:rFonts w:eastAsia="方正仿宋简体"/>
          <w:sz w:val="32"/>
          <w:szCs w:val="32"/>
        </w:rPr>
      </w:pPr>
      <w:r>
        <w:rPr>
          <w:rFonts w:hint="eastAsia" w:eastAsia="方正仿宋简体"/>
          <w:sz w:val="32"/>
          <w:szCs w:val="32"/>
        </w:rPr>
        <w:t>（2）支出规范性</w:t>
      </w:r>
    </w:p>
    <w:p w14:paraId="0BEDAB80">
      <w:pPr>
        <w:snapToGrid w:val="0"/>
        <w:spacing w:line="520" w:lineRule="atLeast"/>
        <w:ind w:firstLine="640" w:firstLineChars="200"/>
        <w:rPr>
          <w:rFonts w:eastAsia="方正仿宋简体"/>
          <w:sz w:val="32"/>
          <w:szCs w:val="32"/>
        </w:rPr>
      </w:pPr>
      <w:r>
        <w:rPr>
          <w:rFonts w:hint="eastAsia" w:eastAsia="方正仿宋简体"/>
          <w:sz w:val="32"/>
          <w:szCs w:val="32"/>
        </w:rPr>
        <w:t>按规定履行调整报批手续，且按事项完成进度支付资金。资金管理、费用标准、支付符合有关制度规定。规范执行会计核算制度。因此该项得分计6分。</w:t>
      </w:r>
    </w:p>
    <w:p w14:paraId="0ED29BC4">
      <w:pPr>
        <w:snapToGrid w:val="0"/>
        <w:spacing w:line="520" w:lineRule="atLeast"/>
        <w:ind w:firstLine="643" w:firstLineChars="200"/>
        <w:rPr>
          <w:rFonts w:eastAsia="方正仿宋简体"/>
          <w:b/>
          <w:bCs/>
          <w:sz w:val="32"/>
          <w:szCs w:val="32"/>
        </w:rPr>
      </w:pPr>
      <w:r>
        <w:rPr>
          <w:rFonts w:hint="eastAsia" w:eastAsia="方正仿宋简体"/>
          <w:b/>
          <w:bCs/>
          <w:sz w:val="32"/>
          <w:szCs w:val="32"/>
        </w:rPr>
        <w:t>2.事项管理</w:t>
      </w:r>
    </w:p>
    <w:p w14:paraId="60C05A6E">
      <w:pPr>
        <w:snapToGrid w:val="0"/>
        <w:spacing w:line="520" w:lineRule="atLeast"/>
        <w:ind w:firstLine="640" w:firstLineChars="200"/>
        <w:rPr>
          <w:rFonts w:eastAsia="方正仿宋简体"/>
          <w:sz w:val="32"/>
          <w:szCs w:val="32"/>
        </w:rPr>
      </w:pPr>
      <w:r>
        <w:rPr>
          <w:rFonts w:hint="eastAsia" w:eastAsia="方正仿宋简体"/>
          <w:sz w:val="32"/>
          <w:szCs w:val="32"/>
        </w:rPr>
        <w:t>（1）实施程序</w:t>
      </w:r>
    </w:p>
    <w:p w14:paraId="440F8BBA">
      <w:pPr>
        <w:snapToGrid w:val="0"/>
        <w:spacing w:line="520" w:lineRule="atLeast"/>
        <w:ind w:firstLine="640" w:firstLineChars="200"/>
        <w:rPr>
          <w:rFonts w:eastAsia="方正仿宋简体"/>
          <w:sz w:val="32"/>
          <w:szCs w:val="32"/>
        </w:rPr>
      </w:pPr>
      <w:r>
        <w:rPr>
          <w:rFonts w:hint="eastAsia" w:eastAsia="方正仿宋简体"/>
          <w:sz w:val="32"/>
          <w:szCs w:val="32"/>
        </w:rPr>
        <w:t>项目按规定程序实施,按规定履行报批手续，项目招投标、建设、验收等严格执行相关制度规定。因此该项得分计4分。</w:t>
      </w:r>
    </w:p>
    <w:p w14:paraId="488BB124">
      <w:pPr>
        <w:snapToGrid w:val="0"/>
        <w:spacing w:line="520" w:lineRule="atLeast"/>
        <w:ind w:firstLine="640" w:firstLineChars="200"/>
        <w:rPr>
          <w:rFonts w:eastAsia="方正仿宋简体"/>
          <w:sz w:val="32"/>
          <w:szCs w:val="32"/>
        </w:rPr>
      </w:pPr>
      <w:r>
        <w:rPr>
          <w:rFonts w:hint="eastAsia" w:eastAsia="方正仿宋简体"/>
          <w:sz w:val="32"/>
          <w:szCs w:val="32"/>
        </w:rPr>
        <w:t>（2）管理情况</w:t>
      </w:r>
    </w:p>
    <w:p w14:paraId="09FB1D6D">
      <w:pPr>
        <w:snapToGrid w:val="0"/>
        <w:spacing w:line="520" w:lineRule="atLeast"/>
        <w:ind w:firstLine="640" w:firstLineChars="200"/>
        <w:rPr>
          <w:rFonts w:eastAsia="方正仿宋简体"/>
          <w:sz w:val="32"/>
          <w:szCs w:val="32"/>
        </w:rPr>
      </w:pPr>
      <w:r>
        <w:rPr>
          <w:rFonts w:hint="eastAsia" w:eastAsia="方正仿宋简体"/>
          <w:sz w:val="32"/>
          <w:szCs w:val="32"/>
        </w:rPr>
        <w:t>建立了有效管理机制，且执行情况良好，主管部门按规定对项目建设开展了有效的检查、监控。因此该项得分计4分。</w:t>
      </w:r>
    </w:p>
    <w:p w14:paraId="59DB4FCE">
      <w:pPr>
        <w:snapToGrid w:val="0"/>
        <w:spacing w:line="520" w:lineRule="atLeast"/>
        <w:ind w:firstLine="643" w:firstLineChars="200"/>
        <w:rPr>
          <w:rFonts w:eastAsia="方正仿宋简体"/>
          <w:b/>
          <w:bCs/>
          <w:sz w:val="32"/>
          <w:szCs w:val="32"/>
        </w:rPr>
      </w:pPr>
      <w:r>
        <w:rPr>
          <w:rFonts w:hint="eastAsia" w:eastAsia="方正仿宋简体"/>
          <w:b/>
          <w:bCs/>
          <w:sz w:val="32"/>
          <w:szCs w:val="32"/>
        </w:rPr>
        <w:t>（三）产出分析</w:t>
      </w:r>
    </w:p>
    <w:p w14:paraId="4FFBD51F">
      <w:pPr>
        <w:snapToGrid w:val="0"/>
        <w:spacing w:line="520" w:lineRule="atLeast"/>
        <w:ind w:firstLine="643" w:firstLineChars="200"/>
        <w:rPr>
          <w:rFonts w:eastAsia="方正仿宋简体"/>
          <w:b/>
          <w:bCs/>
          <w:sz w:val="32"/>
          <w:szCs w:val="32"/>
        </w:rPr>
      </w:pPr>
      <w:r>
        <w:rPr>
          <w:rFonts w:hint="eastAsia" w:eastAsia="方正仿宋简体"/>
          <w:b/>
          <w:bCs/>
          <w:sz w:val="32"/>
          <w:szCs w:val="32"/>
        </w:rPr>
        <w:t>1.经济性</w:t>
      </w:r>
    </w:p>
    <w:p w14:paraId="1FD767AB">
      <w:pPr>
        <w:snapToGrid w:val="0"/>
        <w:spacing w:line="520" w:lineRule="atLeast"/>
        <w:ind w:firstLine="640" w:firstLineChars="200"/>
        <w:rPr>
          <w:rFonts w:eastAsia="方正仿宋简体"/>
          <w:sz w:val="32"/>
          <w:szCs w:val="32"/>
        </w:rPr>
      </w:pPr>
      <w:r>
        <w:rPr>
          <w:rFonts w:hint="eastAsia" w:eastAsia="方正仿宋简体"/>
          <w:sz w:val="32"/>
          <w:szCs w:val="32"/>
        </w:rPr>
        <w:t>在预算执行进度与事项完成进度基本匹配的前提下，实际支出未超过预算计划；项目按照预算完成，与同类市场价格比较，项目实施的成本属于合理范围。因此该项得分计5分。</w:t>
      </w:r>
    </w:p>
    <w:p w14:paraId="21A11479">
      <w:pPr>
        <w:snapToGrid w:val="0"/>
        <w:spacing w:line="520" w:lineRule="atLeast"/>
        <w:ind w:firstLine="643" w:firstLineChars="200"/>
        <w:rPr>
          <w:rFonts w:eastAsia="方正仿宋简体"/>
          <w:b/>
          <w:bCs/>
          <w:sz w:val="32"/>
          <w:szCs w:val="32"/>
        </w:rPr>
      </w:pPr>
      <w:r>
        <w:rPr>
          <w:rFonts w:hint="eastAsia" w:eastAsia="方正仿宋简体"/>
          <w:b/>
          <w:bCs/>
          <w:sz w:val="32"/>
          <w:szCs w:val="32"/>
        </w:rPr>
        <w:t>2.效率性</w:t>
      </w:r>
    </w:p>
    <w:p w14:paraId="1565137A">
      <w:pPr>
        <w:snapToGrid w:val="0"/>
        <w:spacing w:line="520" w:lineRule="atLeast"/>
        <w:ind w:firstLine="640" w:firstLineChars="200"/>
        <w:rPr>
          <w:rFonts w:ascii="仿宋_GB2312" w:eastAsia="仿宋_GB2312"/>
          <w:b/>
          <w:bCs/>
          <w:color w:val="000000"/>
          <w:sz w:val="32"/>
          <w:szCs w:val="32"/>
        </w:rPr>
      </w:pPr>
      <w:r>
        <w:rPr>
          <w:rFonts w:hint="eastAsia" w:eastAsia="方正仿宋简体"/>
          <w:sz w:val="32"/>
          <w:szCs w:val="32"/>
        </w:rPr>
        <w:t>202</w:t>
      </w:r>
      <w:r>
        <w:rPr>
          <w:rFonts w:hint="eastAsia" w:eastAsia="方正仿宋简体"/>
          <w:sz w:val="32"/>
          <w:szCs w:val="32"/>
          <w:lang w:val="en-US" w:eastAsia="zh-CN"/>
        </w:rPr>
        <w:t>4</w:t>
      </w:r>
      <w:bookmarkStart w:id="20" w:name="_GoBack"/>
      <w:bookmarkEnd w:id="20"/>
      <w:r>
        <w:rPr>
          <w:rFonts w:hint="eastAsia" w:eastAsia="方正仿宋简体"/>
          <w:sz w:val="32"/>
          <w:szCs w:val="32"/>
        </w:rPr>
        <w:t>年度100%完成了梅州至龙川铁路五华站站房及相关配套工程。因此该项得分计25分。</w:t>
      </w:r>
    </w:p>
    <w:p w14:paraId="71F71E11">
      <w:pPr>
        <w:pStyle w:val="10"/>
        <w:tabs>
          <w:tab w:val="left" w:pos="1612"/>
        </w:tabs>
        <w:spacing w:after="120" w:line="520" w:lineRule="atLeast"/>
        <w:ind w:firstLine="643" w:firstLineChars="200"/>
        <w:rPr>
          <w:rFonts w:ascii="Times New Roman" w:hAnsi="Times New Roman" w:eastAsia="方正仿宋简体" w:cs="Times New Roman"/>
          <w:b/>
          <w:bCs/>
          <w:sz w:val="32"/>
          <w:szCs w:val="32"/>
          <w:lang w:val="en-US" w:eastAsia="zh-CN" w:bidi="ar-SA"/>
        </w:rPr>
      </w:pPr>
      <w:r>
        <w:rPr>
          <w:rFonts w:hint="eastAsia" w:ascii="Times New Roman" w:hAnsi="Times New Roman" w:eastAsia="方正仿宋简体" w:cs="Times New Roman"/>
          <w:b/>
          <w:bCs/>
          <w:sz w:val="32"/>
          <w:szCs w:val="32"/>
          <w:lang w:val="en-US" w:eastAsia="zh-CN" w:bidi="ar-SA"/>
        </w:rPr>
        <w:t>（四）效益实现度分析</w:t>
      </w:r>
    </w:p>
    <w:p w14:paraId="425D844B">
      <w:pPr>
        <w:snapToGrid w:val="0"/>
        <w:spacing w:line="520" w:lineRule="atLeast"/>
        <w:ind w:firstLine="643" w:firstLineChars="200"/>
        <w:rPr>
          <w:rFonts w:eastAsia="方正仿宋简体"/>
          <w:b/>
          <w:bCs/>
          <w:sz w:val="32"/>
          <w:szCs w:val="32"/>
        </w:rPr>
      </w:pPr>
      <w:r>
        <w:rPr>
          <w:rFonts w:hint="eastAsia" w:eastAsia="方正仿宋简体"/>
          <w:b/>
          <w:bCs/>
          <w:sz w:val="32"/>
          <w:szCs w:val="32"/>
        </w:rPr>
        <w:t>1.效果性</w:t>
      </w:r>
    </w:p>
    <w:p w14:paraId="78AD56B1">
      <w:pPr>
        <w:snapToGrid w:val="0"/>
        <w:spacing w:line="520" w:lineRule="atLeast"/>
        <w:ind w:firstLine="640" w:firstLineChars="200"/>
        <w:rPr>
          <w:rFonts w:eastAsia="方正仿宋简体"/>
          <w:sz w:val="32"/>
          <w:szCs w:val="32"/>
        </w:rPr>
      </w:pPr>
      <w:r>
        <w:rPr>
          <w:rFonts w:hint="eastAsia" w:eastAsia="方正仿宋简体"/>
          <w:sz w:val="32"/>
          <w:szCs w:val="32"/>
        </w:rPr>
        <w:t>确保梅龙高铁五华站站房无障碍建设，按时拨付相关县级资金。因此该项得分计25分。</w:t>
      </w:r>
    </w:p>
    <w:p w14:paraId="0FAEE4E1">
      <w:pPr>
        <w:snapToGrid w:val="0"/>
        <w:spacing w:line="520" w:lineRule="atLeast"/>
        <w:ind w:firstLine="643" w:firstLineChars="200"/>
        <w:rPr>
          <w:rFonts w:eastAsia="方正仿宋简体"/>
          <w:b/>
          <w:bCs/>
          <w:sz w:val="32"/>
          <w:szCs w:val="32"/>
        </w:rPr>
      </w:pPr>
      <w:r>
        <w:rPr>
          <w:rFonts w:hint="eastAsia" w:eastAsia="方正仿宋简体"/>
          <w:b/>
          <w:bCs/>
          <w:sz w:val="32"/>
          <w:szCs w:val="32"/>
        </w:rPr>
        <w:t>2.公平性</w:t>
      </w:r>
    </w:p>
    <w:p w14:paraId="14D7815B">
      <w:pPr>
        <w:snapToGrid w:val="0"/>
        <w:spacing w:line="520" w:lineRule="atLeast"/>
        <w:ind w:firstLine="640" w:firstLineChars="200"/>
        <w:rPr>
          <w:rFonts w:eastAsia="方正仿宋简体"/>
          <w:sz w:val="32"/>
          <w:szCs w:val="32"/>
        </w:rPr>
      </w:pPr>
      <w:r>
        <w:rPr>
          <w:rFonts w:hint="eastAsia" w:eastAsia="方正仿宋简体"/>
          <w:sz w:val="32"/>
          <w:szCs w:val="32"/>
        </w:rPr>
        <w:t>服务对象满意。因此该项得分计5分。</w:t>
      </w:r>
    </w:p>
    <w:p w14:paraId="2D37D449">
      <w:pPr>
        <w:snapToGrid w:val="0"/>
        <w:spacing w:line="520" w:lineRule="atLeast"/>
        <w:ind w:firstLine="640" w:firstLineChars="200"/>
        <w:rPr>
          <w:rFonts w:ascii="黑体" w:eastAsia="黑体"/>
          <w:sz w:val="32"/>
          <w:szCs w:val="32"/>
        </w:rPr>
      </w:pPr>
      <w:r>
        <w:rPr>
          <w:rFonts w:hint="eastAsia" w:ascii="黑体" w:eastAsia="黑体"/>
          <w:sz w:val="32"/>
          <w:szCs w:val="32"/>
        </w:rPr>
        <w:t>五、主要绩效</w:t>
      </w:r>
    </w:p>
    <w:p w14:paraId="7C258454">
      <w:pPr>
        <w:snapToGrid w:val="0"/>
        <w:spacing w:line="520" w:lineRule="atLeast"/>
        <w:ind w:firstLine="640" w:firstLineChars="200"/>
        <w:rPr>
          <w:rFonts w:eastAsia="方正仿宋简体"/>
          <w:sz w:val="32"/>
          <w:szCs w:val="32"/>
        </w:rPr>
      </w:pPr>
      <w:r>
        <w:rPr>
          <w:rFonts w:hint="eastAsia" w:eastAsia="方正仿宋简体"/>
          <w:sz w:val="32"/>
          <w:szCs w:val="32"/>
        </w:rPr>
        <w:t>确保梅龙高铁五华站站房无障碍建设，按时拨付了相关县级资金。</w:t>
      </w:r>
    </w:p>
    <w:p w14:paraId="5692DE8E">
      <w:pPr>
        <w:snapToGrid w:val="0"/>
        <w:spacing w:line="520" w:lineRule="atLeast"/>
        <w:ind w:firstLine="640" w:firstLineChars="200"/>
        <w:rPr>
          <w:rFonts w:ascii="黑体" w:eastAsia="黑体"/>
          <w:sz w:val="32"/>
          <w:szCs w:val="32"/>
        </w:rPr>
      </w:pPr>
      <w:r>
        <w:rPr>
          <w:rFonts w:hint="eastAsia" w:ascii="黑体" w:eastAsia="黑体"/>
          <w:sz w:val="32"/>
          <w:szCs w:val="32"/>
        </w:rPr>
        <w:t>六、存在问题</w:t>
      </w:r>
    </w:p>
    <w:p w14:paraId="41887024">
      <w:pPr>
        <w:snapToGrid w:val="0"/>
        <w:spacing w:line="520" w:lineRule="atLeast"/>
        <w:ind w:firstLine="640" w:firstLineChars="200"/>
        <w:rPr>
          <w:rFonts w:eastAsia="方正仿宋简体"/>
          <w:sz w:val="32"/>
          <w:szCs w:val="32"/>
        </w:rPr>
      </w:pPr>
      <w:r>
        <w:rPr>
          <w:rFonts w:hint="eastAsia" w:eastAsia="方正仿宋简体"/>
          <w:sz w:val="32"/>
          <w:szCs w:val="32"/>
        </w:rPr>
        <w:t>1.项目提早谋划，制定切实可行的方案，对方案及活动细节进行认真分析，研判可能出现的问题，及时调整。</w:t>
      </w:r>
    </w:p>
    <w:p w14:paraId="3BC44EBB">
      <w:pPr>
        <w:snapToGrid w:val="0"/>
        <w:spacing w:line="520" w:lineRule="atLeast"/>
        <w:ind w:firstLine="640" w:firstLineChars="200"/>
        <w:rPr>
          <w:rFonts w:eastAsia="方正仿宋简体"/>
          <w:sz w:val="32"/>
          <w:szCs w:val="32"/>
        </w:rPr>
      </w:pPr>
      <w:r>
        <w:rPr>
          <w:rFonts w:hint="eastAsia" w:eastAsia="方正仿宋简体"/>
          <w:sz w:val="32"/>
          <w:szCs w:val="32"/>
        </w:rPr>
        <w:t>2.内控管理制度不够完善，不够系统，需进一步完善和加强。</w:t>
      </w:r>
    </w:p>
    <w:p w14:paraId="44331340">
      <w:pPr>
        <w:snapToGrid w:val="0"/>
        <w:spacing w:line="520" w:lineRule="atLeast"/>
        <w:ind w:firstLine="640" w:firstLineChars="200"/>
        <w:rPr>
          <w:rFonts w:ascii="黑体" w:eastAsia="黑体"/>
          <w:sz w:val="32"/>
          <w:szCs w:val="32"/>
        </w:rPr>
      </w:pPr>
      <w:r>
        <w:rPr>
          <w:rFonts w:hint="eastAsia" w:ascii="黑体" w:eastAsia="黑体"/>
          <w:sz w:val="32"/>
          <w:szCs w:val="32"/>
        </w:rPr>
        <w:t>七、下一步工作计划</w:t>
      </w:r>
      <w:bookmarkStart w:id="0" w:name="bookmark106"/>
      <w:bookmarkEnd w:id="0"/>
      <w:bookmarkStart w:id="1" w:name="bookmark118"/>
      <w:bookmarkEnd w:id="1"/>
      <w:bookmarkStart w:id="2" w:name="bookmark107"/>
      <w:bookmarkEnd w:id="2"/>
      <w:bookmarkStart w:id="3" w:name="bookmark116"/>
      <w:bookmarkEnd w:id="3"/>
      <w:bookmarkStart w:id="4" w:name="bookmark127"/>
      <w:bookmarkEnd w:id="4"/>
      <w:bookmarkStart w:id="5" w:name="bookmark115"/>
      <w:bookmarkEnd w:id="5"/>
      <w:bookmarkStart w:id="6" w:name="bookmark122"/>
      <w:bookmarkEnd w:id="6"/>
      <w:bookmarkStart w:id="7" w:name="bookmark120"/>
      <w:bookmarkEnd w:id="7"/>
      <w:bookmarkStart w:id="8" w:name="bookmark117"/>
      <w:bookmarkEnd w:id="8"/>
      <w:bookmarkStart w:id="9" w:name="bookmark112"/>
      <w:bookmarkEnd w:id="9"/>
      <w:bookmarkStart w:id="10" w:name="bookmark128"/>
      <w:bookmarkEnd w:id="10"/>
      <w:bookmarkStart w:id="11" w:name="bookmark123"/>
      <w:bookmarkEnd w:id="11"/>
      <w:bookmarkStart w:id="12" w:name="bookmark119"/>
      <w:bookmarkEnd w:id="12"/>
      <w:bookmarkStart w:id="13" w:name="bookmark125"/>
      <w:bookmarkEnd w:id="13"/>
      <w:bookmarkStart w:id="14" w:name="bookmark113"/>
      <w:bookmarkEnd w:id="14"/>
      <w:bookmarkStart w:id="15" w:name="bookmark121"/>
      <w:bookmarkEnd w:id="15"/>
      <w:bookmarkStart w:id="16" w:name="bookmark126"/>
      <w:bookmarkEnd w:id="16"/>
      <w:bookmarkStart w:id="17" w:name="bookmark114"/>
      <w:bookmarkEnd w:id="17"/>
      <w:bookmarkStart w:id="18" w:name="bookmark108"/>
      <w:bookmarkEnd w:id="18"/>
      <w:bookmarkStart w:id="19" w:name="bookmark124"/>
      <w:bookmarkEnd w:id="19"/>
    </w:p>
    <w:p w14:paraId="174D65D3">
      <w:pPr>
        <w:snapToGrid w:val="0"/>
        <w:spacing w:line="520" w:lineRule="atLeast"/>
        <w:ind w:firstLine="640" w:firstLineChars="200"/>
        <w:rPr>
          <w:rFonts w:eastAsia="方正仿宋简体"/>
          <w:sz w:val="32"/>
          <w:szCs w:val="32"/>
          <w:lang w:val="zh-CN"/>
        </w:rPr>
      </w:pPr>
      <w:r>
        <w:rPr>
          <w:rFonts w:hint="eastAsia" w:eastAsia="方正仿宋简体"/>
          <w:sz w:val="32"/>
          <w:szCs w:val="32"/>
          <w:lang w:val="zh-CN"/>
        </w:rPr>
        <w:t>（一）完善绩效评价体系，加强对绩效管理工作的跟踪督查，做到绩效管理有依据、按程序，实现绩效管理的规范化、常态化。</w:t>
      </w:r>
    </w:p>
    <w:p w14:paraId="642E1EBA">
      <w:pPr>
        <w:snapToGrid w:val="0"/>
        <w:spacing w:line="520" w:lineRule="atLeast"/>
        <w:ind w:firstLine="640" w:firstLineChars="200"/>
        <w:rPr>
          <w:rFonts w:eastAsia="方正仿宋简体"/>
          <w:sz w:val="32"/>
          <w:szCs w:val="32"/>
          <w:lang w:val="zh-CN"/>
        </w:rPr>
      </w:pPr>
      <w:r>
        <w:rPr>
          <w:rFonts w:hint="eastAsia" w:eastAsia="方正仿宋简体"/>
          <w:sz w:val="32"/>
          <w:szCs w:val="32"/>
          <w:lang w:val="zh-CN"/>
        </w:rPr>
        <w:t>（二）推动相关制度建设，逐步建立以绩效为导向的预算编制模式。</w:t>
      </w:r>
    </w:p>
    <w:p w14:paraId="1BA39A3B">
      <w:pPr>
        <w:snapToGrid w:val="0"/>
        <w:spacing w:line="520" w:lineRule="atLeast"/>
        <w:ind w:firstLine="640" w:firstLineChars="200"/>
        <w:rPr>
          <w:rFonts w:eastAsia="方正仿宋简体"/>
          <w:sz w:val="32"/>
          <w:szCs w:val="32"/>
        </w:rPr>
      </w:pPr>
      <w:r>
        <w:rPr>
          <w:rFonts w:hint="eastAsia" w:eastAsia="方正仿宋简体"/>
          <w:sz w:val="32"/>
          <w:szCs w:val="32"/>
          <w:lang w:val="zh-CN"/>
        </w:rPr>
        <w:t>（三）统筹协调，提高资金使用绩效的关节点，切实提高资金使用效率。采取得力措施，科学编制和细化预算，做到预算有目标，执行有细则，控制专项支出，降低行政运行成本，提高资金使用效率和效益。</w:t>
      </w:r>
    </w:p>
    <w:p w14:paraId="13F722AA"/>
    <w:sectPr>
      <w:footerReference r:id="rId3" w:type="default"/>
      <w:footerReference r:id="rId4" w:type="even"/>
      <w:pgSz w:w="11900" w:h="16840"/>
      <w:pgMar w:top="2041" w:right="1587" w:bottom="1701" w:left="1587"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64D1">
    <w:pPr>
      <w:spacing w:line="1" w:lineRule="exact"/>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ge">
                <wp:posOffset>10154285</wp:posOffset>
              </wp:positionV>
              <wp:extent cx="382270" cy="2476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82270" cy="247650"/>
                      </a:xfrm>
                      <a:prstGeom prst="rect">
                        <a:avLst/>
                      </a:prstGeom>
                      <a:noFill/>
                      <a:ln>
                        <a:noFill/>
                      </a:ln>
                      <a:effectLst/>
                    </wps:spPr>
                    <wps:txbx>
                      <w:txbxContent>
                        <w:p w14:paraId="02975EBD">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2</w:t>
                          </w:r>
                          <w:r>
                            <w:fldChar w:fldCharType="end"/>
                          </w:r>
                          <w:r>
                            <w:rPr>
                              <w:color w:val="000000"/>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799.55pt;height:19.5pt;width:30.1pt;mso-position-horizontal:center;mso-position-horizontal-relative:margin;mso-position-vertical-relative:page;mso-wrap-style:none;z-index:251660288;mso-width-relative:page;mso-height-relative:page;" filled="f" stroked="f" coordsize="21600,21600" o:gfxdata="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bEebVAAAACQEAAA8AAAAAAAAAAQAgAAAA&#10;IgAAAGRycy9kb3ducmV2LnhtbFBLAQIUABQAAAAIAIdO4kARl7y1DgIAABAEAAAOAAAAAAAAAAEA&#10;IAAAACQBAABkcnMvZTJvRG9jLnhtbFBLBQYAAAAABgAGAFkBAACkBQAAAAA=&#10;">
              <v:fill on="f" focussize="0,0"/>
              <v:stroke on="f"/>
              <v:imagedata o:title=""/>
              <o:lock v:ext="edit" aspectratio="f"/>
              <v:textbox inset="0mm,0mm,0mm,0mm" style="mso-fit-shape-to-text:t;">
                <w:txbxContent>
                  <w:p w14:paraId="02975EBD">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2</w:t>
                    </w:r>
                    <w:r>
                      <w:fldChar w:fldCharType="end"/>
                    </w:r>
                    <w:r>
                      <w:rPr>
                        <w:color w:val="00000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3E0D">
    <w:pPr>
      <w:spacing w:line="1" w:lineRule="exact"/>
    </w:pPr>
    <w:r>
      <mc:AlternateContent>
        <mc:Choice Requires="wps">
          <w:drawing>
            <wp:anchor distT="0" distB="0" distL="0" distR="0" simplePos="0" relativeHeight="251659264" behindDoc="1" locked="0" layoutInCell="1" allowOverlap="1">
              <wp:simplePos x="0" y="0"/>
              <wp:positionH relativeFrom="page">
                <wp:posOffset>694690</wp:posOffset>
              </wp:positionH>
              <wp:positionV relativeFrom="page">
                <wp:posOffset>10151745</wp:posOffset>
              </wp:positionV>
              <wp:extent cx="589915" cy="134620"/>
              <wp:effectExtent l="0" t="0" r="1270" b="6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9915" cy="134620"/>
                      </a:xfrm>
                      <a:prstGeom prst="rect">
                        <a:avLst/>
                      </a:prstGeom>
                      <a:noFill/>
                      <a:ln>
                        <a:noFill/>
                      </a:ln>
                    </wps:spPr>
                    <wps:txbx>
                      <w:txbxContent>
                        <w:p w14:paraId="4222DDEF">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22</w:t>
                          </w:r>
                          <w:r>
                            <w:fldChar w:fldCharType="end"/>
                          </w:r>
                          <w:r>
                            <w:rPr>
                              <w:color w:val="000000"/>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54.7pt;margin-top:799.35pt;height:10.6pt;width:46.45pt;mso-position-horizontal-relative:page;mso-position-vertical-relative:page;mso-wrap-style:none;z-index:-251657216;mso-width-relative:page;mso-height-relative:page;" filled="f" stroked="f" coordsize="21600,21600" o:gfxdata="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2STp2QAAAA0BAAAPAAAAAAAAAAEAIAAA&#10;ACIAAABkcnMvZG93bnJldi54bWxQSwECFAAUAAAACACHTuJASbWZ2gsCAAACBAAADgAAAAAAAAAB&#10;ACAAAAAoAQAAZHJzL2Uyb0RvYy54bWxQSwUGAAAAAAYABgBZAQAApQUAAAAA&#10;">
              <v:fill on="f" focussize="0,0"/>
              <v:stroke on="f"/>
              <v:imagedata o:title=""/>
              <o:lock v:ext="edit" aspectratio="f"/>
              <v:textbox inset="0mm,0mm,0mm,0mm" style="mso-fit-shape-to-text:t;">
                <w:txbxContent>
                  <w:p w14:paraId="4222DDEF">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22</w:t>
                    </w:r>
                    <w:r>
                      <w:fldChar w:fldCharType="end"/>
                    </w:r>
                    <w:r>
                      <w:rPr>
                        <w:color w:val="00000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WNjYzllNjQzYjQ3YWJmMDZlZDNlMjJjZWExY2MifQ=="/>
  </w:docVars>
  <w:rsids>
    <w:rsidRoot w:val="00223CA7"/>
    <w:rsid w:val="0002101C"/>
    <w:rsid w:val="000B60BA"/>
    <w:rsid w:val="001422B9"/>
    <w:rsid w:val="00190FDC"/>
    <w:rsid w:val="001F579F"/>
    <w:rsid w:val="00223CA7"/>
    <w:rsid w:val="002B7D67"/>
    <w:rsid w:val="003176DD"/>
    <w:rsid w:val="00363CD8"/>
    <w:rsid w:val="00695879"/>
    <w:rsid w:val="00852570"/>
    <w:rsid w:val="008B45D2"/>
    <w:rsid w:val="008E5B1C"/>
    <w:rsid w:val="00B86128"/>
    <w:rsid w:val="00C212CA"/>
    <w:rsid w:val="00C70596"/>
    <w:rsid w:val="00C91598"/>
    <w:rsid w:val="00D36463"/>
    <w:rsid w:val="00D758CD"/>
    <w:rsid w:val="00D9593C"/>
    <w:rsid w:val="00E62D31"/>
    <w:rsid w:val="0817127E"/>
    <w:rsid w:val="0C7A6C03"/>
    <w:rsid w:val="114B56AF"/>
    <w:rsid w:val="137073A1"/>
    <w:rsid w:val="237F0D75"/>
    <w:rsid w:val="2B5A0337"/>
    <w:rsid w:val="2D3C7E6D"/>
    <w:rsid w:val="320D446F"/>
    <w:rsid w:val="36CE34E6"/>
    <w:rsid w:val="3A184B1B"/>
    <w:rsid w:val="3B385F43"/>
    <w:rsid w:val="3C7A386B"/>
    <w:rsid w:val="4D6F3A90"/>
    <w:rsid w:val="50821C16"/>
    <w:rsid w:val="5B680F04"/>
    <w:rsid w:val="5E897E98"/>
    <w:rsid w:val="5E8E1597"/>
    <w:rsid w:val="65C644C0"/>
    <w:rsid w:val="67966FF7"/>
    <w:rsid w:val="77BD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Body text|1_"/>
    <w:basedOn w:val="6"/>
    <w:link w:val="10"/>
    <w:qFormat/>
    <w:uiPriority w:val="0"/>
    <w:rPr>
      <w:rFonts w:ascii="宋体" w:hAnsi="宋体" w:eastAsia="宋体" w:cs="宋体"/>
      <w:sz w:val="30"/>
      <w:szCs w:val="30"/>
      <w:lang w:val="zh-TW" w:eastAsia="zh-TW" w:bidi="zh-TW"/>
    </w:rPr>
  </w:style>
  <w:style w:type="paragraph" w:customStyle="1" w:styleId="10">
    <w:name w:val="Body text|1"/>
    <w:basedOn w:val="1"/>
    <w:link w:val="9"/>
    <w:qFormat/>
    <w:uiPriority w:val="0"/>
    <w:pPr>
      <w:spacing w:line="439" w:lineRule="auto"/>
      <w:ind w:firstLine="400"/>
      <w:jc w:val="left"/>
    </w:pPr>
    <w:rPr>
      <w:rFonts w:ascii="宋体" w:hAnsi="宋体" w:cs="宋体"/>
      <w:sz w:val="30"/>
      <w:szCs w:val="30"/>
      <w:lang w:val="zh-TW" w:eastAsia="zh-TW" w:bidi="zh-TW"/>
    </w:rPr>
  </w:style>
  <w:style w:type="character" w:customStyle="1" w:styleId="11">
    <w:name w:val="Header or footer|1_"/>
    <w:basedOn w:val="6"/>
    <w:link w:val="12"/>
    <w:qFormat/>
    <w:uiPriority w:val="0"/>
    <w:rPr>
      <w:rFonts w:ascii="宋体" w:hAnsi="宋体" w:eastAsia="宋体" w:cs="宋体"/>
      <w:b/>
      <w:bCs/>
      <w:sz w:val="30"/>
      <w:szCs w:val="30"/>
      <w:lang w:val="zh-TW" w:eastAsia="zh-TW" w:bidi="zh-TW"/>
    </w:rPr>
  </w:style>
  <w:style w:type="paragraph" w:customStyle="1" w:styleId="12">
    <w:name w:val="Header or footer|1"/>
    <w:basedOn w:val="1"/>
    <w:link w:val="11"/>
    <w:qFormat/>
    <w:uiPriority w:val="0"/>
    <w:pPr>
      <w:jc w:val="left"/>
    </w:pPr>
    <w:rPr>
      <w:rFonts w:ascii="宋体" w:hAnsi="宋体" w:cs="宋体"/>
      <w:b/>
      <w:bCs/>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1555</Words>
  <Characters>1608</Characters>
  <Lines>11</Lines>
  <Paragraphs>3</Paragraphs>
  <TotalTime>19</TotalTime>
  <ScaleCrop>false</ScaleCrop>
  <LinksUpToDate>false</LinksUpToDate>
  <CharactersWithSpaces>1609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2023-04-27T02:44:00Z</dcterms:created>
  <dc:creator>Lenovo</dc:creator>
  <cp:lastModifiedBy>安秦天</cp:lastModifiedBy>
  <dcterms:modified xsi:type="dcterms:W3CDTF">2025-09-25T08:28:06Z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EAE37722A6234B91A67CE1B3962F625E_12</vt:lpwstr>
  </property>
  <property fmtid="{D5CDD505-2E9C-101B-9397-08002B2CF9AE}" pid="4" name="KSOTemplateDocerSaveRecord">
    <vt:lpwstr>eyJoZGlkIjoiNGQyMWNjYzllNjQzYjQ3YWJmMDZlZDNlMjJjZWExY2MiLCJ1c2VySWQiOiI0MzE0NDY5MDkifQ==</vt:lpwstr>
  </property>
</Properties>
</file>