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B879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Cs/>
          <w:sz w:val="44"/>
          <w:szCs w:val="36"/>
        </w:rPr>
      </w:pPr>
      <w:r>
        <w:rPr>
          <w:rFonts w:hint="default" w:ascii="Times New Roman" w:hAnsi="Times New Roman" w:eastAsia="方正小标宋简体" w:cs="Times New Roman"/>
          <w:bCs/>
          <w:sz w:val="44"/>
          <w:szCs w:val="36"/>
          <w:lang w:val="en-US" w:eastAsia="zh-CN"/>
        </w:rPr>
        <w:t>五华县应急管理局</w:t>
      </w:r>
      <w:r>
        <w:rPr>
          <w:rFonts w:hint="default" w:ascii="Times New Roman" w:hAnsi="Times New Roman" w:eastAsia="方正小标宋简体" w:cs="Times New Roman"/>
          <w:bCs/>
          <w:sz w:val="44"/>
          <w:szCs w:val="36"/>
        </w:rPr>
        <w:t>202</w:t>
      </w:r>
      <w:r>
        <w:rPr>
          <w:rFonts w:hint="eastAsia" w:ascii="Times New Roman" w:hAnsi="Times New Roman" w:eastAsia="方正小标宋简体" w:cs="Times New Roman"/>
          <w:bCs/>
          <w:sz w:val="44"/>
          <w:szCs w:val="36"/>
          <w:lang w:val="en-US" w:eastAsia="zh-CN"/>
        </w:rPr>
        <w:t>5</w:t>
      </w:r>
      <w:r>
        <w:rPr>
          <w:rFonts w:hint="default" w:ascii="Times New Roman" w:hAnsi="Times New Roman" w:eastAsia="方正小标宋简体" w:cs="Times New Roman"/>
          <w:bCs/>
          <w:sz w:val="44"/>
          <w:szCs w:val="36"/>
        </w:rPr>
        <w:t>年政府信息公开</w:t>
      </w:r>
    </w:p>
    <w:p w14:paraId="1C15202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Cs/>
          <w:sz w:val="44"/>
          <w:szCs w:val="36"/>
        </w:rPr>
      </w:pPr>
      <w:r>
        <w:rPr>
          <w:rFonts w:hint="default" w:ascii="Times New Roman" w:hAnsi="Times New Roman" w:eastAsia="方正小标宋简体" w:cs="Times New Roman"/>
          <w:bCs/>
          <w:sz w:val="44"/>
          <w:szCs w:val="36"/>
        </w:rPr>
        <w:t>工作年度报告</w:t>
      </w:r>
    </w:p>
    <w:p w14:paraId="7D648500">
      <w:pPr>
        <w:spacing w:line="400" w:lineRule="exact"/>
        <w:jc w:val="left"/>
        <w:rPr>
          <w:rFonts w:hint="default" w:ascii="Times New Roman" w:hAnsi="Times New Roman" w:cs="Times New Roman"/>
          <w:sz w:val="28"/>
          <w:szCs w:val="28"/>
        </w:rPr>
      </w:pPr>
    </w:p>
    <w:p w14:paraId="670DB5A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atLeast"/>
        <w:ind w:firstLine="640" w:firstLineChars="200"/>
        <w:jc w:val="both"/>
        <w:textAlignment w:val="auto"/>
        <w:rPr>
          <w:rFonts w:hint="default" w:ascii="Times New Roman" w:hAnsi="Times New Roman" w:eastAsia="黑体" w:cs="Times New Roman"/>
          <w:bCs/>
          <w:sz w:val="32"/>
          <w:szCs w:val="28"/>
        </w:rPr>
      </w:pPr>
      <w:r>
        <w:rPr>
          <w:rFonts w:hint="default" w:ascii="Times New Roman" w:hAnsi="Times New Roman" w:eastAsia="黑体" w:cs="Times New Roman"/>
          <w:bCs/>
          <w:sz w:val="32"/>
          <w:szCs w:val="28"/>
        </w:rPr>
        <w:t>一、总体情况</w:t>
      </w:r>
    </w:p>
    <w:p w14:paraId="5CD492F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atLeast"/>
        <w:ind w:firstLine="640" w:firstLineChars="200"/>
        <w:jc w:val="both"/>
        <w:textAlignment w:val="auto"/>
        <w:rPr>
          <w:rFonts w:hint="default" w:ascii="Times New Roman" w:hAnsi="Times New Roman" w:eastAsia="方正仿宋简体" w:cs="Times New Roman"/>
          <w:bCs/>
          <w:sz w:val="32"/>
          <w:szCs w:val="28"/>
        </w:rPr>
      </w:pPr>
      <w:r>
        <w:rPr>
          <w:rFonts w:hint="default" w:ascii="Times New Roman" w:hAnsi="Times New Roman" w:eastAsia="方正仿宋简体" w:cs="Times New Roman"/>
          <w:bCs/>
          <w:sz w:val="32"/>
          <w:szCs w:val="28"/>
        </w:rPr>
        <w:t>202</w:t>
      </w:r>
      <w:r>
        <w:rPr>
          <w:rFonts w:hint="eastAsia" w:ascii="Times New Roman" w:hAnsi="Times New Roman" w:eastAsia="方正仿宋简体" w:cs="Times New Roman"/>
          <w:bCs/>
          <w:sz w:val="32"/>
          <w:szCs w:val="28"/>
          <w:lang w:val="en-US" w:eastAsia="zh-CN"/>
        </w:rPr>
        <w:t>5</w:t>
      </w:r>
      <w:r>
        <w:rPr>
          <w:rFonts w:hint="default" w:ascii="Times New Roman" w:hAnsi="Times New Roman" w:eastAsia="方正仿宋简体" w:cs="Times New Roman"/>
          <w:bCs/>
          <w:sz w:val="32"/>
          <w:szCs w:val="28"/>
        </w:rPr>
        <w:t>年，五华县应急管理局在县委、县政府坚强领导下，以维护人民群众安全和社会稳定为宗旨，充分发挥应急职能，严格按照《条例》、《广东省政务公开条例》等文件要求，切实加强对政府信息公开工作的组织领导，不断完善政府信息公开相关配套制度和工作规范，积极拓展公开的载体和形式，工作取得了明显成效。</w:t>
      </w:r>
    </w:p>
    <w:p w14:paraId="67E76E4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atLeast"/>
        <w:ind w:firstLine="640" w:firstLineChars="200"/>
        <w:jc w:val="both"/>
        <w:textAlignment w:val="auto"/>
        <w:rPr>
          <w:rFonts w:hint="default" w:ascii="Times New Roman" w:hAnsi="Times New Roman" w:eastAsia="方正仿宋简体" w:cs="Times New Roman"/>
          <w:bCs/>
          <w:sz w:val="32"/>
          <w:szCs w:val="28"/>
        </w:rPr>
      </w:pPr>
      <w:r>
        <w:rPr>
          <w:rFonts w:hint="default" w:ascii="Times New Roman" w:hAnsi="Times New Roman" w:eastAsia="方正楷体简体" w:cs="Times New Roman"/>
          <w:bCs/>
          <w:sz w:val="32"/>
          <w:szCs w:val="28"/>
        </w:rPr>
        <w:t>（一）主动公开方面。</w:t>
      </w:r>
      <w:r>
        <w:rPr>
          <w:rFonts w:hint="default" w:ascii="Times New Roman" w:hAnsi="Times New Roman" w:eastAsia="方正仿宋简体" w:cs="Times New Roman"/>
          <w:bCs/>
          <w:sz w:val="32"/>
          <w:szCs w:val="28"/>
        </w:rPr>
        <w:t>根据《条例》规定，对政务信息公开范围、公开内容、公开形式、公开形式、公开程序等作了进一步的明确，同时，按照组织健全、机制严密、标准统一、运作规范的要求，扎实做好基层政务公开标准化工作和加强突发公共卫生事件信息公开工作，同时，通过政务网站专栏集中、全面地公开法律法规依据、行政许可审批范围和条件、办事流程、申报材料、办结时限、收费项目和标准、申请表格获取方式、咨询投诉电话等关键信息，方便群众知情办事。2025年共发布工作动态类信息49篇、通知公告34份、部门文件 2份、信息公开工作年度报告1篇、预决算 2份。</w:t>
      </w:r>
    </w:p>
    <w:p w14:paraId="625BD72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atLeast"/>
        <w:ind w:firstLine="640" w:firstLineChars="200"/>
        <w:jc w:val="both"/>
        <w:textAlignment w:val="auto"/>
        <w:rPr>
          <w:rFonts w:hint="default" w:ascii="Times New Roman" w:hAnsi="Times New Roman" w:eastAsia="方正仿宋简体" w:cs="Times New Roman"/>
          <w:bCs/>
          <w:sz w:val="32"/>
          <w:szCs w:val="28"/>
        </w:rPr>
      </w:pPr>
      <w:r>
        <w:rPr>
          <w:rFonts w:hint="default" w:ascii="Times New Roman" w:hAnsi="Times New Roman" w:eastAsia="方正楷体简体" w:cs="Times New Roman"/>
          <w:bCs/>
          <w:sz w:val="32"/>
          <w:szCs w:val="28"/>
        </w:rPr>
        <w:t>（二）依申请公开方面。</w:t>
      </w:r>
      <w:r>
        <w:rPr>
          <w:rFonts w:hint="default" w:ascii="Times New Roman" w:hAnsi="Times New Roman" w:eastAsia="方正仿宋简体" w:cs="Times New Roman"/>
          <w:bCs/>
          <w:sz w:val="32"/>
          <w:szCs w:val="28"/>
        </w:rPr>
        <w:t>202</w:t>
      </w:r>
      <w:r>
        <w:rPr>
          <w:rFonts w:hint="eastAsia" w:ascii="Times New Roman" w:hAnsi="Times New Roman" w:eastAsia="方正仿宋简体" w:cs="Times New Roman"/>
          <w:bCs/>
          <w:sz w:val="32"/>
          <w:szCs w:val="28"/>
          <w:lang w:val="en-US" w:eastAsia="zh-CN"/>
        </w:rPr>
        <w:t>5</w:t>
      </w:r>
      <w:r>
        <w:rPr>
          <w:rFonts w:hint="default" w:ascii="Times New Roman" w:hAnsi="Times New Roman" w:eastAsia="方正仿宋简体" w:cs="Times New Roman"/>
          <w:bCs/>
          <w:sz w:val="32"/>
          <w:szCs w:val="28"/>
        </w:rPr>
        <w:t>年，我局共收到0项要求公开政府信息的申请，及时受理答复0条。未发生因政府信息公开引起的行政复议和诉讼。</w:t>
      </w:r>
    </w:p>
    <w:p w14:paraId="4141090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atLeast"/>
        <w:ind w:firstLine="640" w:firstLineChars="200"/>
        <w:jc w:val="both"/>
        <w:textAlignment w:val="auto"/>
        <w:rPr>
          <w:rFonts w:hint="default" w:ascii="Times New Roman" w:hAnsi="Times New Roman" w:eastAsia="方正仿宋简体" w:cs="Times New Roman"/>
          <w:bCs/>
          <w:sz w:val="32"/>
          <w:szCs w:val="28"/>
        </w:rPr>
      </w:pPr>
      <w:r>
        <w:rPr>
          <w:rFonts w:hint="default" w:ascii="Times New Roman" w:hAnsi="Times New Roman" w:eastAsia="方正楷体简体" w:cs="Times New Roman"/>
          <w:bCs/>
          <w:sz w:val="32"/>
          <w:szCs w:val="28"/>
        </w:rPr>
        <w:t>（三）政府信息管理工作。</w:t>
      </w:r>
      <w:r>
        <w:rPr>
          <w:rFonts w:hint="default" w:ascii="Times New Roman" w:hAnsi="Times New Roman" w:eastAsia="方正仿宋简体" w:cs="Times New Roman"/>
          <w:bCs/>
          <w:sz w:val="32"/>
          <w:szCs w:val="28"/>
        </w:rPr>
        <w:t>坚持以公开为原则，以不公开为例外，主动公开政府信息，及时更新政府信息公开指南，发布、转载与应急管理、安全生产、防灾减灾救灾相关的行政法规、规章和其他规范性文件及政策解读信息。</w:t>
      </w:r>
    </w:p>
    <w:p w14:paraId="0BEFE3C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atLeast"/>
        <w:ind w:firstLine="640" w:firstLineChars="200"/>
        <w:jc w:val="both"/>
        <w:textAlignment w:val="auto"/>
        <w:rPr>
          <w:rFonts w:hint="default" w:ascii="Times New Roman" w:hAnsi="Times New Roman" w:eastAsia="方正仿宋简体" w:cs="Times New Roman"/>
          <w:bCs/>
          <w:sz w:val="32"/>
          <w:szCs w:val="28"/>
        </w:rPr>
      </w:pPr>
      <w:r>
        <w:rPr>
          <w:rFonts w:hint="default" w:ascii="Times New Roman" w:hAnsi="Times New Roman" w:eastAsia="方正楷体简体" w:cs="Times New Roman"/>
          <w:bCs/>
          <w:sz w:val="32"/>
          <w:szCs w:val="28"/>
        </w:rPr>
        <w:t>（四）平台建设方面。</w:t>
      </w:r>
      <w:r>
        <w:rPr>
          <w:rFonts w:hint="default" w:ascii="Times New Roman" w:hAnsi="Times New Roman" w:eastAsia="方正仿宋简体" w:cs="Times New Roman"/>
          <w:bCs/>
          <w:sz w:val="32"/>
          <w:szCs w:val="28"/>
        </w:rPr>
        <w:t>县应急管理局政府信息公开领导小组办公室设在办公室，充分发挥其协调、调度的职能，对县政府网应急栏目进行更新维护，及时调整、充实栏目内容，对应当公开的事项及时主动公开，对依申请公开的事项及时受理并答复申请人。</w:t>
      </w:r>
    </w:p>
    <w:p w14:paraId="05C6A5B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atLeast"/>
        <w:ind w:firstLine="640" w:firstLineChars="200"/>
        <w:jc w:val="both"/>
        <w:textAlignment w:val="auto"/>
        <w:rPr>
          <w:rFonts w:hint="default" w:ascii="Times New Roman" w:hAnsi="Times New Roman" w:eastAsia="方正仿宋简体" w:cs="Times New Roman"/>
          <w:bCs/>
          <w:sz w:val="32"/>
          <w:szCs w:val="28"/>
        </w:rPr>
      </w:pPr>
      <w:r>
        <w:rPr>
          <w:rFonts w:hint="default" w:ascii="Times New Roman" w:hAnsi="Times New Roman" w:eastAsia="方正楷体简体" w:cs="Times New Roman"/>
          <w:bCs/>
          <w:sz w:val="32"/>
          <w:szCs w:val="28"/>
        </w:rPr>
        <w:t>（五）解读回应方面。</w:t>
      </w:r>
      <w:r>
        <w:rPr>
          <w:rFonts w:hint="default" w:ascii="Times New Roman" w:hAnsi="Times New Roman" w:eastAsia="方正仿宋简体" w:cs="Times New Roman"/>
          <w:bCs/>
          <w:sz w:val="32"/>
          <w:szCs w:val="28"/>
        </w:rPr>
        <w:t>我局按照“谁起草谁解读”原则，明确解读主要内容、解读形式、解读工作要求。依托政府网站“政策解读”等途径，及时对重要会议和重要政策文件进行数据、图片、视频等方式的深入解读，有效扩大政策解读效果，打通政策落地“最后一公里”。</w:t>
      </w:r>
    </w:p>
    <w:p w14:paraId="14B816F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atLeast"/>
        <w:ind w:firstLine="640" w:firstLineChars="200"/>
        <w:jc w:val="both"/>
        <w:textAlignment w:val="auto"/>
        <w:rPr>
          <w:rFonts w:hint="default" w:ascii="Times New Roman" w:hAnsi="Times New Roman" w:eastAsia="方正仿宋简体" w:cs="Times New Roman"/>
          <w:bCs/>
          <w:sz w:val="32"/>
          <w:szCs w:val="28"/>
        </w:rPr>
      </w:pPr>
      <w:r>
        <w:rPr>
          <w:rFonts w:hint="default" w:ascii="Times New Roman" w:hAnsi="Times New Roman" w:eastAsia="方正楷体简体" w:cs="Times New Roman"/>
          <w:bCs/>
          <w:sz w:val="32"/>
          <w:szCs w:val="28"/>
        </w:rPr>
        <w:t>（六）监督保障方面。</w:t>
      </w:r>
      <w:r>
        <w:rPr>
          <w:rFonts w:hint="default" w:ascii="Times New Roman" w:hAnsi="Times New Roman" w:eastAsia="方正仿宋简体" w:cs="Times New Roman"/>
          <w:bCs/>
          <w:sz w:val="32"/>
          <w:szCs w:val="28"/>
        </w:rPr>
        <w:t>县应急管理局高度重视政务信息公开工作，坚持将政务信息公开工作作为局年度工作的一项重要内容进行部署并严格按要求落实，形成并强化“主要领导亲自抓、分管领导具体抓”的工作机制，成立了由局党委书记、局长为组长，分管领导为副组长，股室负责人为成员的政府信息公开工作领导小组，制订《五华县应急管理局信息发布审核制度》，将政务信息公开工作分类细化落实到各个股室，做到主动公开部门工作动态、依法公开部门文件和预算，做到政府信息管理、平台建设、监督保障有人管，有人担，强力推动全县应急管理系统政务信息工作有序开展。</w:t>
      </w:r>
    </w:p>
    <w:p w14:paraId="45DD5F01">
      <w:pPr>
        <w:keepNext w:val="0"/>
        <w:keepLines w:val="0"/>
        <w:pageBreakBefore w:val="0"/>
        <w:kinsoku/>
        <w:overflowPunct/>
        <w:topLinePunct w:val="0"/>
        <w:autoSpaceDE/>
        <w:autoSpaceDN/>
        <w:bidi w:val="0"/>
        <w:adjustRightInd/>
        <w:snapToGrid/>
        <w:spacing w:line="600" w:lineRule="atLeast"/>
        <w:ind w:firstLine="640" w:firstLineChars="200"/>
        <w:jc w:val="left"/>
        <w:rPr>
          <w:rFonts w:hint="default" w:ascii="Times New Roman" w:hAnsi="Times New Roman" w:eastAsia="文星黑体" w:cs="Times New Roman"/>
          <w:bCs/>
          <w:sz w:val="32"/>
          <w:szCs w:val="28"/>
        </w:rPr>
      </w:pPr>
      <w:r>
        <w:rPr>
          <w:rFonts w:hint="default" w:ascii="Times New Roman" w:hAnsi="Times New Roman" w:eastAsia="文星黑体" w:cs="Times New Roman"/>
          <w:bCs/>
          <w:sz w:val="32"/>
          <w:szCs w:val="28"/>
        </w:rPr>
        <w:t>二、主动公开政府信息情况</w:t>
      </w:r>
    </w:p>
    <w:tbl>
      <w:tblPr>
        <w:tblStyle w:val="6"/>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3120"/>
        <w:gridCol w:w="1725"/>
        <w:gridCol w:w="1605"/>
        <w:gridCol w:w="1695"/>
      </w:tblGrid>
      <w:tr w14:paraId="6FA26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145" w:type="dxa"/>
            <w:gridSpan w:val="4"/>
            <w:shd w:val="clear" w:color="auto" w:fill="C6D9F1"/>
            <w:noWrap/>
            <w:tcMar>
              <w:top w:w="75" w:type="dxa"/>
              <w:left w:w="105" w:type="dxa"/>
              <w:bottom w:w="75" w:type="dxa"/>
              <w:right w:w="105" w:type="dxa"/>
            </w:tcMar>
            <w:vAlign w:val="center"/>
          </w:tcPr>
          <w:p w14:paraId="374D86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textAlignment w:val="auto"/>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第二十条第（一）项</w:t>
            </w:r>
          </w:p>
        </w:tc>
      </w:tr>
      <w:tr w14:paraId="5DA07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3120" w:type="dxa"/>
            <w:noWrap/>
            <w:tcMar>
              <w:top w:w="75" w:type="dxa"/>
              <w:left w:w="105" w:type="dxa"/>
              <w:bottom w:w="75" w:type="dxa"/>
              <w:right w:w="105" w:type="dxa"/>
            </w:tcMar>
            <w:vAlign w:val="center"/>
          </w:tcPr>
          <w:p w14:paraId="0BB1345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textAlignment w:val="auto"/>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信息内容</w:t>
            </w:r>
          </w:p>
        </w:tc>
        <w:tc>
          <w:tcPr>
            <w:tcW w:w="1725" w:type="dxa"/>
            <w:noWrap/>
            <w:tcMar>
              <w:top w:w="75" w:type="dxa"/>
              <w:left w:w="105" w:type="dxa"/>
              <w:bottom w:w="75" w:type="dxa"/>
              <w:right w:w="105" w:type="dxa"/>
            </w:tcMar>
            <w:vAlign w:val="center"/>
          </w:tcPr>
          <w:p w14:paraId="25FC34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textAlignment w:val="auto"/>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本年制发件数</w:t>
            </w:r>
          </w:p>
        </w:tc>
        <w:tc>
          <w:tcPr>
            <w:tcW w:w="1620" w:type="dxa"/>
            <w:noWrap w:val="0"/>
            <w:tcMar>
              <w:top w:w="75" w:type="dxa"/>
              <w:left w:w="105" w:type="dxa"/>
              <w:bottom w:w="75" w:type="dxa"/>
              <w:right w:w="105" w:type="dxa"/>
            </w:tcMar>
            <w:vAlign w:val="center"/>
          </w:tcPr>
          <w:p w14:paraId="7AA08F5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textAlignment w:val="auto"/>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本年废止件数</w:t>
            </w:r>
          </w:p>
        </w:tc>
        <w:tc>
          <w:tcPr>
            <w:tcW w:w="1695" w:type="dxa"/>
            <w:noWrap/>
            <w:tcMar>
              <w:top w:w="75" w:type="dxa"/>
              <w:left w:w="105" w:type="dxa"/>
              <w:bottom w:w="75" w:type="dxa"/>
              <w:right w:w="105" w:type="dxa"/>
            </w:tcMar>
            <w:vAlign w:val="center"/>
          </w:tcPr>
          <w:p w14:paraId="236ABF9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textAlignment w:val="auto"/>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现行有效件数</w:t>
            </w:r>
          </w:p>
        </w:tc>
      </w:tr>
      <w:tr w14:paraId="5DCCA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4" w:hRule="atLeast"/>
          <w:jc w:val="center"/>
        </w:trPr>
        <w:tc>
          <w:tcPr>
            <w:tcW w:w="3120" w:type="dxa"/>
            <w:noWrap/>
            <w:tcMar>
              <w:top w:w="75" w:type="dxa"/>
              <w:left w:w="105" w:type="dxa"/>
              <w:bottom w:w="75" w:type="dxa"/>
              <w:right w:w="105" w:type="dxa"/>
            </w:tcMar>
            <w:vAlign w:val="center"/>
          </w:tcPr>
          <w:p w14:paraId="2F6C1EB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textAlignment w:val="auto"/>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规章</w:t>
            </w:r>
          </w:p>
        </w:tc>
        <w:tc>
          <w:tcPr>
            <w:tcW w:w="1725" w:type="dxa"/>
            <w:noWrap/>
            <w:tcMar>
              <w:top w:w="75" w:type="dxa"/>
              <w:left w:w="105" w:type="dxa"/>
              <w:bottom w:w="75" w:type="dxa"/>
              <w:right w:w="105" w:type="dxa"/>
            </w:tcMar>
            <w:vAlign w:val="center"/>
          </w:tcPr>
          <w:p w14:paraId="55CF09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textAlignment w:val="auto"/>
              <w:rPr>
                <w:rFonts w:hint="default" w:ascii="Times New Roman" w:hAnsi="Times New Roman" w:eastAsia="sans-serif" w:cs="Times New Roman"/>
                <w:lang w:val="en-US" w:eastAsia="zh-CN"/>
              </w:rPr>
            </w:pPr>
            <w:r>
              <w:rPr>
                <w:rFonts w:hint="default" w:ascii="Times New Roman" w:hAnsi="Times New Roman" w:eastAsia="sans-serif" w:cs="Times New Roman"/>
                <w:lang w:val="en-US" w:eastAsia="zh-CN"/>
              </w:rPr>
              <w:t>0</w:t>
            </w:r>
          </w:p>
        </w:tc>
        <w:tc>
          <w:tcPr>
            <w:tcW w:w="1620" w:type="dxa"/>
            <w:noWrap w:val="0"/>
            <w:tcMar>
              <w:top w:w="75" w:type="dxa"/>
              <w:left w:w="105" w:type="dxa"/>
              <w:bottom w:w="75" w:type="dxa"/>
              <w:right w:w="105" w:type="dxa"/>
            </w:tcMar>
            <w:vAlign w:val="center"/>
          </w:tcPr>
          <w:p w14:paraId="08CAA0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textAlignment w:val="auto"/>
              <w:rPr>
                <w:rFonts w:hint="default" w:ascii="Times New Roman" w:hAnsi="Times New Roman" w:eastAsia="sans-serif" w:cs="Times New Roman"/>
                <w:lang w:val="en-US" w:eastAsia="zh-CN"/>
              </w:rPr>
            </w:pPr>
            <w:r>
              <w:rPr>
                <w:rFonts w:hint="default" w:ascii="Times New Roman" w:hAnsi="Times New Roman" w:eastAsia="sans-serif" w:cs="Times New Roman"/>
                <w:lang w:val="en-US" w:eastAsia="zh-CN"/>
              </w:rPr>
              <w:t>0</w:t>
            </w:r>
          </w:p>
        </w:tc>
        <w:tc>
          <w:tcPr>
            <w:tcW w:w="1695" w:type="dxa"/>
            <w:noWrap/>
            <w:tcMar>
              <w:top w:w="75" w:type="dxa"/>
              <w:left w:w="105" w:type="dxa"/>
              <w:bottom w:w="75" w:type="dxa"/>
              <w:right w:w="105" w:type="dxa"/>
            </w:tcMar>
            <w:vAlign w:val="center"/>
          </w:tcPr>
          <w:p w14:paraId="492E802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textAlignment w:val="auto"/>
              <w:rPr>
                <w:rFonts w:hint="default" w:ascii="Times New Roman" w:hAnsi="Times New Roman" w:eastAsia="sans-serif" w:cs="Times New Roman"/>
                <w:lang w:val="en-US" w:eastAsia="zh-CN"/>
              </w:rPr>
            </w:pPr>
            <w:r>
              <w:rPr>
                <w:rFonts w:hint="default" w:ascii="Times New Roman" w:hAnsi="Times New Roman" w:eastAsia="sans-serif" w:cs="Times New Roman"/>
                <w:lang w:val="en-US" w:eastAsia="zh-CN"/>
              </w:rPr>
              <w:t>0</w:t>
            </w:r>
          </w:p>
        </w:tc>
      </w:tr>
      <w:tr w14:paraId="24DA5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4" w:hRule="atLeast"/>
          <w:jc w:val="center"/>
        </w:trPr>
        <w:tc>
          <w:tcPr>
            <w:tcW w:w="3120" w:type="dxa"/>
            <w:noWrap/>
            <w:tcMar>
              <w:top w:w="75" w:type="dxa"/>
              <w:left w:w="105" w:type="dxa"/>
              <w:bottom w:w="75" w:type="dxa"/>
              <w:right w:w="105" w:type="dxa"/>
            </w:tcMar>
            <w:vAlign w:val="center"/>
          </w:tcPr>
          <w:p w14:paraId="029285F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textAlignment w:val="auto"/>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行政规范性文件</w:t>
            </w:r>
          </w:p>
        </w:tc>
        <w:tc>
          <w:tcPr>
            <w:tcW w:w="1725" w:type="dxa"/>
            <w:noWrap/>
            <w:tcMar>
              <w:top w:w="75" w:type="dxa"/>
              <w:left w:w="105" w:type="dxa"/>
              <w:bottom w:w="75" w:type="dxa"/>
              <w:right w:w="105" w:type="dxa"/>
            </w:tcMar>
            <w:vAlign w:val="center"/>
          </w:tcPr>
          <w:p w14:paraId="43B2CE5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textAlignment w:val="auto"/>
              <w:rPr>
                <w:rFonts w:hint="default" w:ascii="Times New Roman" w:hAnsi="Times New Roman" w:eastAsia="sans-serif" w:cs="Times New Roman"/>
                <w:lang w:val="en-US" w:eastAsia="zh-CN"/>
              </w:rPr>
            </w:pPr>
            <w:r>
              <w:rPr>
                <w:rFonts w:hint="eastAsia" w:ascii="Times New Roman" w:hAnsi="Times New Roman" w:eastAsia="sans-serif" w:cs="Times New Roman"/>
                <w:lang w:val="en-US" w:eastAsia="zh-CN"/>
              </w:rPr>
              <w:t>0</w:t>
            </w:r>
          </w:p>
        </w:tc>
        <w:tc>
          <w:tcPr>
            <w:tcW w:w="1620" w:type="dxa"/>
            <w:noWrap w:val="0"/>
            <w:tcMar>
              <w:top w:w="75" w:type="dxa"/>
              <w:left w:w="105" w:type="dxa"/>
              <w:bottom w:w="75" w:type="dxa"/>
              <w:right w:w="105" w:type="dxa"/>
            </w:tcMar>
            <w:vAlign w:val="center"/>
          </w:tcPr>
          <w:p w14:paraId="0FAC43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textAlignment w:val="auto"/>
              <w:rPr>
                <w:rFonts w:hint="default" w:ascii="Times New Roman" w:hAnsi="Times New Roman" w:eastAsia="sans-serif" w:cs="Times New Roman"/>
                <w:lang w:val="en-US" w:eastAsia="zh-CN"/>
              </w:rPr>
            </w:pPr>
            <w:r>
              <w:rPr>
                <w:rFonts w:hint="eastAsia" w:ascii="Times New Roman" w:hAnsi="Times New Roman" w:eastAsia="sans-serif" w:cs="Times New Roman"/>
                <w:lang w:val="en-US" w:eastAsia="zh-CN"/>
              </w:rPr>
              <w:t>1</w:t>
            </w:r>
          </w:p>
        </w:tc>
        <w:tc>
          <w:tcPr>
            <w:tcW w:w="1695" w:type="dxa"/>
            <w:noWrap/>
            <w:tcMar>
              <w:top w:w="75" w:type="dxa"/>
              <w:left w:w="105" w:type="dxa"/>
              <w:bottom w:w="75" w:type="dxa"/>
              <w:right w:w="105" w:type="dxa"/>
            </w:tcMar>
            <w:vAlign w:val="center"/>
          </w:tcPr>
          <w:p w14:paraId="419EAA4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textAlignment w:val="auto"/>
              <w:rPr>
                <w:rFonts w:hint="default" w:ascii="Times New Roman" w:hAnsi="Times New Roman" w:eastAsia="sans-serif" w:cs="Times New Roman"/>
                <w:lang w:val="en-US" w:eastAsia="zh-CN"/>
              </w:rPr>
            </w:pPr>
            <w:r>
              <w:rPr>
                <w:rFonts w:hint="eastAsia" w:ascii="Times New Roman" w:hAnsi="Times New Roman" w:eastAsia="sans-serif" w:cs="Times New Roman"/>
                <w:lang w:val="en-US" w:eastAsia="zh-CN"/>
              </w:rPr>
              <w:t>0</w:t>
            </w:r>
          </w:p>
        </w:tc>
      </w:tr>
      <w:tr w14:paraId="5B44C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145" w:type="dxa"/>
            <w:gridSpan w:val="4"/>
            <w:shd w:val="clear" w:color="auto" w:fill="C6D9F1"/>
            <w:noWrap/>
            <w:tcMar>
              <w:top w:w="75" w:type="dxa"/>
              <w:left w:w="105" w:type="dxa"/>
              <w:bottom w:w="75" w:type="dxa"/>
              <w:right w:w="105" w:type="dxa"/>
            </w:tcMar>
            <w:vAlign w:val="center"/>
          </w:tcPr>
          <w:p w14:paraId="1DFE5F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textAlignment w:val="auto"/>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第二十条第（五）项</w:t>
            </w:r>
          </w:p>
        </w:tc>
      </w:tr>
      <w:tr w14:paraId="63FB4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3120" w:type="dxa"/>
            <w:noWrap/>
            <w:tcMar>
              <w:top w:w="75" w:type="dxa"/>
              <w:left w:w="105" w:type="dxa"/>
              <w:bottom w:w="75" w:type="dxa"/>
              <w:right w:w="105" w:type="dxa"/>
            </w:tcMar>
            <w:vAlign w:val="center"/>
          </w:tcPr>
          <w:p w14:paraId="5B561E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textAlignment w:val="auto"/>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信息内容</w:t>
            </w:r>
          </w:p>
        </w:tc>
        <w:tc>
          <w:tcPr>
            <w:tcW w:w="5025" w:type="dxa"/>
            <w:gridSpan w:val="3"/>
            <w:noWrap/>
            <w:tcMar>
              <w:top w:w="75" w:type="dxa"/>
              <w:left w:w="105" w:type="dxa"/>
              <w:bottom w:w="75" w:type="dxa"/>
              <w:right w:w="105" w:type="dxa"/>
            </w:tcMar>
            <w:vAlign w:val="center"/>
          </w:tcPr>
          <w:p w14:paraId="21C3DDA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textAlignment w:val="auto"/>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本年处理决定数量</w:t>
            </w:r>
          </w:p>
        </w:tc>
      </w:tr>
      <w:tr w14:paraId="65221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3120" w:type="dxa"/>
            <w:noWrap/>
            <w:tcMar>
              <w:top w:w="75" w:type="dxa"/>
              <w:left w:w="105" w:type="dxa"/>
              <w:bottom w:w="75" w:type="dxa"/>
              <w:right w:w="105" w:type="dxa"/>
            </w:tcMar>
            <w:vAlign w:val="center"/>
          </w:tcPr>
          <w:p w14:paraId="31429EB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textAlignment w:val="auto"/>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行政许可</w:t>
            </w:r>
          </w:p>
        </w:tc>
        <w:tc>
          <w:tcPr>
            <w:tcW w:w="5025" w:type="dxa"/>
            <w:gridSpan w:val="3"/>
            <w:noWrap/>
            <w:tcMar>
              <w:top w:w="75" w:type="dxa"/>
              <w:left w:w="105" w:type="dxa"/>
              <w:bottom w:w="75" w:type="dxa"/>
              <w:right w:w="105" w:type="dxa"/>
            </w:tcMar>
            <w:vAlign w:val="top"/>
          </w:tcPr>
          <w:p w14:paraId="68B4414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textAlignment w:val="auto"/>
              <w:rPr>
                <w:rFonts w:hint="default" w:ascii="Times New Roman" w:hAnsi="Times New Roman" w:eastAsia="sans-serif" w:cs="Times New Roman"/>
                <w:lang w:val="en-US" w:eastAsia="zh-CN"/>
              </w:rPr>
            </w:pPr>
            <w:r>
              <w:rPr>
                <w:rFonts w:hint="eastAsia" w:ascii="Times New Roman" w:hAnsi="Times New Roman" w:eastAsia="sans-serif" w:cs="Times New Roman"/>
                <w:lang w:val="en-US" w:eastAsia="zh-CN"/>
              </w:rPr>
              <w:t>409</w:t>
            </w:r>
          </w:p>
        </w:tc>
      </w:tr>
      <w:tr w14:paraId="20CCE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145" w:type="dxa"/>
            <w:gridSpan w:val="4"/>
            <w:shd w:val="clear" w:color="auto" w:fill="C6D9F1"/>
            <w:noWrap/>
            <w:tcMar>
              <w:top w:w="75" w:type="dxa"/>
              <w:left w:w="105" w:type="dxa"/>
              <w:bottom w:w="75" w:type="dxa"/>
              <w:right w:w="105" w:type="dxa"/>
            </w:tcMar>
            <w:vAlign w:val="center"/>
          </w:tcPr>
          <w:p w14:paraId="16CFDB9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textAlignment w:val="auto"/>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第二十条第（六）项</w:t>
            </w:r>
          </w:p>
        </w:tc>
      </w:tr>
      <w:tr w14:paraId="61896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3120" w:type="dxa"/>
            <w:noWrap/>
            <w:tcMar>
              <w:top w:w="75" w:type="dxa"/>
              <w:left w:w="105" w:type="dxa"/>
              <w:bottom w:w="75" w:type="dxa"/>
              <w:right w:w="105" w:type="dxa"/>
            </w:tcMar>
            <w:vAlign w:val="center"/>
          </w:tcPr>
          <w:p w14:paraId="54AB9B0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textAlignment w:val="auto"/>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信息内容</w:t>
            </w:r>
          </w:p>
        </w:tc>
        <w:tc>
          <w:tcPr>
            <w:tcW w:w="5025" w:type="dxa"/>
            <w:gridSpan w:val="3"/>
            <w:noWrap/>
            <w:tcMar>
              <w:top w:w="75" w:type="dxa"/>
              <w:left w:w="105" w:type="dxa"/>
              <w:bottom w:w="75" w:type="dxa"/>
              <w:right w:w="105" w:type="dxa"/>
            </w:tcMar>
            <w:vAlign w:val="center"/>
          </w:tcPr>
          <w:p w14:paraId="71308B5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textAlignment w:val="auto"/>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本年处理决定数量</w:t>
            </w:r>
          </w:p>
        </w:tc>
      </w:tr>
      <w:tr w14:paraId="4AA44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3120" w:type="dxa"/>
            <w:noWrap/>
            <w:tcMar>
              <w:top w:w="75" w:type="dxa"/>
              <w:left w:w="105" w:type="dxa"/>
              <w:bottom w:w="75" w:type="dxa"/>
              <w:right w:w="105" w:type="dxa"/>
            </w:tcMar>
            <w:vAlign w:val="center"/>
          </w:tcPr>
          <w:p w14:paraId="54EB133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textAlignment w:val="auto"/>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行政处罚</w:t>
            </w:r>
          </w:p>
        </w:tc>
        <w:tc>
          <w:tcPr>
            <w:tcW w:w="5025" w:type="dxa"/>
            <w:gridSpan w:val="3"/>
            <w:noWrap/>
            <w:tcMar>
              <w:top w:w="75" w:type="dxa"/>
              <w:left w:w="105" w:type="dxa"/>
              <w:bottom w:w="75" w:type="dxa"/>
              <w:right w:w="105" w:type="dxa"/>
            </w:tcMar>
            <w:vAlign w:val="center"/>
          </w:tcPr>
          <w:p w14:paraId="43914D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textAlignment w:val="auto"/>
              <w:rPr>
                <w:rFonts w:hint="default" w:ascii="Times New Roman" w:hAnsi="Times New Roman" w:eastAsia="sans-serif" w:cs="Times New Roman"/>
                <w:lang w:val="en-US" w:eastAsia="zh-CN"/>
              </w:rPr>
            </w:pPr>
            <w:r>
              <w:rPr>
                <w:rFonts w:hint="eastAsia" w:ascii="Times New Roman" w:hAnsi="Times New Roman" w:eastAsia="sans-serif" w:cs="Times New Roman"/>
                <w:lang w:val="en-US" w:eastAsia="zh-CN"/>
              </w:rPr>
              <w:t>29</w:t>
            </w:r>
          </w:p>
        </w:tc>
      </w:tr>
      <w:tr w14:paraId="7E9EE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3120" w:type="dxa"/>
            <w:noWrap/>
            <w:tcMar>
              <w:top w:w="75" w:type="dxa"/>
              <w:left w:w="105" w:type="dxa"/>
              <w:bottom w:w="75" w:type="dxa"/>
              <w:right w:w="105" w:type="dxa"/>
            </w:tcMar>
            <w:vAlign w:val="center"/>
          </w:tcPr>
          <w:p w14:paraId="76A328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textAlignment w:val="auto"/>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行政强制</w:t>
            </w:r>
          </w:p>
        </w:tc>
        <w:tc>
          <w:tcPr>
            <w:tcW w:w="5025" w:type="dxa"/>
            <w:gridSpan w:val="3"/>
            <w:noWrap/>
            <w:tcMar>
              <w:top w:w="75" w:type="dxa"/>
              <w:left w:w="105" w:type="dxa"/>
              <w:bottom w:w="75" w:type="dxa"/>
              <w:right w:w="105" w:type="dxa"/>
            </w:tcMar>
            <w:vAlign w:val="center"/>
          </w:tcPr>
          <w:p w14:paraId="3C26999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textAlignment w:val="auto"/>
              <w:rPr>
                <w:rFonts w:hint="default" w:ascii="Times New Roman" w:hAnsi="Times New Roman" w:eastAsia="sans-serif" w:cs="Times New Roman"/>
                <w:lang w:val="en-US" w:eastAsia="zh-CN"/>
              </w:rPr>
            </w:pPr>
            <w:r>
              <w:rPr>
                <w:rFonts w:hint="eastAsia" w:ascii="Times New Roman" w:hAnsi="Times New Roman" w:eastAsia="sans-serif" w:cs="Times New Roman"/>
                <w:lang w:val="en-US" w:eastAsia="zh-CN"/>
              </w:rPr>
              <w:t>3</w:t>
            </w:r>
          </w:p>
        </w:tc>
      </w:tr>
      <w:tr w14:paraId="2983A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145" w:type="dxa"/>
            <w:gridSpan w:val="4"/>
            <w:shd w:val="clear" w:color="auto" w:fill="C6D9F1"/>
            <w:noWrap/>
            <w:tcMar>
              <w:top w:w="75" w:type="dxa"/>
              <w:left w:w="105" w:type="dxa"/>
              <w:bottom w:w="75" w:type="dxa"/>
              <w:right w:w="105" w:type="dxa"/>
            </w:tcMar>
            <w:vAlign w:val="center"/>
          </w:tcPr>
          <w:p w14:paraId="7546A2C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textAlignment w:val="auto"/>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第二十条第（八）项</w:t>
            </w:r>
          </w:p>
        </w:tc>
      </w:tr>
      <w:tr w14:paraId="7D55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3120" w:type="dxa"/>
            <w:noWrap/>
            <w:tcMar>
              <w:top w:w="75" w:type="dxa"/>
              <w:left w:w="105" w:type="dxa"/>
              <w:bottom w:w="75" w:type="dxa"/>
              <w:right w:w="105" w:type="dxa"/>
            </w:tcMar>
            <w:vAlign w:val="center"/>
          </w:tcPr>
          <w:p w14:paraId="60548E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textAlignment w:val="auto"/>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信息内容</w:t>
            </w:r>
          </w:p>
        </w:tc>
        <w:tc>
          <w:tcPr>
            <w:tcW w:w="5025" w:type="dxa"/>
            <w:gridSpan w:val="3"/>
            <w:noWrap/>
            <w:tcMar>
              <w:top w:w="75" w:type="dxa"/>
              <w:left w:w="105" w:type="dxa"/>
              <w:bottom w:w="75" w:type="dxa"/>
              <w:right w:w="105" w:type="dxa"/>
            </w:tcMar>
            <w:vAlign w:val="center"/>
          </w:tcPr>
          <w:p w14:paraId="633881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textAlignment w:val="auto"/>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本年收费金额（单位：万元）</w:t>
            </w:r>
          </w:p>
        </w:tc>
      </w:tr>
      <w:tr w14:paraId="11D0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3120" w:type="dxa"/>
            <w:noWrap/>
            <w:tcMar>
              <w:top w:w="75" w:type="dxa"/>
              <w:left w:w="105" w:type="dxa"/>
              <w:bottom w:w="75" w:type="dxa"/>
              <w:right w:w="105" w:type="dxa"/>
            </w:tcMar>
            <w:vAlign w:val="center"/>
          </w:tcPr>
          <w:p w14:paraId="130633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textAlignment w:val="auto"/>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行政事业性收费</w:t>
            </w:r>
          </w:p>
        </w:tc>
        <w:tc>
          <w:tcPr>
            <w:tcW w:w="5025" w:type="dxa"/>
            <w:gridSpan w:val="3"/>
            <w:noWrap/>
            <w:tcMar>
              <w:top w:w="75" w:type="dxa"/>
              <w:left w:w="105" w:type="dxa"/>
              <w:bottom w:w="75" w:type="dxa"/>
              <w:right w:w="105" w:type="dxa"/>
            </w:tcMar>
            <w:vAlign w:val="center"/>
          </w:tcPr>
          <w:p w14:paraId="5560DD1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textAlignment w:val="auto"/>
              <w:rPr>
                <w:rFonts w:hint="eastAsia" w:ascii="Times New Roman" w:hAnsi="Times New Roman" w:eastAsia="sans-serif" w:cs="Times New Roman"/>
                <w:lang w:val="en-US" w:eastAsia="zh-CN"/>
              </w:rPr>
            </w:pPr>
            <w:r>
              <w:rPr>
                <w:rFonts w:hint="eastAsia" w:ascii="Times New Roman" w:hAnsi="Times New Roman" w:eastAsia="sans-serif" w:cs="Times New Roman"/>
                <w:lang w:val="en-US" w:eastAsia="zh-CN"/>
              </w:rPr>
              <w:t>0</w:t>
            </w:r>
          </w:p>
        </w:tc>
      </w:tr>
    </w:tbl>
    <w:p w14:paraId="317C6B80">
      <w:pPr>
        <w:keepNext w:val="0"/>
        <w:keepLines w:val="0"/>
        <w:pageBreakBefore w:val="0"/>
        <w:kinsoku/>
        <w:overflowPunct/>
        <w:topLinePunct w:val="0"/>
        <w:autoSpaceDE/>
        <w:autoSpaceDN/>
        <w:bidi w:val="0"/>
        <w:adjustRightInd/>
        <w:snapToGrid/>
        <w:spacing w:line="600" w:lineRule="atLeast"/>
        <w:ind w:firstLine="640" w:firstLineChars="200"/>
        <w:jc w:val="left"/>
        <w:rPr>
          <w:rFonts w:hint="default" w:ascii="Times New Roman" w:hAnsi="Times New Roman" w:eastAsia="文星黑体" w:cs="Times New Roman"/>
          <w:bCs/>
          <w:sz w:val="32"/>
          <w:szCs w:val="28"/>
        </w:rPr>
      </w:pPr>
      <w:r>
        <w:rPr>
          <w:rFonts w:hint="default" w:ascii="Times New Roman" w:hAnsi="Times New Roman" w:eastAsia="文星黑体" w:cs="Times New Roman"/>
          <w:bCs/>
          <w:sz w:val="32"/>
          <w:szCs w:val="28"/>
        </w:rPr>
        <w:t>三、收到和处理政府信息公开申请情况</w:t>
      </w:r>
    </w:p>
    <w:tbl>
      <w:tblPr>
        <w:tblStyle w:val="6"/>
        <w:tblW w:w="9075"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590"/>
        <w:gridCol w:w="956"/>
        <w:gridCol w:w="2683"/>
        <w:gridCol w:w="594"/>
        <w:gridCol w:w="784"/>
        <w:gridCol w:w="711"/>
        <w:gridCol w:w="682"/>
        <w:gridCol w:w="755"/>
        <w:gridCol w:w="667"/>
        <w:gridCol w:w="653"/>
      </w:tblGrid>
      <w:tr w14:paraId="27D6335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4229" w:type="dxa"/>
            <w:gridSpan w:val="3"/>
            <w:vMerge w:val="restart"/>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75347D9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（本列数据的勾稽关系为：第一项加第二项之和，等于第三项加第四项之和）</w:t>
            </w:r>
          </w:p>
        </w:tc>
        <w:tc>
          <w:tcPr>
            <w:tcW w:w="4846" w:type="dxa"/>
            <w:gridSpan w:val="7"/>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1D96A47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申请人情况</w:t>
            </w:r>
          </w:p>
        </w:tc>
      </w:tr>
      <w:tr w14:paraId="7CC64AA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4229" w:type="dxa"/>
            <w:gridSpan w:val="3"/>
            <w:vMerge w:val="continue"/>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059F9AF6">
            <w:pPr>
              <w:keepNext w:val="0"/>
              <w:keepLines w:val="0"/>
              <w:pageBreakBefore w:val="0"/>
              <w:kinsoku/>
              <w:overflowPunct/>
              <w:topLinePunct w:val="0"/>
              <w:autoSpaceDE/>
              <w:autoSpaceDN/>
              <w:bidi w:val="0"/>
              <w:adjustRightInd/>
              <w:snapToGrid/>
              <w:spacing w:line="600" w:lineRule="atLeast"/>
              <w:jc w:val="center"/>
              <w:rPr>
                <w:rFonts w:hint="default" w:ascii="Times New Roman" w:hAnsi="Times New Roman" w:cs="Times New Roman"/>
                <w:i w:val="0"/>
                <w:caps w:val="0"/>
                <w:color w:val="000000"/>
                <w:spacing w:val="0"/>
                <w:sz w:val="19"/>
                <w:szCs w:val="19"/>
              </w:rPr>
            </w:pPr>
          </w:p>
        </w:tc>
        <w:tc>
          <w:tcPr>
            <w:tcW w:w="594" w:type="dxa"/>
            <w:vMerge w:val="restart"/>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19ED662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自然人</w:t>
            </w:r>
          </w:p>
        </w:tc>
        <w:tc>
          <w:tcPr>
            <w:tcW w:w="3599" w:type="dxa"/>
            <w:gridSpan w:val="5"/>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79BEE4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法人或其他组织</w:t>
            </w:r>
          </w:p>
        </w:tc>
        <w:tc>
          <w:tcPr>
            <w:tcW w:w="653" w:type="dxa"/>
            <w:vMerge w:val="restart"/>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69D693C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总计</w:t>
            </w:r>
          </w:p>
        </w:tc>
      </w:tr>
      <w:tr w14:paraId="1D898EB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4229" w:type="dxa"/>
            <w:gridSpan w:val="3"/>
            <w:vMerge w:val="continue"/>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37C1E047">
            <w:pPr>
              <w:keepNext w:val="0"/>
              <w:keepLines w:val="0"/>
              <w:pageBreakBefore w:val="0"/>
              <w:kinsoku/>
              <w:overflowPunct/>
              <w:topLinePunct w:val="0"/>
              <w:autoSpaceDE/>
              <w:autoSpaceDN/>
              <w:bidi w:val="0"/>
              <w:adjustRightInd/>
              <w:snapToGrid/>
              <w:spacing w:line="600" w:lineRule="atLeast"/>
              <w:jc w:val="center"/>
              <w:rPr>
                <w:rFonts w:hint="default" w:ascii="Times New Roman" w:hAnsi="Times New Roman" w:cs="Times New Roman"/>
                <w:i w:val="0"/>
                <w:caps w:val="0"/>
                <w:color w:val="000000"/>
                <w:spacing w:val="0"/>
                <w:sz w:val="19"/>
                <w:szCs w:val="19"/>
              </w:rPr>
            </w:pPr>
          </w:p>
        </w:tc>
        <w:tc>
          <w:tcPr>
            <w:tcW w:w="594" w:type="dxa"/>
            <w:vMerge w:val="continue"/>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65E83FF2">
            <w:pPr>
              <w:keepNext w:val="0"/>
              <w:keepLines w:val="0"/>
              <w:pageBreakBefore w:val="0"/>
              <w:kinsoku/>
              <w:overflowPunct/>
              <w:topLinePunct w:val="0"/>
              <w:autoSpaceDE/>
              <w:autoSpaceDN/>
              <w:bidi w:val="0"/>
              <w:adjustRightInd/>
              <w:snapToGrid/>
              <w:spacing w:line="600" w:lineRule="atLeast"/>
              <w:jc w:val="center"/>
              <w:rPr>
                <w:rFonts w:hint="default" w:ascii="Times New Roman" w:hAnsi="Times New Roman" w:cs="Times New Roman"/>
                <w:i w:val="0"/>
                <w:caps w:val="0"/>
                <w:color w:val="000000"/>
                <w:spacing w:val="0"/>
                <w:sz w:val="19"/>
                <w:szCs w:val="19"/>
              </w:rPr>
            </w:pPr>
          </w:p>
        </w:tc>
        <w:tc>
          <w:tcPr>
            <w:tcW w:w="784"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35AB83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rPr>
                <w:rFonts w:hint="default" w:ascii="Times New Roman" w:hAnsi="Times New Roman" w:eastAsia="sans-serif" w:cs="Times New Roman"/>
                <w:i w:val="0"/>
                <w:caps w:val="0"/>
                <w:color w:val="000000"/>
                <w:spacing w:val="0"/>
                <w:sz w:val="19"/>
                <w:szCs w:val="19"/>
              </w:rPr>
            </w:pPr>
            <w:r>
              <w:rPr>
                <w:rFonts w:hint="default" w:ascii="Times New Roman" w:hAnsi="Times New Roman" w:eastAsia="sans-serif" w:cs="Times New Roman"/>
                <w:i w:val="0"/>
                <w:caps w:val="0"/>
                <w:color w:val="000000"/>
                <w:spacing w:val="0"/>
                <w:sz w:val="19"/>
                <w:szCs w:val="19"/>
              </w:rPr>
              <w:t>商业</w:t>
            </w:r>
          </w:p>
          <w:p w14:paraId="278A737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企业</w:t>
            </w:r>
          </w:p>
        </w:tc>
        <w:tc>
          <w:tcPr>
            <w:tcW w:w="711"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6EEB15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科研</w:t>
            </w:r>
          </w:p>
          <w:p w14:paraId="5C672B6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机构</w:t>
            </w:r>
          </w:p>
        </w:tc>
        <w:tc>
          <w:tcPr>
            <w:tcW w:w="682"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15DEC5E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社会公益组织</w:t>
            </w:r>
          </w:p>
        </w:tc>
        <w:tc>
          <w:tcPr>
            <w:tcW w:w="75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7634C8C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法律服务机构</w:t>
            </w:r>
          </w:p>
        </w:tc>
        <w:tc>
          <w:tcPr>
            <w:tcW w:w="667"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6E410FB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其他</w:t>
            </w:r>
          </w:p>
        </w:tc>
        <w:tc>
          <w:tcPr>
            <w:tcW w:w="653" w:type="dxa"/>
            <w:vMerge w:val="continue"/>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52FC3597">
            <w:pPr>
              <w:keepNext w:val="0"/>
              <w:keepLines w:val="0"/>
              <w:pageBreakBefore w:val="0"/>
              <w:kinsoku/>
              <w:overflowPunct/>
              <w:topLinePunct w:val="0"/>
              <w:autoSpaceDE/>
              <w:autoSpaceDN/>
              <w:bidi w:val="0"/>
              <w:adjustRightInd/>
              <w:snapToGrid/>
              <w:spacing w:line="600" w:lineRule="atLeast"/>
              <w:rPr>
                <w:rFonts w:hint="default" w:ascii="Times New Roman" w:hAnsi="Times New Roman" w:cs="Times New Roman"/>
                <w:i w:val="0"/>
                <w:caps w:val="0"/>
                <w:color w:val="000000"/>
                <w:spacing w:val="0"/>
                <w:sz w:val="19"/>
                <w:szCs w:val="19"/>
              </w:rPr>
            </w:pPr>
          </w:p>
        </w:tc>
      </w:tr>
      <w:tr w14:paraId="635545B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4229" w:type="dxa"/>
            <w:gridSpan w:val="3"/>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6A48FC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left"/>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一、本年新收政府信息公开申请数量</w:t>
            </w:r>
          </w:p>
        </w:tc>
        <w:tc>
          <w:tcPr>
            <w:tcW w:w="594"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1F41F3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left"/>
              <w:rPr>
                <w:rFonts w:hint="default" w:ascii="Times New Roman" w:hAnsi="Times New Roman" w:eastAsia="sans-serif" w:cs="Times New Roman"/>
                <w:lang w:val="en-US" w:eastAsia="zh-CN"/>
              </w:rPr>
            </w:pPr>
            <w:r>
              <w:rPr>
                <w:rFonts w:hint="default" w:ascii="Times New Roman" w:hAnsi="Times New Roman" w:eastAsia="sans-serif" w:cs="Times New Roman"/>
                <w:lang w:val="en-US" w:eastAsia="zh-CN"/>
              </w:rPr>
              <w:t>0</w:t>
            </w:r>
          </w:p>
        </w:tc>
        <w:tc>
          <w:tcPr>
            <w:tcW w:w="784"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013970D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left"/>
              <w:rPr>
                <w:rFonts w:hint="default" w:ascii="Times New Roman" w:hAnsi="Times New Roman" w:eastAsia="sans-serif" w:cs="Times New Roman"/>
                <w:lang w:val="en-US" w:eastAsia="zh-CN"/>
              </w:rPr>
            </w:pPr>
            <w:r>
              <w:rPr>
                <w:rFonts w:hint="default" w:ascii="Times New Roman" w:hAnsi="Times New Roman" w:eastAsia="sans-serif" w:cs="Times New Roman"/>
                <w:lang w:val="en-US" w:eastAsia="zh-CN"/>
              </w:rPr>
              <w:t>0</w:t>
            </w:r>
          </w:p>
        </w:tc>
        <w:tc>
          <w:tcPr>
            <w:tcW w:w="711"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377DA7C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left"/>
              <w:rPr>
                <w:rFonts w:hint="default" w:ascii="Times New Roman" w:hAnsi="Times New Roman" w:eastAsia="sans-serif" w:cs="Times New Roman"/>
                <w:lang w:val="en-US" w:eastAsia="zh-CN"/>
              </w:rPr>
            </w:pPr>
            <w:r>
              <w:rPr>
                <w:rFonts w:hint="default" w:ascii="Times New Roman" w:hAnsi="Times New Roman" w:eastAsia="sans-serif" w:cs="Times New Roman"/>
                <w:lang w:val="en-US" w:eastAsia="zh-CN"/>
              </w:rPr>
              <w:t>0</w:t>
            </w:r>
          </w:p>
        </w:tc>
        <w:tc>
          <w:tcPr>
            <w:tcW w:w="682"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658CD0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left"/>
              <w:rPr>
                <w:rFonts w:hint="default" w:ascii="Times New Roman" w:hAnsi="Times New Roman" w:eastAsia="sans-serif" w:cs="Times New Roman"/>
                <w:lang w:val="en-US" w:eastAsia="zh-CN"/>
              </w:rPr>
            </w:pPr>
            <w:r>
              <w:rPr>
                <w:rFonts w:hint="default" w:ascii="Times New Roman" w:hAnsi="Times New Roman" w:eastAsia="sans-serif" w:cs="Times New Roman"/>
                <w:lang w:val="en-US" w:eastAsia="zh-CN"/>
              </w:rPr>
              <w:t>0</w:t>
            </w:r>
          </w:p>
        </w:tc>
        <w:tc>
          <w:tcPr>
            <w:tcW w:w="75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5C58A1F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left"/>
              <w:rPr>
                <w:rFonts w:hint="default" w:ascii="Times New Roman" w:hAnsi="Times New Roman" w:eastAsia="sans-serif" w:cs="Times New Roman"/>
                <w:lang w:val="en-US" w:eastAsia="zh-CN"/>
              </w:rPr>
            </w:pPr>
            <w:r>
              <w:rPr>
                <w:rFonts w:hint="default" w:ascii="Times New Roman" w:hAnsi="Times New Roman" w:eastAsia="sans-serif" w:cs="Times New Roman"/>
                <w:lang w:val="en-US" w:eastAsia="zh-CN"/>
              </w:rPr>
              <w:t>0</w:t>
            </w:r>
          </w:p>
        </w:tc>
        <w:tc>
          <w:tcPr>
            <w:tcW w:w="667"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14C46F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left"/>
              <w:rPr>
                <w:rFonts w:hint="default" w:ascii="Times New Roman" w:hAnsi="Times New Roman" w:eastAsia="sans-serif" w:cs="Times New Roman"/>
                <w:lang w:val="en-US" w:eastAsia="zh-CN"/>
              </w:rPr>
            </w:pPr>
            <w:r>
              <w:rPr>
                <w:rFonts w:hint="default" w:ascii="Times New Roman" w:hAnsi="Times New Roman" w:eastAsia="sans-serif" w:cs="Times New Roman"/>
                <w:lang w:val="en-US" w:eastAsia="zh-CN"/>
              </w:rPr>
              <w:t>0</w:t>
            </w:r>
          </w:p>
        </w:tc>
        <w:tc>
          <w:tcPr>
            <w:tcW w:w="653"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14164B9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left"/>
              <w:rPr>
                <w:rFonts w:hint="default" w:ascii="Times New Roman" w:hAnsi="Times New Roman" w:eastAsia="sans-serif" w:cs="Times New Roman"/>
                <w:lang w:val="en-US" w:eastAsia="zh-CN"/>
              </w:rPr>
            </w:pPr>
            <w:r>
              <w:rPr>
                <w:rFonts w:hint="default" w:ascii="Times New Roman" w:hAnsi="Times New Roman" w:eastAsia="sans-serif" w:cs="Times New Roman"/>
                <w:lang w:val="en-US" w:eastAsia="zh-CN"/>
              </w:rPr>
              <w:t>0</w:t>
            </w:r>
          </w:p>
        </w:tc>
      </w:tr>
      <w:tr w14:paraId="26B88D9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4229" w:type="dxa"/>
            <w:gridSpan w:val="3"/>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7002371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left"/>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二、上年结转政府信息公开申请数量</w:t>
            </w:r>
          </w:p>
        </w:tc>
        <w:tc>
          <w:tcPr>
            <w:tcW w:w="594"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67E36F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84"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79035A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11"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791B28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82"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2E40950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5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5E42F1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67"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6824F9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53"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5D9C84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r>
      <w:tr w14:paraId="26F23FD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590" w:type="dxa"/>
            <w:vMerge w:val="restart"/>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09EF1A2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left"/>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三、本年度办理结果</w:t>
            </w:r>
          </w:p>
        </w:tc>
        <w:tc>
          <w:tcPr>
            <w:tcW w:w="3639" w:type="dxa"/>
            <w:gridSpan w:val="2"/>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2B0809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left"/>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（一）予以公开</w:t>
            </w:r>
          </w:p>
        </w:tc>
        <w:tc>
          <w:tcPr>
            <w:tcW w:w="594"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0DF70AB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84"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3095C59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11"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5D188D1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82"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1B37211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5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5157EE2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67"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065B1A1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53"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40B609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r>
      <w:tr w14:paraId="29E4030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590" w:type="dxa"/>
            <w:vMerge w:val="continue"/>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506CCF18">
            <w:pPr>
              <w:keepNext w:val="0"/>
              <w:keepLines w:val="0"/>
              <w:pageBreakBefore w:val="0"/>
              <w:kinsoku/>
              <w:overflowPunct/>
              <w:topLinePunct w:val="0"/>
              <w:autoSpaceDE/>
              <w:autoSpaceDN/>
              <w:bidi w:val="0"/>
              <w:adjustRightInd/>
              <w:snapToGrid/>
              <w:spacing w:line="600" w:lineRule="atLeast"/>
              <w:rPr>
                <w:rFonts w:hint="default" w:ascii="Times New Roman" w:hAnsi="Times New Roman" w:cs="Times New Roman"/>
                <w:i w:val="0"/>
                <w:caps w:val="0"/>
                <w:color w:val="000000"/>
                <w:spacing w:val="0"/>
                <w:sz w:val="19"/>
                <w:szCs w:val="19"/>
              </w:rPr>
            </w:pPr>
          </w:p>
        </w:tc>
        <w:tc>
          <w:tcPr>
            <w:tcW w:w="3639" w:type="dxa"/>
            <w:gridSpan w:val="2"/>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7B864E4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left"/>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（二）部分公开（区分处理的，只计这一情形，不计其他情形）</w:t>
            </w:r>
          </w:p>
        </w:tc>
        <w:tc>
          <w:tcPr>
            <w:tcW w:w="594"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005293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84"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66C0111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11"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0F9512E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82"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16ACE7C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5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39AA7E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67"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240B84C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53"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3BD5BA6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r>
      <w:tr w14:paraId="0672FD8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590" w:type="dxa"/>
            <w:vMerge w:val="continue"/>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50261B33">
            <w:pPr>
              <w:keepNext w:val="0"/>
              <w:keepLines w:val="0"/>
              <w:pageBreakBefore w:val="0"/>
              <w:kinsoku/>
              <w:overflowPunct/>
              <w:topLinePunct w:val="0"/>
              <w:autoSpaceDE/>
              <w:autoSpaceDN/>
              <w:bidi w:val="0"/>
              <w:adjustRightInd/>
              <w:snapToGrid/>
              <w:spacing w:line="600" w:lineRule="atLeast"/>
              <w:rPr>
                <w:rFonts w:hint="default" w:ascii="Times New Roman" w:hAnsi="Times New Roman" w:cs="Times New Roman"/>
                <w:i w:val="0"/>
                <w:caps w:val="0"/>
                <w:color w:val="000000"/>
                <w:spacing w:val="0"/>
                <w:sz w:val="19"/>
                <w:szCs w:val="19"/>
              </w:rPr>
            </w:pPr>
          </w:p>
        </w:tc>
        <w:tc>
          <w:tcPr>
            <w:tcW w:w="956" w:type="dxa"/>
            <w:vMerge w:val="restart"/>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1BFC6E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left"/>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（三）不予公开</w:t>
            </w:r>
          </w:p>
        </w:tc>
        <w:tc>
          <w:tcPr>
            <w:tcW w:w="2683"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0AE522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left"/>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1.属于国家秘密</w:t>
            </w:r>
          </w:p>
        </w:tc>
        <w:tc>
          <w:tcPr>
            <w:tcW w:w="594"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0554210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84"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47D74D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11"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6F305D7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82"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2B73E6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5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7BC44A1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67"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63D8F64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53"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0A5FAC3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r>
      <w:tr w14:paraId="4EB2C31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590" w:type="dxa"/>
            <w:vMerge w:val="continue"/>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257ED289">
            <w:pPr>
              <w:keepNext w:val="0"/>
              <w:keepLines w:val="0"/>
              <w:pageBreakBefore w:val="0"/>
              <w:kinsoku/>
              <w:overflowPunct/>
              <w:topLinePunct w:val="0"/>
              <w:autoSpaceDE/>
              <w:autoSpaceDN/>
              <w:bidi w:val="0"/>
              <w:adjustRightInd/>
              <w:snapToGrid/>
              <w:spacing w:line="600" w:lineRule="atLeast"/>
              <w:rPr>
                <w:rFonts w:hint="default" w:ascii="Times New Roman" w:hAnsi="Times New Roman" w:cs="Times New Roman"/>
                <w:i w:val="0"/>
                <w:caps w:val="0"/>
                <w:color w:val="000000"/>
                <w:spacing w:val="0"/>
                <w:sz w:val="19"/>
                <w:szCs w:val="19"/>
              </w:rPr>
            </w:pPr>
          </w:p>
        </w:tc>
        <w:tc>
          <w:tcPr>
            <w:tcW w:w="956" w:type="dxa"/>
            <w:vMerge w:val="continue"/>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36181D4A">
            <w:pPr>
              <w:keepNext w:val="0"/>
              <w:keepLines w:val="0"/>
              <w:pageBreakBefore w:val="0"/>
              <w:kinsoku/>
              <w:overflowPunct/>
              <w:topLinePunct w:val="0"/>
              <w:autoSpaceDE/>
              <w:autoSpaceDN/>
              <w:bidi w:val="0"/>
              <w:adjustRightInd/>
              <w:snapToGrid/>
              <w:spacing w:line="600" w:lineRule="atLeast"/>
              <w:rPr>
                <w:rFonts w:hint="default" w:ascii="Times New Roman" w:hAnsi="Times New Roman" w:cs="Times New Roman"/>
                <w:i w:val="0"/>
                <w:caps w:val="0"/>
                <w:color w:val="000000"/>
                <w:spacing w:val="0"/>
                <w:sz w:val="19"/>
                <w:szCs w:val="19"/>
              </w:rPr>
            </w:pPr>
          </w:p>
        </w:tc>
        <w:tc>
          <w:tcPr>
            <w:tcW w:w="2683"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0609392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left"/>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2.其他法律行政法规禁止公开</w:t>
            </w:r>
          </w:p>
        </w:tc>
        <w:tc>
          <w:tcPr>
            <w:tcW w:w="594"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59BFD20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84"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6D16DD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11"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2749B4C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82"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0EE7A4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5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775BEE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67"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7091F90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53"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5902FB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r>
      <w:tr w14:paraId="4ED81E4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590" w:type="dxa"/>
            <w:vMerge w:val="continue"/>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527DEFBA">
            <w:pPr>
              <w:keepNext w:val="0"/>
              <w:keepLines w:val="0"/>
              <w:pageBreakBefore w:val="0"/>
              <w:kinsoku/>
              <w:overflowPunct/>
              <w:topLinePunct w:val="0"/>
              <w:autoSpaceDE/>
              <w:autoSpaceDN/>
              <w:bidi w:val="0"/>
              <w:adjustRightInd/>
              <w:snapToGrid/>
              <w:spacing w:line="600" w:lineRule="atLeast"/>
              <w:rPr>
                <w:rFonts w:hint="default" w:ascii="Times New Roman" w:hAnsi="Times New Roman" w:cs="Times New Roman"/>
                <w:i w:val="0"/>
                <w:caps w:val="0"/>
                <w:color w:val="000000"/>
                <w:spacing w:val="0"/>
                <w:sz w:val="19"/>
                <w:szCs w:val="19"/>
              </w:rPr>
            </w:pPr>
          </w:p>
        </w:tc>
        <w:tc>
          <w:tcPr>
            <w:tcW w:w="956" w:type="dxa"/>
            <w:vMerge w:val="continue"/>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3D8FDABB">
            <w:pPr>
              <w:keepNext w:val="0"/>
              <w:keepLines w:val="0"/>
              <w:pageBreakBefore w:val="0"/>
              <w:kinsoku/>
              <w:overflowPunct/>
              <w:topLinePunct w:val="0"/>
              <w:autoSpaceDE/>
              <w:autoSpaceDN/>
              <w:bidi w:val="0"/>
              <w:adjustRightInd/>
              <w:snapToGrid/>
              <w:spacing w:line="600" w:lineRule="atLeast"/>
              <w:rPr>
                <w:rFonts w:hint="default" w:ascii="Times New Roman" w:hAnsi="Times New Roman" w:cs="Times New Roman"/>
                <w:i w:val="0"/>
                <w:caps w:val="0"/>
                <w:color w:val="000000"/>
                <w:spacing w:val="0"/>
                <w:sz w:val="19"/>
                <w:szCs w:val="19"/>
              </w:rPr>
            </w:pPr>
          </w:p>
        </w:tc>
        <w:tc>
          <w:tcPr>
            <w:tcW w:w="2683"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0E2FE95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left"/>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3.危及“三安全一稳定”</w:t>
            </w:r>
          </w:p>
        </w:tc>
        <w:tc>
          <w:tcPr>
            <w:tcW w:w="594"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6CDB79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84"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565EF5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11"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700ED0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82"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5BD48F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5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39C74EB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67"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1C04DA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53"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39724B8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r>
      <w:tr w14:paraId="2294815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590" w:type="dxa"/>
            <w:vMerge w:val="continue"/>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2A567EF2">
            <w:pPr>
              <w:keepNext w:val="0"/>
              <w:keepLines w:val="0"/>
              <w:pageBreakBefore w:val="0"/>
              <w:kinsoku/>
              <w:overflowPunct/>
              <w:topLinePunct w:val="0"/>
              <w:autoSpaceDE/>
              <w:autoSpaceDN/>
              <w:bidi w:val="0"/>
              <w:adjustRightInd/>
              <w:snapToGrid/>
              <w:spacing w:line="600" w:lineRule="atLeast"/>
              <w:rPr>
                <w:rFonts w:hint="default" w:ascii="Times New Roman" w:hAnsi="Times New Roman" w:cs="Times New Roman"/>
                <w:i w:val="0"/>
                <w:caps w:val="0"/>
                <w:color w:val="000000"/>
                <w:spacing w:val="0"/>
                <w:sz w:val="19"/>
                <w:szCs w:val="19"/>
              </w:rPr>
            </w:pPr>
          </w:p>
        </w:tc>
        <w:tc>
          <w:tcPr>
            <w:tcW w:w="956" w:type="dxa"/>
            <w:vMerge w:val="continue"/>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30FB843B">
            <w:pPr>
              <w:keepNext w:val="0"/>
              <w:keepLines w:val="0"/>
              <w:pageBreakBefore w:val="0"/>
              <w:kinsoku/>
              <w:overflowPunct/>
              <w:topLinePunct w:val="0"/>
              <w:autoSpaceDE/>
              <w:autoSpaceDN/>
              <w:bidi w:val="0"/>
              <w:adjustRightInd/>
              <w:snapToGrid/>
              <w:spacing w:line="600" w:lineRule="atLeast"/>
              <w:rPr>
                <w:rFonts w:hint="default" w:ascii="Times New Roman" w:hAnsi="Times New Roman" w:cs="Times New Roman"/>
                <w:i w:val="0"/>
                <w:caps w:val="0"/>
                <w:color w:val="000000"/>
                <w:spacing w:val="0"/>
                <w:sz w:val="19"/>
                <w:szCs w:val="19"/>
              </w:rPr>
            </w:pPr>
          </w:p>
        </w:tc>
        <w:tc>
          <w:tcPr>
            <w:tcW w:w="2683"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5A2B5CE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left"/>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4.保护第三方合法权益</w:t>
            </w:r>
          </w:p>
        </w:tc>
        <w:tc>
          <w:tcPr>
            <w:tcW w:w="594"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10FF33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84"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7C12440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11"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7DAE2FC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82"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70831A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5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19E730A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67"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3A80AD2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53"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5A669FB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r>
      <w:tr w14:paraId="1A5BED7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590" w:type="dxa"/>
            <w:vMerge w:val="continue"/>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42E0999F">
            <w:pPr>
              <w:keepNext w:val="0"/>
              <w:keepLines w:val="0"/>
              <w:pageBreakBefore w:val="0"/>
              <w:kinsoku/>
              <w:overflowPunct/>
              <w:topLinePunct w:val="0"/>
              <w:autoSpaceDE/>
              <w:autoSpaceDN/>
              <w:bidi w:val="0"/>
              <w:adjustRightInd/>
              <w:snapToGrid/>
              <w:spacing w:line="600" w:lineRule="atLeast"/>
              <w:rPr>
                <w:rFonts w:hint="default" w:ascii="Times New Roman" w:hAnsi="Times New Roman" w:cs="Times New Roman"/>
                <w:i w:val="0"/>
                <w:caps w:val="0"/>
                <w:color w:val="000000"/>
                <w:spacing w:val="0"/>
                <w:sz w:val="19"/>
                <w:szCs w:val="19"/>
              </w:rPr>
            </w:pPr>
          </w:p>
        </w:tc>
        <w:tc>
          <w:tcPr>
            <w:tcW w:w="956" w:type="dxa"/>
            <w:vMerge w:val="continue"/>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1D46A5BA">
            <w:pPr>
              <w:keepNext w:val="0"/>
              <w:keepLines w:val="0"/>
              <w:pageBreakBefore w:val="0"/>
              <w:kinsoku/>
              <w:overflowPunct/>
              <w:topLinePunct w:val="0"/>
              <w:autoSpaceDE/>
              <w:autoSpaceDN/>
              <w:bidi w:val="0"/>
              <w:adjustRightInd/>
              <w:snapToGrid/>
              <w:spacing w:line="600" w:lineRule="atLeast"/>
              <w:rPr>
                <w:rFonts w:hint="default" w:ascii="Times New Roman" w:hAnsi="Times New Roman" w:cs="Times New Roman"/>
                <w:i w:val="0"/>
                <w:caps w:val="0"/>
                <w:color w:val="000000"/>
                <w:spacing w:val="0"/>
                <w:sz w:val="19"/>
                <w:szCs w:val="19"/>
              </w:rPr>
            </w:pPr>
          </w:p>
        </w:tc>
        <w:tc>
          <w:tcPr>
            <w:tcW w:w="2683"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1775C9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left"/>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5.属于三类内部事务信息</w:t>
            </w:r>
          </w:p>
        </w:tc>
        <w:tc>
          <w:tcPr>
            <w:tcW w:w="594"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59666E4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84"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4F79A8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11"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7A4266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82"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30F9D0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5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0CC57E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67"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4F2FFE7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53"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373F1A7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r>
      <w:tr w14:paraId="554607F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590" w:type="dxa"/>
            <w:vMerge w:val="continue"/>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6228B3D5">
            <w:pPr>
              <w:keepNext w:val="0"/>
              <w:keepLines w:val="0"/>
              <w:pageBreakBefore w:val="0"/>
              <w:kinsoku/>
              <w:overflowPunct/>
              <w:topLinePunct w:val="0"/>
              <w:autoSpaceDE/>
              <w:autoSpaceDN/>
              <w:bidi w:val="0"/>
              <w:adjustRightInd/>
              <w:snapToGrid/>
              <w:spacing w:line="600" w:lineRule="atLeast"/>
              <w:rPr>
                <w:rFonts w:hint="default" w:ascii="Times New Roman" w:hAnsi="Times New Roman" w:cs="Times New Roman"/>
                <w:i w:val="0"/>
                <w:caps w:val="0"/>
                <w:color w:val="000000"/>
                <w:spacing w:val="0"/>
                <w:sz w:val="19"/>
                <w:szCs w:val="19"/>
              </w:rPr>
            </w:pPr>
          </w:p>
        </w:tc>
        <w:tc>
          <w:tcPr>
            <w:tcW w:w="956" w:type="dxa"/>
            <w:vMerge w:val="continue"/>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02130C83">
            <w:pPr>
              <w:keepNext w:val="0"/>
              <w:keepLines w:val="0"/>
              <w:pageBreakBefore w:val="0"/>
              <w:kinsoku/>
              <w:overflowPunct/>
              <w:topLinePunct w:val="0"/>
              <w:autoSpaceDE/>
              <w:autoSpaceDN/>
              <w:bidi w:val="0"/>
              <w:adjustRightInd/>
              <w:snapToGrid/>
              <w:spacing w:line="600" w:lineRule="atLeast"/>
              <w:rPr>
                <w:rFonts w:hint="default" w:ascii="Times New Roman" w:hAnsi="Times New Roman" w:cs="Times New Roman"/>
                <w:i w:val="0"/>
                <w:caps w:val="0"/>
                <w:color w:val="000000"/>
                <w:spacing w:val="0"/>
                <w:sz w:val="19"/>
                <w:szCs w:val="19"/>
              </w:rPr>
            </w:pPr>
          </w:p>
        </w:tc>
        <w:tc>
          <w:tcPr>
            <w:tcW w:w="2683"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232D4A6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left"/>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6.属于四类过程性信息</w:t>
            </w:r>
          </w:p>
        </w:tc>
        <w:tc>
          <w:tcPr>
            <w:tcW w:w="594"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42BC280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84"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6652D7E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11"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638DB4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82"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4E9DE40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5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600F95D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67"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02DF9F0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53"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1F7482A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r>
      <w:tr w14:paraId="568D30B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590" w:type="dxa"/>
            <w:vMerge w:val="continue"/>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4A6A8E27">
            <w:pPr>
              <w:keepNext w:val="0"/>
              <w:keepLines w:val="0"/>
              <w:pageBreakBefore w:val="0"/>
              <w:kinsoku/>
              <w:overflowPunct/>
              <w:topLinePunct w:val="0"/>
              <w:autoSpaceDE/>
              <w:autoSpaceDN/>
              <w:bidi w:val="0"/>
              <w:adjustRightInd/>
              <w:snapToGrid/>
              <w:spacing w:line="600" w:lineRule="atLeast"/>
              <w:rPr>
                <w:rFonts w:hint="default" w:ascii="Times New Roman" w:hAnsi="Times New Roman" w:cs="Times New Roman"/>
                <w:i w:val="0"/>
                <w:caps w:val="0"/>
                <w:color w:val="000000"/>
                <w:spacing w:val="0"/>
                <w:sz w:val="19"/>
                <w:szCs w:val="19"/>
              </w:rPr>
            </w:pPr>
          </w:p>
        </w:tc>
        <w:tc>
          <w:tcPr>
            <w:tcW w:w="956" w:type="dxa"/>
            <w:vMerge w:val="continue"/>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21C5A5EB">
            <w:pPr>
              <w:keepNext w:val="0"/>
              <w:keepLines w:val="0"/>
              <w:pageBreakBefore w:val="0"/>
              <w:kinsoku/>
              <w:overflowPunct/>
              <w:topLinePunct w:val="0"/>
              <w:autoSpaceDE/>
              <w:autoSpaceDN/>
              <w:bidi w:val="0"/>
              <w:adjustRightInd/>
              <w:snapToGrid/>
              <w:spacing w:line="600" w:lineRule="atLeast"/>
              <w:rPr>
                <w:rFonts w:hint="default" w:ascii="Times New Roman" w:hAnsi="Times New Roman" w:cs="Times New Roman"/>
                <w:i w:val="0"/>
                <w:caps w:val="0"/>
                <w:color w:val="000000"/>
                <w:spacing w:val="0"/>
                <w:sz w:val="19"/>
                <w:szCs w:val="19"/>
              </w:rPr>
            </w:pPr>
          </w:p>
        </w:tc>
        <w:tc>
          <w:tcPr>
            <w:tcW w:w="2683"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78B474F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left"/>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7.属于行政执法案卷</w:t>
            </w:r>
          </w:p>
        </w:tc>
        <w:tc>
          <w:tcPr>
            <w:tcW w:w="594"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274590F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84"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751837A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11"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4D600FA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82"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75588F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5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124BFA2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67"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52072A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53"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573FF4B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r>
      <w:tr w14:paraId="405F10D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590" w:type="dxa"/>
            <w:vMerge w:val="continue"/>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106F4770">
            <w:pPr>
              <w:keepNext w:val="0"/>
              <w:keepLines w:val="0"/>
              <w:pageBreakBefore w:val="0"/>
              <w:kinsoku/>
              <w:overflowPunct/>
              <w:topLinePunct w:val="0"/>
              <w:autoSpaceDE/>
              <w:autoSpaceDN/>
              <w:bidi w:val="0"/>
              <w:adjustRightInd/>
              <w:snapToGrid/>
              <w:spacing w:line="600" w:lineRule="atLeast"/>
              <w:rPr>
                <w:rFonts w:hint="default" w:ascii="Times New Roman" w:hAnsi="Times New Roman" w:cs="Times New Roman"/>
                <w:i w:val="0"/>
                <w:caps w:val="0"/>
                <w:color w:val="000000"/>
                <w:spacing w:val="0"/>
                <w:sz w:val="19"/>
                <w:szCs w:val="19"/>
              </w:rPr>
            </w:pPr>
          </w:p>
        </w:tc>
        <w:tc>
          <w:tcPr>
            <w:tcW w:w="956" w:type="dxa"/>
            <w:vMerge w:val="continue"/>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70A35E38">
            <w:pPr>
              <w:keepNext w:val="0"/>
              <w:keepLines w:val="0"/>
              <w:pageBreakBefore w:val="0"/>
              <w:kinsoku/>
              <w:overflowPunct/>
              <w:topLinePunct w:val="0"/>
              <w:autoSpaceDE/>
              <w:autoSpaceDN/>
              <w:bidi w:val="0"/>
              <w:adjustRightInd/>
              <w:snapToGrid/>
              <w:spacing w:line="600" w:lineRule="atLeast"/>
              <w:rPr>
                <w:rFonts w:hint="default" w:ascii="Times New Roman" w:hAnsi="Times New Roman" w:cs="Times New Roman"/>
                <w:i w:val="0"/>
                <w:caps w:val="0"/>
                <w:color w:val="000000"/>
                <w:spacing w:val="0"/>
                <w:sz w:val="19"/>
                <w:szCs w:val="19"/>
              </w:rPr>
            </w:pPr>
          </w:p>
        </w:tc>
        <w:tc>
          <w:tcPr>
            <w:tcW w:w="2683"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05A0AD0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left"/>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8.属于行政查询事项</w:t>
            </w:r>
          </w:p>
        </w:tc>
        <w:tc>
          <w:tcPr>
            <w:tcW w:w="594"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03702E7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84"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4BE6F87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11"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56185A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82"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422549F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5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2115A5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67"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14B2ADB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53"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391C89F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r>
      <w:tr w14:paraId="50C50D4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590" w:type="dxa"/>
            <w:vMerge w:val="continue"/>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19BC2E91">
            <w:pPr>
              <w:keepNext w:val="0"/>
              <w:keepLines w:val="0"/>
              <w:pageBreakBefore w:val="0"/>
              <w:kinsoku/>
              <w:overflowPunct/>
              <w:topLinePunct w:val="0"/>
              <w:autoSpaceDE/>
              <w:autoSpaceDN/>
              <w:bidi w:val="0"/>
              <w:adjustRightInd/>
              <w:snapToGrid/>
              <w:spacing w:line="600" w:lineRule="atLeast"/>
              <w:rPr>
                <w:rFonts w:hint="default" w:ascii="Times New Roman" w:hAnsi="Times New Roman" w:cs="Times New Roman"/>
                <w:i w:val="0"/>
                <w:caps w:val="0"/>
                <w:color w:val="000000"/>
                <w:spacing w:val="0"/>
                <w:sz w:val="19"/>
                <w:szCs w:val="19"/>
              </w:rPr>
            </w:pPr>
          </w:p>
        </w:tc>
        <w:tc>
          <w:tcPr>
            <w:tcW w:w="956" w:type="dxa"/>
            <w:vMerge w:val="restart"/>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50D3473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left"/>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（四）无法提供</w:t>
            </w:r>
          </w:p>
        </w:tc>
        <w:tc>
          <w:tcPr>
            <w:tcW w:w="2683"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761D46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left"/>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1.本机关不掌握相关政府信息</w:t>
            </w:r>
          </w:p>
        </w:tc>
        <w:tc>
          <w:tcPr>
            <w:tcW w:w="594"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4BF268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84"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6468A8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11"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4F8B83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82"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13F482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5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4667330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67"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479CFD6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53"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094D744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r>
      <w:tr w14:paraId="70E9CA8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590" w:type="dxa"/>
            <w:vMerge w:val="continue"/>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5B8AEFAA">
            <w:pPr>
              <w:keepNext w:val="0"/>
              <w:keepLines w:val="0"/>
              <w:pageBreakBefore w:val="0"/>
              <w:kinsoku/>
              <w:overflowPunct/>
              <w:topLinePunct w:val="0"/>
              <w:autoSpaceDE/>
              <w:autoSpaceDN/>
              <w:bidi w:val="0"/>
              <w:adjustRightInd/>
              <w:snapToGrid/>
              <w:spacing w:line="600" w:lineRule="atLeast"/>
              <w:rPr>
                <w:rFonts w:hint="default" w:ascii="Times New Roman" w:hAnsi="Times New Roman" w:cs="Times New Roman"/>
                <w:i w:val="0"/>
                <w:caps w:val="0"/>
                <w:color w:val="000000"/>
                <w:spacing w:val="0"/>
                <w:sz w:val="19"/>
                <w:szCs w:val="19"/>
              </w:rPr>
            </w:pPr>
          </w:p>
        </w:tc>
        <w:tc>
          <w:tcPr>
            <w:tcW w:w="956" w:type="dxa"/>
            <w:vMerge w:val="continue"/>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3D805A8D">
            <w:pPr>
              <w:keepNext w:val="0"/>
              <w:keepLines w:val="0"/>
              <w:pageBreakBefore w:val="0"/>
              <w:kinsoku/>
              <w:overflowPunct/>
              <w:topLinePunct w:val="0"/>
              <w:autoSpaceDE/>
              <w:autoSpaceDN/>
              <w:bidi w:val="0"/>
              <w:adjustRightInd/>
              <w:snapToGrid/>
              <w:spacing w:line="600" w:lineRule="atLeast"/>
              <w:rPr>
                <w:rFonts w:hint="default" w:ascii="Times New Roman" w:hAnsi="Times New Roman" w:cs="Times New Roman"/>
                <w:i w:val="0"/>
                <w:caps w:val="0"/>
                <w:color w:val="000000"/>
                <w:spacing w:val="0"/>
                <w:sz w:val="19"/>
                <w:szCs w:val="19"/>
              </w:rPr>
            </w:pPr>
          </w:p>
        </w:tc>
        <w:tc>
          <w:tcPr>
            <w:tcW w:w="2683"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3C50B40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left"/>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2.没有现成信息需要另行制作</w:t>
            </w:r>
          </w:p>
        </w:tc>
        <w:tc>
          <w:tcPr>
            <w:tcW w:w="594"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549E0F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84"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14549D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11"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502567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82"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7CA600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5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1CCBDA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67"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1BEBA68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53"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5AA3B9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r>
      <w:tr w14:paraId="149F9DE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590" w:type="dxa"/>
            <w:vMerge w:val="continue"/>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5DCF36A4">
            <w:pPr>
              <w:keepNext w:val="0"/>
              <w:keepLines w:val="0"/>
              <w:pageBreakBefore w:val="0"/>
              <w:kinsoku/>
              <w:overflowPunct/>
              <w:topLinePunct w:val="0"/>
              <w:autoSpaceDE/>
              <w:autoSpaceDN/>
              <w:bidi w:val="0"/>
              <w:adjustRightInd/>
              <w:snapToGrid/>
              <w:spacing w:line="600" w:lineRule="atLeast"/>
              <w:rPr>
                <w:rFonts w:hint="default" w:ascii="Times New Roman" w:hAnsi="Times New Roman" w:cs="Times New Roman"/>
                <w:i w:val="0"/>
                <w:caps w:val="0"/>
                <w:color w:val="000000"/>
                <w:spacing w:val="0"/>
                <w:sz w:val="19"/>
                <w:szCs w:val="19"/>
              </w:rPr>
            </w:pPr>
          </w:p>
        </w:tc>
        <w:tc>
          <w:tcPr>
            <w:tcW w:w="956" w:type="dxa"/>
            <w:vMerge w:val="continue"/>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218555D8">
            <w:pPr>
              <w:keepNext w:val="0"/>
              <w:keepLines w:val="0"/>
              <w:pageBreakBefore w:val="0"/>
              <w:kinsoku/>
              <w:overflowPunct/>
              <w:topLinePunct w:val="0"/>
              <w:autoSpaceDE/>
              <w:autoSpaceDN/>
              <w:bidi w:val="0"/>
              <w:adjustRightInd/>
              <w:snapToGrid/>
              <w:spacing w:line="600" w:lineRule="atLeast"/>
              <w:rPr>
                <w:rFonts w:hint="default" w:ascii="Times New Roman" w:hAnsi="Times New Roman" w:cs="Times New Roman"/>
                <w:i w:val="0"/>
                <w:caps w:val="0"/>
                <w:color w:val="000000"/>
                <w:spacing w:val="0"/>
                <w:sz w:val="19"/>
                <w:szCs w:val="19"/>
              </w:rPr>
            </w:pPr>
          </w:p>
        </w:tc>
        <w:tc>
          <w:tcPr>
            <w:tcW w:w="2683"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250728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left"/>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3.补正后申请内容仍不明确</w:t>
            </w:r>
          </w:p>
        </w:tc>
        <w:tc>
          <w:tcPr>
            <w:tcW w:w="594"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63B9F00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84"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3238F2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11"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26717F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82"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3929876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5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2F7808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67"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171C93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53"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582AB5B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r>
      <w:tr w14:paraId="6CFE576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590" w:type="dxa"/>
            <w:vMerge w:val="continue"/>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183F0089">
            <w:pPr>
              <w:keepNext w:val="0"/>
              <w:keepLines w:val="0"/>
              <w:pageBreakBefore w:val="0"/>
              <w:kinsoku/>
              <w:overflowPunct/>
              <w:topLinePunct w:val="0"/>
              <w:autoSpaceDE/>
              <w:autoSpaceDN/>
              <w:bidi w:val="0"/>
              <w:adjustRightInd/>
              <w:snapToGrid/>
              <w:spacing w:line="600" w:lineRule="atLeast"/>
              <w:rPr>
                <w:rFonts w:hint="default" w:ascii="Times New Roman" w:hAnsi="Times New Roman" w:cs="Times New Roman"/>
                <w:i w:val="0"/>
                <w:caps w:val="0"/>
                <w:color w:val="000000"/>
                <w:spacing w:val="0"/>
                <w:sz w:val="19"/>
                <w:szCs w:val="19"/>
              </w:rPr>
            </w:pPr>
          </w:p>
        </w:tc>
        <w:tc>
          <w:tcPr>
            <w:tcW w:w="956" w:type="dxa"/>
            <w:vMerge w:val="restart"/>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031E6FC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left"/>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（五）不予处理</w:t>
            </w:r>
          </w:p>
        </w:tc>
        <w:tc>
          <w:tcPr>
            <w:tcW w:w="2683"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09C9AA8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left"/>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1.信访举报投诉类申请</w:t>
            </w:r>
          </w:p>
        </w:tc>
        <w:tc>
          <w:tcPr>
            <w:tcW w:w="594"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3EA508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84"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3E5BB3C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11"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4FCCFEC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82"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5EF852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5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4BFCF7B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67"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0CF826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53"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2346F1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r>
      <w:tr w14:paraId="413C4DE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590" w:type="dxa"/>
            <w:vMerge w:val="continue"/>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35CC8658">
            <w:pPr>
              <w:keepNext w:val="0"/>
              <w:keepLines w:val="0"/>
              <w:pageBreakBefore w:val="0"/>
              <w:kinsoku/>
              <w:overflowPunct/>
              <w:topLinePunct w:val="0"/>
              <w:autoSpaceDE/>
              <w:autoSpaceDN/>
              <w:bidi w:val="0"/>
              <w:adjustRightInd/>
              <w:snapToGrid/>
              <w:spacing w:line="600" w:lineRule="atLeast"/>
              <w:rPr>
                <w:rFonts w:hint="default" w:ascii="Times New Roman" w:hAnsi="Times New Roman" w:cs="Times New Roman"/>
                <w:i w:val="0"/>
                <w:caps w:val="0"/>
                <w:color w:val="000000"/>
                <w:spacing w:val="0"/>
                <w:sz w:val="19"/>
                <w:szCs w:val="19"/>
              </w:rPr>
            </w:pPr>
          </w:p>
        </w:tc>
        <w:tc>
          <w:tcPr>
            <w:tcW w:w="956" w:type="dxa"/>
            <w:vMerge w:val="continue"/>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58DB37D9">
            <w:pPr>
              <w:keepNext w:val="0"/>
              <w:keepLines w:val="0"/>
              <w:pageBreakBefore w:val="0"/>
              <w:kinsoku/>
              <w:overflowPunct/>
              <w:topLinePunct w:val="0"/>
              <w:autoSpaceDE/>
              <w:autoSpaceDN/>
              <w:bidi w:val="0"/>
              <w:adjustRightInd/>
              <w:snapToGrid/>
              <w:spacing w:line="600" w:lineRule="atLeast"/>
              <w:rPr>
                <w:rFonts w:hint="default" w:ascii="Times New Roman" w:hAnsi="Times New Roman" w:cs="Times New Roman"/>
                <w:i w:val="0"/>
                <w:caps w:val="0"/>
                <w:color w:val="000000"/>
                <w:spacing w:val="0"/>
                <w:sz w:val="19"/>
                <w:szCs w:val="19"/>
              </w:rPr>
            </w:pPr>
          </w:p>
        </w:tc>
        <w:tc>
          <w:tcPr>
            <w:tcW w:w="2683"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6E3037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left"/>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2.重复申请</w:t>
            </w:r>
          </w:p>
        </w:tc>
        <w:tc>
          <w:tcPr>
            <w:tcW w:w="594"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15DDEEC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84"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35A824C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11"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238946D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82"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449527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5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3D1FE27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67"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5F5AF8A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53"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188F73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r>
      <w:tr w14:paraId="19891CA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590" w:type="dxa"/>
            <w:vMerge w:val="continue"/>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15D64FC7">
            <w:pPr>
              <w:keepNext w:val="0"/>
              <w:keepLines w:val="0"/>
              <w:pageBreakBefore w:val="0"/>
              <w:kinsoku/>
              <w:overflowPunct/>
              <w:topLinePunct w:val="0"/>
              <w:autoSpaceDE/>
              <w:autoSpaceDN/>
              <w:bidi w:val="0"/>
              <w:adjustRightInd/>
              <w:snapToGrid/>
              <w:spacing w:line="600" w:lineRule="atLeast"/>
              <w:rPr>
                <w:rFonts w:hint="default" w:ascii="Times New Roman" w:hAnsi="Times New Roman" w:cs="Times New Roman"/>
                <w:i w:val="0"/>
                <w:caps w:val="0"/>
                <w:color w:val="000000"/>
                <w:spacing w:val="0"/>
                <w:sz w:val="19"/>
                <w:szCs w:val="19"/>
              </w:rPr>
            </w:pPr>
          </w:p>
        </w:tc>
        <w:tc>
          <w:tcPr>
            <w:tcW w:w="956" w:type="dxa"/>
            <w:vMerge w:val="continue"/>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3B300EE4">
            <w:pPr>
              <w:keepNext w:val="0"/>
              <w:keepLines w:val="0"/>
              <w:pageBreakBefore w:val="0"/>
              <w:kinsoku/>
              <w:overflowPunct/>
              <w:topLinePunct w:val="0"/>
              <w:autoSpaceDE/>
              <w:autoSpaceDN/>
              <w:bidi w:val="0"/>
              <w:adjustRightInd/>
              <w:snapToGrid/>
              <w:spacing w:line="600" w:lineRule="atLeast"/>
              <w:rPr>
                <w:rFonts w:hint="default" w:ascii="Times New Roman" w:hAnsi="Times New Roman" w:cs="Times New Roman"/>
                <w:i w:val="0"/>
                <w:caps w:val="0"/>
                <w:color w:val="000000"/>
                <w:spacing w:val="0"/>
                <w:sz w:val="19"/>
                <w:szCs w:val="19"/>
              </w:rPr>
            </w:pPr>
          </w:p>
        </w:tc>
        <w:tc>
          <w:tcPr>
            <w:tcW w:w="2683"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12EBA25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left"/>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3.要求提供公开出版物</w:t>
            </w:r>
          </w:p>
        </w:tc>
        <w:tc>
          <w:tcPr>
            <w:tcW w:w="594"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2DABB4F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84"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0C7986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11"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6DF6F77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82"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73C5DD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5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0CFA826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67"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28263C5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53"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128F7FD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r>
      <w:tr w14:paraId="36E0BF8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590" w:type="dxa"/>
            <w:vMerge w:val="continue"/>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5AB6A260">
            <w:pPr>
              <w:keepNext w:val="0"/>
              <w:keepLines w:val="0"/>
              <w:pageBreakBefore w:val="0"/>
              <w:kinsoku/>
              <w:overflowPunct/>
              <w:topLinePunct w:val="0"/>
              <w:autoSpaceDE/>
              <w:autoSpaceDN/>
              <w:bidi w:val="0"/>
              <w:adjustRightInd/>
              <w:snapToGrid/>
              <w:spacing w:line="600" w:lineRule="atLeast"/>
              <w:rPr>
                <w:rFonts w:hint="default" w:ascii="Times New Roman" w:hAnsi="Times New Roman" w:cs="Times New Roman"/>
                <w:i w:val="0"/>
                <w:caps w:val="0"/>
                <w:color w:val="000000"/>
                <w:spacing w:val="0"/>
                <w:sz w:val="19"/>
                <w:szCs w:val="19"/>
              </w:rPr>
            </w:pPr>
          </w:p>
        </w:tc>
        <w:tc>
          <w:tcPr>
            <w:tcW w:w="956" w:type="dxa"/>
            <w:vMerge w:val="continue"/>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063EBEAA">
            <w:pPr>
              <w:keepNext w:val="0"/>
              <w:keepLines w:val="0"/>
              <w:pageBreakBefore w:val="0"/>
              <w:kinsoku/>
              <w:overflowPunct/>
              <w:topLinePunct w:val="0"/>
              <w:autoSpaceDE/>
              <w:autoSpaceDN/>
              <w:bidi w:val="0"/>
              <w:adjustRightInd/>
              <w:snapToGrid/>
              <w:spacing w:line="600" w:lineRule="atLeast"/>
              <w:rPr>
                <w:rFonts w:hint="default" w:ascii="Times New Roman" w:hAnsi="Times New Roman" w:cs="Times New Roman"/>
                <w:i w:val="0"/>
                <w:caps w:val="0"/>
                <w:color w:val="000000"/>
                <w:spacing w:val="0"/>
                <w:sz w:val="19"/>
                <w:szCs w:val="19"/>
              </w:rPr>
            </w:pPr>
          </w:p>
        </w:tc>
        <w:tc>
          <w:tcPr>
            <w:tcW w:w="2683"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7315F97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left"/>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4.无正当理由大量反复申请</w:t>
            </w:r>
          </w:p>
        </w:tc>
        <w:tc>
          <w:tcPr>
            <w:tcW w:w="594"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717FB0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84"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5CC5A8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11"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286AE9B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82"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370666A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5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34947DE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67"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2B1A984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53"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649728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r>
      <w:tr w14:paraId="0A3E1B6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590" w:type="dxa"/>
            <w:vMerge w:val="continue"/>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58C12AD4">
            <w:pPr>
              <w:keepNext w:val="0"/>
              <w:keepLines w:val="0"/>
              <w:pageBreakBefore w:val="0"/>
              <w:kinsoku/>
              <w:overflowPunct/>
              <w:topLinePunct w:val="0"/>
              <w:autoSpaceDE/>
              <w:autoSpaceDN/>
              <w:bidi w:val="0"/>
              <w:adjustRightInd/>
              <w:snapToGrid/>
              <w:spacing w:line="600" w:lineRule="atLeast"/>
              <w:rPr>
                <w:rFonts w:hint="default" w:ascii="Times New Roman" w:hAnsi="Times New Roman" w:cs="Times New Roman"/>
                <w:i w:val="0"/>
                <w:caps w:val="0"/>
                <w:color w:val="000000"/>
                <w:spacing w:val="0"/>
                <w:sz w:val="19"/>
                <w:szCs w:val="19"/>
              </w:rPr>
            </w:pPr>
          </w:p>
        </w:tc>
        <w:tc>
          <w:tcPr>
            <w:tcW w:w="956" w:type="dxa"/>
            <w:vMerge w:val="continue"/>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1B50F638">
            <w:pPr>
              <w:keepNext w:val="0"/>
              <w:keepLines w:val="0"/>
              <w:pageBreakBefore w:val="0"/>
              <w:kinsoku/>
              <w:overflowPunct/>
              <w:topLinePunct w:val="0"/>
              <w:autoSpaceDE/>
              <w:autoSpaceDN/>
              <w:bidi w:val="0"/>
              <w:adjustRightInd/>
              <w:snapToGrid/>
              <w:spacing w:line="600" w:lineRule="atLeast"/>
              <w:rPr>
                <w:rFonts w:hint="default" w:ascii="Times New Roman" w:hAnsi="Times New Roman" w:cs="Times New Roman"/>
                <w:i w:val="0"/>
                <w:caps w:val="0"/>
                <w:color w:val="000000"/>
                <w:spacing w:val="0"/>
                <w:sz w:val="19"/>
                <w:szCs w:val="19"/>
              </w:rPr>
            </w:pPr>
          </w:p>
        </w:tc>
        <w:tc>
          <w:tcPr>
            <w:tcW w:w="2683"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554CCAC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left"/>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5.要求行政机关确认或重新出具已获取信息</w:t>
            </w:r>
          </w:p>
        </w:tc>
        <w:tc>
          <w:tcPr>
            <w:tcW w:w="594"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715968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84"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192444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11"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0C3BBB8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82"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30BEF6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5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6A6625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67"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75E91C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53"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6DEC5F5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r>
      <w:tr w14:paraId="3C2814F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590" w:type="dxa"/>
            <w:vMerge w:val="continue"/>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7C5A77F3">
            <w:pPr>
              <w:keepNext w:val="0"/>
              <w:keepLines w:val="0"/>
              <w:pageBreakBefore w:val="0"/>
              <w:kinsoku/>
              <w:overflowPunct/>
              <w:topLinePunct w:val="0"/>
              <w:autoSpaceDE/>
              <w:autoSpaceDN/>
              <w:bidi w:val="0"/>
              <w:adjustRightInd/>
              <w:snapToGrid/>
              <w:spacing w:line="600" w:lineRule="atLeast"/>
              <w:rPr>
                <w:rFonts w:hint="default" w:ascii="Times New Roman" w:hAnsi="Times New Roman" w:cs="Times New Roman"/>
                <w:i w:val="0"/>
                <w:caps w:val="0"/>
                <w:color w:val="000000"/>
                <w:spacing w:val="0"/>
                <w:sz w:val="19"/>
                <w:szCs w:val="19"/>
              </w:rPr>
            </w:pPr>
          </w:p>
        </w:tc>
        <w:tc>
          <w:tcPr>
            <w:tcW w:w="956" w:type="dxa"/>
            <w:vMerge w:val="restart"/>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14:paraId="480E65B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left"/>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（六）其他处理</w:t>
            </w:r>
          </w:p>
        </w:tc>
        <w:tc>
          <w:tcPr>
            <w:tcW w:w="2683"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78CBF4E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left"/>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1.申请人无正当理由逾期不补正、行政机关不再处理其政府信息公开申请</w:t>
            </w:r>
          </w:p>
        </w:tc>
        <w:tc>
          <w:tcPr>
            <w:tcW w:w="594"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425A7C0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84"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308B461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11"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7312209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82"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414A92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5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109D22A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67"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69F73FF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53"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25B4992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r>
      <w:tr w14:paraId="6DC15FA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590" w:type="dxa"/>
            <w:vMerge w:val="continue"/>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459C730E">
            <w:pPr>
              <w:keepNext w:val="0"/>
              <w:keepLines w:val="0"/>
              <w:pageBreakBefore w:val="0"/>
              <w:kinsoku/>
              <w:overflowPunct/>
              <w:topLinePunct w:val="0"/>
              <w:autoSpaceDE/>
              <w:autoSpaceDN/>
              <w:bidi w:val="0"/>
              <w:adjustRightInd/>
              <w:snapToGrid/>
              <w:spacing w:line="600" w:lineRule="atLeast"/>
              <w:rPr>
                <w:rFonts w:hint="default" w:ascii="Times New Roman" w:hAnsi="Times New Roman" w:cs="Times New Roman"/>
                <w:i w:val="0"/>
                <w:caps w:val="0"/>
                <w:color w:val="000000"/>
                <w:spacing w:val="0"/>
                <w:sz w:val="19"/>
                <w:szCs w:val="19"/>
              </w:rPr>
            </w:pPr>
          </w:p>
        </w:tc>
        <w:tc>
          <w:tcPr>
            <w:tcW w:w="956" w:type="dxa"/>
            <w:vMerge w:val="continue"/>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14:paraId="3A9B7A11">
            <w:pPr>
              <w:keepNext w:val="0"/>
              <w:keepLines w:val="0"/>
              <w:pageBreakBefore w:val="0"/>
              <w:kinsoku/>
              <w:overflowPunct/>
              <w:topLinePunct w:val="0"/>
              <w:autoSpaceDE/>
              <w:autoSpaceDN/>
              <w:bidi w:val="0"/>
              <w:adjustRightInd/>
              <w:snapToGrid/>
              <w:spacing w:line="600" w:lineRule="atLeast"/>
              <w:rPr>
                <w:rFonts w:hint="default" w:ascii="Times New Roman" w:hAnsi="Times New Roman" w:cs="Times New Roman"/>
                <w:i w:val="0"/>
                <w:caps w:val="0"/>
                <w:color w:val="000000"/>
                <w:spacing w:val="0"/>
                <w:sz w:val="19"/>
                <w:szCs w:val="19"/>
              </w:rPr>
            </w:pPr>
          </w:p>
        </w:tc>
        <w:tc>
          <w:tcPr>
            <w:tcW w:w="2683"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2B4D690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left"/>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2.申请人逾期未按通知要求缴纳费用、行政机关不再处理其政府信息公开申请</w:t>
            </w:r>
          </w:p>
        </w:tc>
        <w:tc>
          <w:tcPr>
            <w:tcW w:w="594"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3AFAEAE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84"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6F3A8A4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11"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05E095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82"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79DA8E3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5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287E810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67"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585A13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53"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76D1A5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r>
      <w:tr w14:paraId="285B6C9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590" w:type="dxa"/>
            <w:vMerge w:val="continue"/>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2A4421EF">
            <w:pPr>
              <w:keepNext w:val="0"/>
              <w:keepLines w:val="0"/>
              <w:pageBreakBefore w:val="0"/>
              <w:kinsoku/>
              <w:overflowPunct/>
              <w:topLinePunct w:val="0"/>
              <w:autoSpaceDE/>
              <w:autoSpaceDN/>
              <w:bidi w:val="0"/>
              <w:adjustRightInd/>
              <w:snapToGrid/>
              <w:spacing w:line="600" w:lineRule="atLeast"/>
              <w:rPr>
                <w:rFonts w:hint="default" w:ascii="Times New Roman" w:hAnsi="Times New Roman" w:cs="Times New Roman"/>
                <w:i w:val="0"/>
                <w:caps w:val="0"/>
                <w:color w:val="000000"/>
                <w:spacing w:val="0"/>
                <w:sz w:val="19"/>
                <w:szCs w:val="19"/>
              </w:rPr>
            </w:pPr>
          </w:p>
        </w:tc>
        <w:tc>
          <w:tcPr>
            <w:tcW w:w="956"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11703960">
            <w:pPr>
              <w:keepNext w:val="0"/>
              <w:keepLines w:val="0"/>
              <w:pageBreakBefore w:val="0"/>
              <w:widowControl/>
              <w:suppressLineNumbers w:val="0"/>
              <w:kinsoku/>
              <w:wordWrap w:val="0"/>
              <w:overflowPunct/>
              <w:topLinePunct w:val="0"/>
              <w:autoSpaceDE/>
              <w:autoSpaceDN/>
              <w:bidi w:val="0"/>
              <w:adjustRightInd/>
              <w:snapToGrid/>
              <w:spacing w:line="600" w:lineRule="atLeast"/>
              <w:ind w:left="0" w:firstLine="0"/>
              <w:jc w:val="left"/>
              <w:textAlignment w:val="center"/>
              <w:rPr>
                <w:rFonts w:hint="default" w:ascii="Times New Roman" w:hAnsi="Times New Roman" w:cs="Times New Roman"/>
                <w:i w:val="0"/>
                <w:caps w:val="0"/>
                <w:color w:val="000000"/>
                <w:spacing w:val="0"/>
                <w:sz w:val="19"/>
                <w:szCs w:val="19"/>
              </w:rPr>
            </w:pPr>
          </w:p>
        </w:tc>
        <w:tc>
          <w:tcPr>
            <w:tcW w:w="2683"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270224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left"/>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3.其他</w:t>
            </w:r>
          </w:p>
        </w:tc>
        <w:tc>
          <w:tcPr>
            <w:tcW w:w="594"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407DCE5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84"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738647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11"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26FF57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82"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5E07C54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5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60AE0C5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67"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3B5D67F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53"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79C17CD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r>
      <w:tr w14:paraId="1C30161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590" w:type="dxa"/>
            <w:vMerge w:val="continue"/>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32E5D52F">
            <w:pPr>
              <w:keepNext w:val="0"/>
              <w:keepLines w:val="0"/>
              <w:pageBreakBefore w:val="0"/>
              <w:kinsoku/>
              <w:overflowPunct/>
              <w:topLinePunct w:val="0"/>
              <w:autoSpaceDE/>
              <w:autoSpaceDN/>
              <w:bidi w:val="0"/>
              <w:adjustRightInd/>
              <w:snapToGrid/>
              <w:spacing w:line="600" w:lineRule="atLeast"/>
              <w:rPr>
                <w:rFonts w:hint="default" w:ascii="Times New Roman" w:hAnsi="Times New Roman" w:cs="Times New Roman"/>
                <w:i w:val="0"/>
                <w:caps w:val="0"/>
                <w:color w:val="000000"/>
                <w:spacing w:val="0"/>
                <w:sz w:val="19"/>
                <w:szCs w:val="19"/>
              </w:rPr>
            </w:pPr>
          </w:p>
        </w:tc>
        <w:tc>
          <w:tcPr>
            <w:tcW w:w="3639" w:type="dxa"/>
            <w:gridSpan w:val="2"/>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4A32864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（七）总计</w:t>
            </w:r>
          </w:p>
        </w:tc>
        <w:tc>
          <w:tcPr>
            <w:tcW w:w="594"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09EF7AF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84"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7AEE2B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11"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1553C3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82"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0FF1DD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5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0D7DE94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67"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34041E7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53"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511658C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r>
      <w:tr w14:paraId="32C7754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4229" w:type="dxa"/>
            <w:gridSpan w:val="3"/>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0986ED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四、结转下年度继续办理</w:t>
            </w:r>
          </w:p>
        </w:tc>
        <w:tc>
          <w:tcPr>
            <w:tcW w:w="594"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0100262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84"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2151342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11"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79E489A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82"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4234340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755"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06BCD4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67"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0B11F5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c>
          <w:tcPr>
            <w:tcW w:w="653" w:type="dxa"/>
            <w:tcBorders>
              <w:top w:val="single" w:color="000000" w:sz="6" w:space="0"/>
              <w:left w:val="single" w:color="000000" w:sz="6" w:space="0"/>
              <w:bottom w:val="single" w:color="000000" w:sz="6" w:space="0"/>
              <w:right w:val="single" w:color="000000" w:sz="6" w:space="0"/>
            </w:tcBorders>
            <w:noWrap w:val="0"/>
            <w:tcMar>
              <w:top w:w="75" w:type="dxa"/>
              <w:left w:w="105" w:type="dxa"/>
              <w:bottom w:w="75" w:type="dxa"/>
              <w:right w:w="105" w:type="dxa"/>
            </w:tcMar>
            <w:vAlign w:val="center"/>
          </w:tcPr>
          <w:p w14:paraId="0D5E67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leftChars="0" w:right="0" w:rightChars="0"/>
              <w:jc w:val="left"/>
              <w:rPr>
                <w:rFonts w:hint="default" w:ascii="Times New Roman" w:hAnsi="Times New Roman" w:eastAsia="sans-serif" w:cs="Times New Roman"/>
                <w:kern w:val="0"/>
                <w:sz w:val="24"/>
                <w:szCs w:val="24"/>
                <w:lang w:val="en-US" w:eastAsia="zh-CN" w:bidi="ar"/>
              </w:rPr>
            </w:pPr>
            <w:r>
              <w:rPr>
                <w:rFonts w:hint="default" w:ascii="Times New Roman" w:hAnsi="Times New Roman" w:eastAsia="sans-serif" w:cs="Times New Roman"/>
                <w:lang w:val="en-US" w:eastAsia="zh-CN"/>
              </w:rPr>
              <w:t>0</w:t>
            </w:r>
          </w:p>
        </w:tc>
      </w:tr>
    </w:tbl>
    <w:p w14:paraId="1A056C05">
      <w:pPr>
        <w:keepNext w:val="0"/>
        <w:keepLines w:val="0"/>
        <w:pageBreakBefore w:val="0"/>
        <w:kinsoku/>
        <w:overflowPunct/>
        <w:topLinePunct w:val="0"/>
        <w:autoSpaceDE/>
        <w:autoSpaceDN/>
        <w:bidi w:val="0"/>
        <w:adjustRightInd/>
        <w:snapToGrid/>
        <w:spacing w:line="600" w:lineRule="atLeast"/>
        <w:ind w:firstLine="640" w:firstLineChars="200"/>
        <w:jc w:val="left"/>
        <w:rPr>
          <w:rFonts w:hint="default" w:ascii="Times New Roman" w:hAnsi="Times New Roman" w:eastAsia="文星黑体" w:cs="Times New Roman"/>
          <w:bCs/>
          <w:sz w:val="32"/>
          <w:szCs w:val="28"/>
        </w:rPr>
      </w:pPr>
      <w:r>
        <w:rPr>
          <w:rFonts w:hint="default" w:ascii="Times New Roman" w:hAnsi="Times New Roman" w:eastAsia="文星黑体" w:cs="Times New Roman"/>
          <w:bCs/>
          <w:sz w:val="32"/>
          <w:szCs w:val="28"/>
        </w:rPr>
        <w:t>四、政府信息公开行政复议、行政诉讼情况</w:t>
      </w:r>
    </w:p>
    <w:tbl>
      <w:tblPr>
        <w:tblStyle w:val="6"/>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596"/>
        <w:gridCol w:w="596"/>
        <w:gridCol w:w="596"/>
        <w:gridCol w:w="596"/>
        <w:gridCol w:w="729"/>
        <w:gridCol w:w="552"/>
        <w:gridCol w:w="596"/>
        <w:gridCol w:w="596"/>
        <w:gridCol w:w="596"/>
        <w:gridCol w:w="611"/>
        <w:gridCol w:w="596"/>
        <w:gridCol w:w="596"/>
        <w:gridCol w:w="596"/>
        <w:gridCol w:w="596"/>
        <w:gridCol w:w="627"/>
      </w:tblGrid>
      <w:tr w14:paraId="5A9D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3135" w:type="dxa"/>
            <w:gridSpan w:val="5"/>
            <w:noWrap w:val="0"/>
            <w:tcMar>
              <w:top w:w="75" w:type="dxa"/>
              <w:left w:w="105" w:type="dxa"/>
              <w:bottom w:w="75" w:type="dxa"/>
              <w:right w:w="105" w:type="dxa"/>
            </w:tcMar>
            <w:vAlign w:val="center"/>
          </w:tcPr>
          <w:p w14:paraId="3B2B483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行政复议</w:t>
            </w:r>
          </w:p>
        </w:tc>
        <w:tc>
          <w:tcPr>
            <w:tcW w:w="5925" w:type="dxa"/>
            <w:gridSpan w:val="10"/>
            <w:noWrap w:val="0"/>
            <w:tcMar>
              <w:top w:w="75" w:type="dxa"/>
              <w:left w:w="105" w:type="dxa"/>
              <w:bottom w:w="75" w:type="dxa"/>
              <w:right w:w="105" w:type="dxa"/>
            </w:tcMar>
            <w:vAlign w:val="center"/>
          </w:tcPr>
          <w:p w14:paraId="08EFFBC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行政诉讼</w:t>
            </w:r>
          </w:p>
        </w:tc>
      </w:tr>
      <w:tr w14:paraId="0547A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600" w:type="dxa"/>
            <w:vMerge w:val="restart"/>
            <w:noWrap w:val="0"/>
            <w:tcMar>
              <w:top w:w="75" w:type="dxa"/>
              <w:left w:w="105" w:type="dxa"/>
              <w:bottom w:w="75" w:type="dxa"/>
              <w:right w:w="105" w:type="dxa"/>
            </w:tcMar>
            <w:vAlign w:val="center"/>
          </w:tcPr>
          <w:p w14:paraId="11CC20F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结果维持</w:t>
            </w:r>
          </w:p>
        </w:tc>
        <w:tc>
          <w:tcPr>
            <w:tcW w:w="600" w:type="dxa"/>
            <w:vMerge w:val="restart"/>
            <w:noWrap w:val="0"/>
            <w:tcMar>
              <w:top w:w="75" w:type="dxa"/>
              <w:left w:w="105" w:type="dxa"/>
              <w:bottom w:w="75" w:type="dxa"/>
              <w:right w:w="105" w:type="dxa"/>
            </w:tcMar>
            <w:vAlign w:val="center"/>
          </w:tcPr>
          <w:p w14:paraId="1CF580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结果纠正</w:t>
            </w:r>
          </w:p>
        </w:tc>
        <w:tc>
          <w:tcPr>
            <w:tcW w:w="600" w:type="dxa"/>
            <w:vMerge w:val="restart"/>
            <w:noWrap w:val="0"/>
            <w:tcMar>
              <w:top w:w="75" w:type="dxa"/>
              <w:left w:w="105" w:type="dxa"/>
              <w:bottom w:w="75" w:type="dxa"/>
              <w:right w:w="105" w:type="dxa"/>
            </w:tcMar>
            <w:vAlign w:val="center"/>
          </w:tcPr>
          <w:p w14:paraId="555D53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其他结果</w:t>
            </w:r>
          </w:p>
        </w:tc>
        <w:tc>
          <w:tcPr>
            <w:tcW w:w="600" w:type="dxa"/>
            <w:vMerge w:val="restart"/>
            <w:noWrap w:val="0"/>
            <w:tcMar>
              <w:top w:w="75" w:type="dxa"/>
              <w:left w:w="105" w:type="dxa"/>
              <w:bottom w:w="75" w:type="dxa"/>
              <w:right w:w="105" w:type="dxa"/>
            </w:tcMar>
            <w:vAlign w:val="center"/>
          </w:tcPr>
          <w:p w14:paraId="11012C3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尚未审结</w:t>
            </w:r>
          </w:p>
        </w:tc>
        <w:tc>
          <w:tcPr>
            <w:tcW w:w="660" w:type="dxa"/>
            <w:vMerge w:val="restart"/>
            <w:noWrap w:val="0"/>
            <w:tcMar>
              <w:top w:w="75" w:type="dxa"/>
              <w:left w:w="105" w:type="dxa"/>
              <w:bottom w:w="75" w:type="dxa"/>
              <w:right w:w="105" w:type="dxa"/>
            </w:tcMar>
            <w:vAlign w:val="center"/>
          </w:tcPr>
          <w:p w14:paraId="53442E9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总计</w:t>
            </w:r>
          </w:p>
        </w:tc>
        <w:tc>
          <w:tcPr>
            <w:tcW w:w="2970" w:type="dxa"/>
            <w:gridSpan w:val="5"/>
            <w:noWrap w:val="0"/>
            <w:tcMar>
              <w:top w:w="75" w:type="dxa"/>
              <w:left w:w="105" w:type="dxa"/>
              <w:bottom w:w="75" w:type="dxa"/>
              <w:right w:w="105" w:type="dxa"/>
            </w:tcMar>
            <w:vAlign w:val="center"/>
          </w:tcPr>
          <w:p w14:paraId="0363094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未经复议直接起诉</w:t>
            </w:r>
          </w:p>
        </w:tc>
        <w:tc>
          <w:tcPr>
            <w:tcW w:w="3030" w:type="dxa"/>
            <w:gridSpan w:val="5"/>
            <w:noWrap w:val="0"/>
            <w:tcMar>
              <w:top w:w="75" w:type="dxa"/>
              <w:left w:w="105" w:type="dxa"/>
              <w:bottom w:w="75" w:type="dxa"/>
              <w:right w:w="105" w:type="dxa"/>
            </w:tcMar>
            <w:vAlign w:val="center"/>
          </w:tcPr>
          <w:p w14:paraId="7CFD48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复议后起诉</w:t>
            </w:r>
          </w:p>
        </w:tc>
      </w:tr>
      <w:tr w14:paraId="5DE25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600" w:type="dxa"/>
            <w:vMerge w:val="continue"/>
            <w:noWrap w:val="0"/>
            <w:tcMar>
              <w:top w:w="75" w:type="dxa"/>
              <w:left w:w="105" w:type="dxa"/>
              <w:bottom w:w="75" w:type="dxa"/>
              <w:right w:w="105" w:type="dxa"/>
            </w:tcMar>
            <w:vAlign w:val="center"/>
          </w:tcPr>
          <w:p w14:paraId="5DF2A2CA">
            <w:pPr>
              <w:keepNext w:val="0"/>
              <w:keepLines w:val="0"/>
              <w:pageBreakBefore w:val="0"/>
              <w:kinsoku/>
              <w:overflowPunct/>
              <w:topLinePunct w:val="0"/>
              <w:autoSpaceDE/>
              <w:autoSpaceDN/>
              <w:bidi w:val="0"/>
              <w:adjustRightInd/>
              <w:snapToGrid/>
              <w:spacing w:line="600" w:lineRule="atLeast"/>
              <w:jc w:val="center"/>
              <w:rPr>
                <w:rFonts w:hint="default" w:ascii="Times New Roman" w:hAnsi="Times New Roman" w:cs="Times New Roman"/>
                <w:i w:val="0"/>
                <w:caps w:val="0"/>
                <w:color w:val="000000"/>
                <w:spacing w:val="0"/>
                <w:sz w:val="19"/>
                <w:szCs w:val="19"/>
              </w:rPr>
            </w:pPr>
          </w:p>
        </w:tc>
        <w:tc>
          <w:tcPr>
            <w:tcW w:w="600" w:type="dxa"/>
            <w:vMerge w:val="continue"/>
            <w:noWrap w:val="0"/>
            <w:tcMar>
              <w:top w:w="75" w:type="dxa"/>
              <w:left w:w="105" w:type="dxa"/>
              <w:bottom w:w="75" w:type="dxa"/>
              <w:right w:w="105" w:type="dxa"/>
            </w:tcMar>
            <w:vAlign w:val="center"/>
          </w:tcPr>
          <w:p w14:paraId="620D5AE3">
            <w:pPr>
              <w:keepNext w:val="0"/>
              <w:keepLines w:val="0"/>
              <w:pageBreakBefore w:val="0"/>
              <w:kinsoku/>
              <w:overflowPunct/>
              <w:topLinePunct w:val="0"/>
              <w:autoSpaceDE/>
              <w:autoSpaceDN/>
              <w:bidi w:val="0"/>
              <w:adjustRightInd/>
              <w:snapToGrid/>
              <w:spacing w:line="600" w:lineRule="atLeast"/>
              <w:jc w:val="center"/>
              <w:rPr>
                <w:rFonts w:hint="default" w:ascii="Times New Roman" w:hAnsi="Times New Roman" w:cs="Times New Roman"/>
                <w:i w:val="0"/>
                <w:caps w:val="0"/>
                <w:color w:val="000000"/>
                <w:spacing w:val="0"/>
                <w:sz w:val="19"/>
                <w:szCs w:val="19"/>
              </w:rPr>
            </w:pPr>
          </w:p>
        </w:tc>
        <w:tc>
          <w:tcPr>
            <w:tcW w:w="600" w:type="dxa"/>
            <w:vMerge w:val="continue"/>
            <w:noWrap w:val="0"/>
            <w:tcMar>
              <w:top w:w="75" w:type="dxa"/>
              <w:left w:w="105" w:type="dxa"/>
              <w:bottom w:w="75" w:type="dxa"/>
              <w:right w:w="105" w:type="dxa"/>
            </w:tcMar>
            <w:vAlign w:val="center"/>
          </w:tcPr>
          <w:p w14:paraId="3102B663">
            <w:pPr>
              <w:keepNext w:val="0"/>
              <w:keepLines w:val="0"/>
              <w:pageBreakBefore w:val="0"/>
              <w:kinsoku/>
              <w:overflowPunct/>
              <w:topLinePunct w:val="0"/>
              <w:autoSpaceDE/>
              <w:autoSpaceDN/>
              <w:bidi w:val="0"/>
              <w:adjustRightInd/>
              <w:snapToGrid/>
              <w:spacing w:line="600" w:lineRule="atLeast"/>
              <w:jc w:val="center"/>
              <w:rPr>
                <w:rFonts w:hint="default" w:ascii="Times New Roman" w:hAnsi="Times New Roman" w:cs="Times New Roman"/>
                <w:i w:val="0"/>
                <w:caps w:val="0"/>
                <w:color w:val="000000"/>
                <w:spacing w:val="0"/>
                <w:sz w:val="19"/>
                <w:szCs w:val="19"/>
              </w:rPr>
            </w:pPr>
          </w:p>
        </w:tc>
        <w:tc>
          <w:tcPr>
            <w:tcW w:w="600" w:type="dxa"/>
            <w:vMerge w:val="continue"/>
            <w:noWrap w:val="0"/>
            <w:tcMar>
              <w:top w:w="75" w:type="dxa"/>
              <w:left w:w="105" w:type="dxa"/>
              <w:bottom w:w="75" w:type="dxa"/>
              <w:right w:w="105" w:type="dxa"/>
            </w:tcMar>
            <w:vAlign w:val="center"/>
          </w:tcPr>
          <w:p w14:paraId="2B3029EC">
            <w:pPr>
              <w:keepNext w:val="0"/>
              <w:keepLines w:val="0"/>
              <w:pageBreakBefore w:val="0"/>
              <w:kinsoku/>
              <w:overflowPunct/>
              <w:topLinePunct w:val="0"/>
              <w:autoSpaceDE/>
              <w:autoSpaceDN/>
              <w:bidi w:val="0"/>
              <w:adjustRightInd/>
              <w:snapToGrid/>
              <w:spacing w:line="600" w:lineRule="atLeast"/>
              <w:jc w:val="center"/>
              <w:rPr>
                <w:rFonts w:hint="default" w:ascii="Times New Roman" w:hAnsi="Times New Roman" w:cs="Times New Roman"/>
                <w:i w:val="0"/>
                <w:caps w:val="0"/>
                <w:color w:val="000000"/>
                <w:spacing w:val="0"/>
                <w:sz w:val="19"/>
                <w:szCs w:val="19"/>
              </w:rPr>
            </w:pPr>
          </w:p>
        </w:tc>
        <w:tc>
          <w:tcPr>
            <w:tcW w:w="660" w:type="dxa"/>
            <w:vMerge w:val="continue"/>
            <w:noWrap w:val="0"/>
            <w:tcMar>
              <w:top w:w="75" w:type="dxa"/>
              <w:left w:w="105" w:type="dxa"/>
              <w:bottom w:w="75" w:type="dxa"/>
              <w:right w:w="105" w:type="dxa"/>
            </w:tcMar>
            <w:vAlign w:val="center"/>
          </w:tcPr>
          <w:p w14:paraId="5D00E94E">
            <w:pPr>
              <w:keepNext w:val="0"/>
              <w:keepLines w:val="0"/>
              <w:pageBreakBefore w:val="0"/>
              <w:kinsoku/>
              <w:overflowPunct/>
              <w:topLinePunct w:val="0"/>
              <w:autoSpaceDE/>
              <w:autoSpaceDN/>
              <w:bidi w:val="0"/>
              <w:adjustRightInd/>
              <w:snapToGrid/>
              <w:spacing w:line="600" w:lineRule="atLeast"/>
              <w:jc w:val="center"/>
              <w:rPr>
                <w:rFonts w:hint="default" w:ascii="Times New Roman" w:hAnsi="Times New Roman" w:cs="Times New Roman"/>
                <w:i w:val="0"/>
                <w:caps w:val="0"/>
                <w:color w:val="000000"/>
                <w:spacing w:val="0"/>
                <w:sz w:val="19"/>
                <w:szCs w:val="19"/>
              </w:rPr>
            </w:pPr>
          </w:p>
        </w:tc>
        <w:tc>
          <w:tcPr>
            <w:tcW w:w="555" w:type="dxa"/>
            <w:noWrap w:val="0"/>
            <w:tcMar>
              <w:top w:w="75" w:type="dxa"/>
              <w:left w:w="105" w:type="dxa"/>
              <w:bottom w:w="75" w:type="dxa"/>
              <w:right w:w="105" w:type="dxa"/>
            </w:tcMar>
            <w:vAlign w:val="center"/>
          </w:tcPr>
          <w:p w14:paraId="4FE7BB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结果维持</w:t>
            </w:r>
          </w:p>
        </w:tc>
        <w:tc>
          <w:tcPr>
            <w:tcW w:w="600" w:type="dxa"/>
            <w:noWrap w:val="0"/>
            <w:tcMar>
              <w:top w:w="75" w:type="dxa"/>
              <w:left w:w="105" w:type="dxa"/>
              <w:bottom w:w="75" w:type="dxa"/>
              <w:right w:w="105" w:type="dxa"/>
            </w:tcMar>
            <w:vAlign w:val="center"/>
          </w:tcPr>
          <w:p w14:paraId="297C57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结果纠正</w:t>
            </w:r>
          </w:p>
        </w:tc>
        <w:tc>
          <w:tcPr>
            <w:tcW w:w="600" w:type="dxa"/>
            <w:noWrap w:val="0"/>
            <w:tcMar>
              <w:top w:w="75" w:type="dxa"/>
              <w:left w:w="105" w:type="dxa"/>
              <w:bottom w:w="75" w:type="dxa"/>
              <w:right w:w="105" w:type="dxa"/>
            </w:tcMar>
            <w:vAlign w:val="center"/>
          </w:tcPr>
          <w:p w14:paraId="53DA47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其他结果</w:t>
            </w:r>
          </w:p>
        </w:tc>
        <w:tc>
          <w:tcPr>
            <w:tcW w:w="600" w:type="dxa"/>
            <w:noWrap w:val="0"/>
            <w:tcMar>
              <w:top w:w="75" w:type="dxa"/>
              <w:left w:w="105" w:type="dxa"/>
              <w:bottom w:w="75" w:type="dxa"/>
              <w:right w:w="105" w:type="dxa"/>
            </w:tcMar>
            <w:vAlign w:val="center"/>
          </w:tcPr>
          <w:p w14:paraId="097321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尚未审结</w:t>
            </w:r>
          </w:p>
        </w:tc>
        <w:tc>
          <w:tcPr>
            <w:tcW w:w="600" w:type="dxa"/>
            <w:noWrap w:val="0"/>
            <w:tcMar>
              <w:top w:w="75" w:type="dxa"/>
              <w:left w:w="105" w:type="dxa"/>
              <w:bottom w:w="75" w:type="dxa"/>
              <w:right w:w="105" w:type="dxa"/>
            </w:tcMar>
            <w:vAlign w:val="center"/>
          </w:tcPr>
          <w:p w14:paraId="7B7BFC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总计</w:t>
            </w:r>
          </w:p>
        </w:tc>
        <w:tc>
          <w:tcPr>
            <w:tcW w:w="600" w:type="dxa"/>
            <w:noWrap w:val="0"/>
            <w:tcMar>
              <w:top w:w="75" w:type="dxa"/>
              <w:left w:w="105" w:type="dxa"/>
              <w:bottom w:w="75" w:type="dxa"/>
              <w:right w:w="105" w:type="dxa"/>
            </w:tcMar>
            <w:vAlign w:val="center"/>
          </w:tcPr>
          <w:p w14:paraId="1A56EA7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结果维持</w:t>
            </w:r>
          </w:p>
        </w:tc>
        <w:tc>
          <w:tcPr>
            <w:tcW w:w="600" w:type="dxa"/>
            <w:noWrap w:val="0"/>
            <w:tcMar>
              <w:top w:w="75" w:type="dxa"/>
              <w:left w:w="105" w:type="dxa"/>
              <w:bottom w:w="75" w:type="dxa"/>
              <w:right w:w="105" w:type="dxa"/>
            </w:tcMar>
            <w:vAlign w:val="center"/>
          </w:tcPr>
          <w:p w14:paraId="5A2048F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结果纠正</w:t>
            </w:r>
          </w:p>
        </w:tc>
        <w:tc>
          <w:tcPr>
            <w:tcW w:w="600" w:type="dxa"/>
            <w:noWrap w:val="0"/>
            <w:tcMar>
              <w:top w:w="75" w:type="dxa"/>
              <w:left w:w="105" w:type="dxa"/>
              <w:bottom w:w="75" w:type="dxa"/>
              <w:right w:w="105" w:type="dxa"/>
            </w:tcMar>
            <w:vAlign w:val="center"/>
          </w:tcPr>
          <w:p w14:paraId="277F502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其他结果</w:t>
            </w:r>
          </w:p>
        </w:tc>
        <w:tc>
          <w:tcPr>
            <w:tcW w:w="600" w:type="dxa"/>
            <w:noWrap w:val="0"/>
            <w:tcMar>
              <w:top w:w="75" w:type="dxa"/>
              <w:left w:w="105" w:type="dxa"/>
              <w:bottom w:w="75" w:type="dxa"/>
              <w:right w:w="105" w:type="dxa"/>
            </w:tcMar>
            <w:vAlign w:val="center"/>
          </w:tcPr>
          <w:p w14:paraId="3E81C7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尚未审结</w:t>
            </w:r>
          </w:p>
        </w:tc>
        <w:tc>
          <w:tcPr>
            <w:tcW w:w="600" w:type="dxa"/>
            <w:noWrap w:val="0"/>
            <w:tcMar>
              <w:top w:w="75" w:type="dxa"/>
              <w:left w:w="105" w:type="dxa"/>
              <w:bottom w:w="75" w:type="dxa"/>
              <w:right w:w="105" w:type="dxa"/>
            </w:tcMar>
            <w:vAlign w:val="center"/>
          </w:tcPr>
          <w:p w14:paraId="28EC1A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center"/>
              <w:rPr>
                <w:rFonts w:hint="default" w:ascii="Times New Roman" w:hAnsi="Times New Roman" w:eastAsia="sans-serif" w:cs="Times New Roman"/>
              </w:rPr>
            </w:pPr>
            <w:r>
              <w:rPr>
                <w:rFonts w:hint="default" w:ascii="Times New Roman" w:hAnsi="Times New Roman" w:eastAsia="sans-serif" w:cs="Times New Roman"/>
                <w:i w:val="0"/>
                <w:caps w:val="0"/>
                <w:color w:val="000000"/>
                <w:spacing w:val="0"/>
                <w:sz w:val="19"/>
                <w:szCs w:val="19"/>
              </w:rPr>
              <w:t>总计</w:t>
            </w:r>
          </w:p>
        </w:tc>
      </w:tr>
      <w:tr w14:paraId="6CA1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600" w:type="dxa"/>
            <w:noWrap w:val="0"/>
            <w:tcMar>
              <w:top w:w="75" w:type="dxa"/>
              <w:left w:w="105" w:type="dxa"/>
              <w:bottom w:w="75" w:type="dxa"/>
              <w:right w:w="105" w:type="dxa"/>
            </w:tcMar>
            <w:vAlign w:val="center"/>
          </w:tcPr>
          <w:p w14:paraId="05D6439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left"/>
              <w:rPr>
                <w:rFonts w:hint="default" w:ascii="Times New Roman" w:hAnsi="Times New Roman" w:eastAsia="sans-serif" w:cs="Times New Roman"/>
                <w:lang w:val="en-US" w:eastAsia="zh-CN"/>
              </w:rPr>
            </w:pPr>
            <w:r>
              <w:rPr>
                <w:rFonts w:hint="eastAsia" w:ascii="Times New Roman" w:hAnsi="Times New Roman" w:eastAsia="sans-serif" w:cs="Times New Roman"/>
                <w:lang w:val="en-US" w:eastAsia="zh-CN"/>
              </w:rPr>
              <w:t>1</w:t>
            </w:r>
          </w:p>
        </w:tc>
        <w:tc>
          <w:tcPr>
            <w:tcW w:w="600" w:type="dxa"/>
            <w:noWrap w:val="0"/>
            <w:tcMar>
              <w:top w:w="75" w:type="dxa"/>
              <w:left w:w="105" w:type="dxa"/>
              <w:bottom w:w="75" w:type="dxa"/>
              <w:right w:w="105" w:type="dxa"/>
            </w:tcMar>
            <w:vAlign w:val="center"/>
          </w:tcPr>
          <w:p w14:paraId="3F56B83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left"/>
              <w:rPr>
                <w:rFonts w:hint="default" w:ascii="Times New Roman" w:hAnsi="Times New Roman" w:eastAsia="sans-serif" w:cs="Times New Roman"/>
                <w:lang w:val="en-US" w:eastAsia="zh-CN"/>
              </w:rPr>
            </w:pPr>
            <w:r>
              <w:rPr>
                <w:rFonts w:hint="default" w:ascii="Times New Roman" w:hAnsi="Times New Roman" w:eastAsia="sans-serif" w:cs="Times New Roman"/>
                <w:lang w:val="en-US" w:eastAsia="zh-CN"/>
              </w:rPr>
              <w:t>0</w:t>
            </w:r>
          </w:p>
        </w:tc>
        <w:tc>
          <w:tcPr>
            <w:tcW w:w="600" w:type="dxa"/>
            <w:noWrap w:val="0"/>
            <w:tcMar>
              <w:top w:w="75" w:type="dxa"/>
              <w:left w:w="105" w:type="dxa"/>
              <w:bottom w:w="75" w:type="dxa"/>
              <w:right w:w="105" w:type="dxa"/>
            </w:tcMar>
            <w:vAlign w:val="center"/>
          </w:tcPr>
          <w:p w14:paraId="2767A8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left"/>
              <w:rPr>
                <w:rFonts w:hint="default" w:ascii="Times New Roman" w:hAnsi="Times New Roman" w:eastAsia="sans-serif" w:cs="Times New Roman"/>
                <w:lang w:val="en-US" w:eastAsia="zh-CN"/>
              </w:rPr>
            </w:pPr>
            <w:r>
              <w:rPr>
                <w:rFonts w:hint="default" w:ascii="Times New Roman" w:hAnsi="Times New Roman" w:eastAsia="sans-serif" w:cs="Times New Roman"/>
                <w:lang w:val="en-US" w:eastAsia="zh-CN"/>
              </w:rPr>
              <w:t>0</w:t>
            </w:r>
          </w:p>
        </w:tc>
        <w:tc>
          <w:tcPr>
            <w:tcW w:w="600" w:type="dxa"/>
            <w:noWrap w:val="0"/>
            <w:tcMar>
              <w:top w:w="75" w:type="dxa"/>
              <w:left w:w="105" w:type="dxa"/>
              <w:bottom w:w="75" w:type="dxa"/>
              <w:right w:w="105" w:type="dxa"/>
            </w:tcMar>
            <w:vAlign w:val="center"/>
          </w:tcPr>
          <w:p w14:paraId="68D1026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left"/>
              <w:rPr>
                <w:rFonts w:hint="default" w:ascii="Times New Roman" w:hAnsi="Times New Roman" w:eastAsia="sans-serif" w:cs="Times New Roman"/>
                <w:lang w:val="en-US" w:eastAsia="zh-CN"/>
              </w:rPr>
            </w:pPr>
            <w:r>
              <w:rPr>
                <w:rFonts w:hint="default" w:ascii="Times New Roman" w:hAnsi="Times New Roman" w:eastAsia="sans-serif" w:cs="Times New Roman"/>
                <w:lang w:val="en-US" w:eastAsia="zh-CN"/>
              </w:rPr>
              <w:t>0</w:t>
            </w:r>
          </w:p>
        </w:tc>
        <w:tc>
          <w:tcPr>
            <w:tcW w:w="660" w:type="dxa"/>
            <w:noWrap w:val="0"/>
            <w:tcMar>
              <w:top w:w="75" w:type="dxa"/>
              <w:left w:w="105" w:type="dxa"/>
              <w:bottom w:w="75" w:type="dxa"/>
              <w:right w:w="105" w:type="dxa"/>
            </w:tcMar>
            <w:vAlign w:val="center"/>
          </w:tcPr>
          <w:p w14:paraId="6A2964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left"/>
              <w:rPr>
                <w:rFonts w:hint="default" w:ascii="Times New Roman" w:hAnsi="Times New Roman" w:eastAsia="sans-serif" w:cs="Times New Roman"/>
                <w:lang w:val="en-US" w:eastAsia="zh-CN"/>
              </w:rPr>
            </w:pPr>
            <w:r>
              <w:rPr>
                <w:rFonts w:hint="eastAsia" w:ascii="Times New Roman" w:hAnsi="Times New Roman" w:eastAsia="sans-serif" w:cs="Times New Roman"/>
                <w:lang w:val="en-US" w:eastAsia="zh-CN"/>
              </w:rPr>
              <w:t>1</w:t>
            </w:r>
            <w:bookmarkStart w:id="0" w:name="_GoBack"/>
            <w:bookmarkEnd w:id="0"/>
          </w:p>
        </w:tc>
        <w:tc>
          <w:tcPr>
            <w:tcW w:w="555" w:type="dxa"/>
            <w:noWrap w:val="0"/>
            <w:tcMar>
              <w:top w:w="75" w:type="dxa"/>
              <w:left w:w="105" w:type="dxa"/>
              <w:bottom w:w="75" w:type="dxa"/>
              <w:right w:w="105" w:type="dxa"/>
            </w:tcMar>
            <w:vAlign w:val="center"/>
          </w:tcPr>
          <w:p w14:paraId="2036C0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left"/>
              <w:rPr>
                <w:rFonts w:hint="default" w:ascii="Times New Roman" w:hAnsi="Times New Roman" w:eastAsia="sans-serif" w:cs="Times New Roman"/>
                <w:lang w:val="en-US" w:eastAsia="zh-CN"/>
              </w:rPr>
            </w:pPr>
            <w:r>
              <w:rPr>
                <w:rFonts w:hint="default" w:ascii="Times New Roman" w:hAnsi="Times New Roman" w:eastAsia="sans-serif" w:cs="Times New Roman"/>
                <w:lang w:val="en-US" w:eastAsia="zh-CN"/>
              </w:rPr>
              <w:t>0</w:t>
            </w:r>
          </w:p>
        </w:tc>
        <w:tc>
          <w:tcPr>
            <w:tcW w:w="600" w:type="dxa"/>
            <w:noWrap w:val="0"/>
            <w:tcMar>
              <w:top w:w="75" w:type="dxa"/>
              <w:left w:w="105" w:type="dxa"/>
              <w:bottom w:w="75" w:type="dxa"/>
              <w:right w:w="105" w:type="dxa"/>
            </w:tcMar>
            <w:vAlign w:val="center"/>
          </w:tcPr>
          <w:p w14:paraId="39C495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left"/>
              <w:rPr>
                <w:rFonts w:hint="default" w:ascii="Times New Roman" w:hAnsi="Times New Roman" w:eastAsia="sans-serif" w:cs="Times New Roman"/>
                <w:lang w:val="en-US" w:eastAsia="zh-CN"/>
              </w:rPr>
            </w:pPr>
            <w:r>
              <w:rPr>
                <w:rFonts w:hint="default" w:ascii="Times New Roman" w:hAnsi="Times New Roman" w:eastAsia="sans-serif" w:cs="Times New Roman"/>
                <w:lang w:val="en-US" w:eastAsia="zh-CN"/>
              </w:rPr>
              <w:t>0</w:t>
            </w:r>
          </w:p>
        </w:tc>
        <w:tc>
          <w:tcPr>
            <w:tcW w:w="600" w:type="dxa"/>
            <w:noWrap w:val="0"/>
            <w:tcMar>
              <w:top w:w="75" w:type="dxa"/>
              <w:left w:w="105" w:type="dxa"/>
              <w:bottom w:w="75" w:type="dxa"/>
              <w:right w:w="105" w:type="dxa"/>
            </w:tcMar>
            <w:vAlign w:val="center"/>
          </w:tcPr>
          <w:p w14:paraId="273181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left"/>
              <w:rPr>
                <w:rFonts w:hint="default" w:ascii="Times New Roman" w:hAnsi="Times New Roman" w:eastAsia="sans-serif" w:cs="Times New Roman"/>
                <w:lang w:val="en-US" w:eastAsia="zh-CN"/>
              </w:rPr>
            </w:pPr>
            <w:r>
              <w:rPr>
                <w:rFonts w:hint="default" w:ascii="Times New Roman" w:hAnsi="Times New Roman" w:eastAsia="sans-serif" w:cs="Times New Roman"/>
                <w:lang w:val="en-US" w:eastAsia="zh-CN"/>
              </w:rPr>
              <w:t>0</w:t>
            </w:r>
          </w:p>
        </w:tc>
        <w:tc>
          <w:tcPr>
            <w:tcW w:w="600" w:type="dxa"/>
            <w:noWrap w:val="0"/>
            <w:tcMar>
              <w:top w:w="75" w:type="dxa"/>
              <w:left w:w="105" w:type="dxa"/>
              <w:bottom w:w="75" w:type="dxa"/>
              <w:right w:w="105" w:type="dxa"/>
            </w:tcMar>
            <w:vAlign w:val="center"/>
          </w:tcPr>
          <w:p w14:paraId="1498B2A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left"/>
              <w:rPr>
                <w:rFonts w:hint="default" w:ascii="Times New Roman" w:hAnsi="Times New Roman" w:eastAsia="sans-serif" w:cs="Times New Roman"/>
                <w:lang w:val="en-US" w:eastAsia="zh-CN"/>
              </w:rPr>
            </w:pPr>
            <w:r>
              <w:rPr>
                <w:rFonts w:hint="default" w:ascii="Times New Roman" w:hAnsi="Times New Roman" w:eastAsia="sans-serif" w:cs="Times New Roman"/>
                <w:lang w:val="en-US" w:eastAsia="zh-CN"/>
              </w:rPr>
              <w:t>0</w:t>
            </w:r>
          </w:p>
        </w:tc>
        <w:tc>
          <w:tcPr>
            <w:tcW w:w="600" w:type="dxa"/>
            <w:noWrap w:val="0"/>
            <w:tcMar>
              <w:top w:w="75" w:type="dxa"/>
              <w:left w:w="105" w:type="dxa"/>
              <w:bottom w:w="75" w:type="dxa"/>
              <w:right w:w="105" w:type="dxa"/>
            </w:tcMar>
            <w:vAlign w:val="center"/>
          </w:tcPr>
          <w:p w14:paraId="4DDAE5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left"/>
              <w:rPr>
                <w:rFonts w:hint="default" w:ascii="Times New Roman" w:hAnsi="Times New Roman" w:eastAsia="sans-serif" w:cs="Times New Roman"/>
                <w:lang w:val="en-US" w:eastAsia="zh-CN"/>
              </w:rPr>
            </w:pPr>
            <w:r>
              <w:rPr>
                <w:rFonts w:hint="default" w:ascii="Times New Roman" w:hAnsi="Times New Roman" w:eastAsia="sans-serif" w:cs="Times New Roman"/>
                <w:lang w:val="en-US" w:eastAsia="zh-CN"/>
              </w:rPr>
              <w:t>0</w:t>
            </w:r>
          </w:p>
        </w:tc>
        <w:tc>
          <w:tcPr>
            <w:tcW w:w="600" w:type="dxa"/>
            <w:noWrap w:val="0"/>
            <w:tcMar>
              <w:top w:w="75" w:type="dxa"/>
              <w:left w:w="105" w:type="dxa"/>
              <w:bottom w:w="75" w:type="dxa"/>
              <w:right w:w="105" w:type="dxa"/>
            </w:tcMar>
            <w:vAlign w:val="center"/>
          </w:tcPr>
          <w:p w14:paraId="69ED15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left"/>
              <w:rPr>
                <w:rFonts w:hint="default" w:ascii="Times New Roman" w:hAnsi="Times New Roman" w:eastAsia="sans-serif" w:cs="Times New Roman"/>
                <w:lang w:val="en-US" w:eastAsia="zh-CN"/>
              </w:rPr>
            </w:pPr>
            <w:r>
              <w:rPr>
                <w:rFonts w:hint="default" w:ascii="Times New Roman" w:hAnsi="Times New Roman" w:eastAsia="sans-serif" w:cs="Times New Roman"/>
                <w:lang w:val="en-US" w:eastAsia="zh-CN"/>
              </w:rPr>
              <w:t>0</w:t>
            </w:r>
          </w:p>
        </w:tc>
        <w:tc>
          <w:tcPr>
            <w:tcW w:w="600" w:type="dxa"/>
            <w:noWrap w:val="0"/>
            <w:tcMar>
              <w:top w:w="75" w:type="dxa"/>
              <w:left w:w="105" w:type="dxa"/>
              <w:bottom w:w="75" w:type="dxa"/>
              <w:right w:w="105" w:type="dxa"/>
            </w:tcMar>
            <w:vAlign w:val="center"/>
          </w:tcPr>
          <w:p w14:paraId="066302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left"/>
              <w:rPr>
                <w:rFonts w:hint="default" w:ascii="Times New Roman" w:hAnsi="Times New Roman" w:eastAsia="sans-serif" w:cs="Times New Roman"/>
                <w:lang w:val="en-US" w:eastAsia="zh-CN"/>
              </w:rPr>
            </w:pPr>
            <w:r>
              <w:rPr>
                <w:rFonts w:hint="default" w:ascii="Times New Roman" w:hAnsi="Times New Roman" w:eastAsia="sans-serif" w:cs="Times New Roman"/>
                <w:lang w:val="en-US" w:eastAsia="zh-CN"/>
              </w:rPr>
              <w:t>0</w:t>
            </w:r>
          </w:p>
        </w:tc>
        <w:tc>
          <w:tcPr>
            <w:tcW w:w="600" w:type="dxa"/>
            <w:noWrap w:val="0"/>
            <w:tcMar>
              <w:top w:w="75" w:type="dxa"/>
              <w:left w:w="105" w:type="dxa"/>
              <w:bottom w:w="75" w:type="dxa"/>
              <w:right w:w="105" w:type="dxa"/>
            </w:tcMar>
            <w:vAlign w:val="center"/>
          </w:tcPr>
          <w:p w14:paraId="060EF64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left"/>
              <w:rPr>
                <w:rFonts w:hint="default" w:ascii="Times New Roman" w:hAnsi="Times New Roman" w:eastAsia="sans-serif" w:cs="Times New Roman"/>
                <w:lang w:val="en-US" w:eastAsia="zh-CN"/>
              </w:rPr>
            </w:pPr>
            <w:r>
              <w:rPr>
                <w:rFonts w:hint="default" w:ascii="Times New Roman" w:hAnsi="Times New Roman" w:eastAsia="sans-serif" w:cs="Times New Roman"/>
                <w:lang w:val="en-US" w:eastAsia="zh-CN"/>
              </w:rPr>
              <w:t>0</w:t>
            </w:r>
          </w:p>
        </w:tc>
        <w:tc>
          <w:tcPr>
            <w:tcW w:w="600" w:type="dxa"/>
            <w:noWrap w:val="0"/>
            <w:tcMar>
              <w:top w:w="75" w:type="dxa"/>
              <w:left w:w="105" w:type="dxa"/>
              <w:bottom w:w="75" w:type="dxa"/>
              <w:right w:w="105" w:type="dxa"/>
            </w:tcMar>
            <w:vAlign w:val="center"/>
          </w:tcPr>
          <w:p w14:paraId="7C84AE4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left"/>
              <w:rPr>
                <w:rFonts w:hint="default" w:ascii="Times New Roman" w:hAnsi="Times New Roman" w:eastAsia="sans-serif" w:cs="Times New Roman"/>
                <w:lang w:val="en-US" w:eastAsia="zh-CN"/>
              </w:rPr>
            </w:pPr>
            <w:r>
              <w:rPr>
                <w:rFonts w:hint="default" w:ascii="Times New Roman" w:hAnsi="Times New Roman" w:eastAsia="sans-serif" w:cs="Times New Roman"/>
                <w:lang w:val="en-US" w:eastAsia="zh-CN"/>
              </w:rPr>
              <w:t>0</w:t>
            </w:r>
          </w:p>
        </w:tc>
        <w:tc>
          <w:tcPr>
            <w:tcW w:w="600" w:type="dxa"/>
            <w:noWrap w:val="0"/>
            <w:tcMar>
              <w:top w:w="75" w:type="dxa"/>
              <w:left w:w="105" w:type="dxa"/>
              <w:bottom w:w="75" w:type="dxa"/>
              <w:right w:w="105" w:type="dxa"/>
            </w:tcMar>
            <w:vAlign w:val="center"/>
          </w:tcPr>
          <w:p w14:paraId="36A005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atLeast"/>
              <w:ind w:left="0" w:right="0"/>
              <w:jc w:val="left"/>
              <w:rPr>
                <w:rFonts w:hint="default" w:ascii="Times New Roman" w:hAnsi="Times New Roman" w:eastAsia="sans-serif" w:cs="Times New Roman"/>
                <w:lang w:val="en-US" w:eastAsia="zh-CN"/>
              </w:rPr>
            </w:pPr>
            <w:r>
              <w:rPr>
                <w:rFonts w:hint="default" w:ascii="Times New Roman" w:hAnsi="Times New Roman" w:eastAsia="sans-serif" w:cs="Times New Roman"/>
                <w:lang w:val="en-US" w:eastAsia="zh-CN"/>
              </w:rPr>
              <w:t>0</w:t>
            </w:r>
          </w:p>
        </w:tc>
      </w:tr>
    </w:tbl>
    <w:p w14:paraId="5DF86F3D">
      <w:pPr>
        <w:keepNext w:val="0"/>
        <w:keepLines w:val="0"/>
        <w:pageBreakBefore w:val="0"/>
        <w:kinsoku/>
        <w:overflowPunct/>
        <w:topLinePunct w:val="0"/>
        <w:autoSpaceDE/>
        <w:autoSpaceDN/>
        <w:bidi w:val="0"/>
        <w:adjustRightInd/>
        <w:snapToGrid/>
        <w:spacing w:line="600" w:lineRule="atLeast"/>
        <w:ind w:firstLine="640" w:firstLineChars="200"/>
        <w:jc w:val="left"/>
        <w:rPr>
          <w:rFonts w:hint="default" w:ascii="Times New Roman" w:hAnsi="Times New Roman" w:eastAsia="黑体" w:cs="Times New Roman"/>
          <w:bCs/>
          <w:sz w:val="32"/>
          <w:szCs w:val="28"/>
        </w:rPr>
      </w:pPr>
      <w:r>
        <w:rPr>
          <w:rFonts w:hint="default" w:ascii="Times New Roman" w:hAnsi="Times New Roman" w:eastAsia="黑体" w:cs="Times New Roman"/>
          <w:bCs/>
          <w:sz w:val="32"/>
          <w:szCs w:val="28"/>
        </w:rPr>
        <w:t>五、存在的主要问题及改进情况</w:t>
      </w:r>
    </w:p>
    <w:p w14:paraId="02028DB1">
      <w:pPr>
        <w:keepNext w:val="0"/>
        <w:keepLines w:val="0"/>
        <w:pageBreakBefore w:val="0"/>
        <w:kinsoku/>
        <w:overflowPunct/>
        <w:topLinePunct w:val="0"/>
        <w:autoSpaceDE/>
        <w:autoSpaceDN/>
        <w:bidi w:val="0"/>
        <w:adjustRightInd/>
        <w:snapToGrid/>
        <w:spacing w:line="600" w:lineRule="atLeast"/>
        <w:ind w:firstLine="640" w:firstLineChars="200"/>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w:t>
      </w:r>
      <w:r>
        <w:rPr>
          <w:rFonts w:hint="eastAsia"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年，我局通过多种公开渠道和形式，按照</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公开为原则，不公开为例外</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的总体要求，做好我局的信息公开、政策解读、办事服务等工作信息的发布，但离县委、县政府要求和人民群众的期盼依旧存在一定的差距</w:t>
      </w:r>
      <w:r>
        <w:rPr>
          <w:rFonts w:hint="default" w:ascii="Times New Roman" w:hAnsi="Times New Roman" w:eastAsia="方正仿宋简体" w:cs="Times New Roman"/>
          <w:sz w:val="32"/>
          <w:szCs w:val="32"/>
          <w:lang w:eastAsia="zh-CN"/>
        </w:rPr>
        <w:t>；</w:t>
      </w:r>
      <w:r>
        <w:rPr>
          <w:rFonts w:hint="default" w:ascii="Times New Roman" w:hAnsi="Times New Roman" w:eastAsia="方正楷体简体" w:cs="Times New Roman"/>
          <w:bCs/>
          <w:sz w:val="32"/>
          <w:szCs w:val="28"/>
        </w:rPr>
        <w:t>一是</w:t>
      </w:r>
      <w:r>
        <w:rPr>
          <w:rFonts w:hint="default" w:ascii="Times New Roman" w:hAnsi="Times New Roman" w:eastAsia="方正仿宋简体" w:cs="Times New Roman"/>
          <w:sz w:val="32"/>
          <w:szCs w:val="32"/>
        </w:rPr>
        <w:t>对政府信息公开条例等新的有关政策文件的掌握还不够深入</w:t>
      </w:r>
      <w:r>
        <w:rPr>
          <w:rFonts w:hint="default" w:ascii="Times New Roman" w:hAnsi="Times New Roman" w:eastAsia="方正仿宋简体" w:cs="Times New Roman"/>
          <w:sz w:val="32"/>
          <w:szCs w:val="32"/>
          <w:lang w:eastAsia="zh-CN"/>
        </w:rPr>
        <w:t>；</w:t>
      </w:r>
      <w:r>
        <w:rPr>
          <w:rFonts w:hint="default" w:ascii="Times New Roman" w:hAnsi="Times New Roman" w:eastAsia="方正楷体简体" w:cs="Times New Roman"/>
          <w:bCs/>
          <w:sz w:val="32"/>
          <w:szCs w:val="28"/>
        </w:rPr>
        <w:t>二是</w:t>
      </w:r>
      <w:r>
        <w:rPr>
          <w:rFonts w:hint="default" w:ascii="Times New Roman" w:hAnsi="Times New Roman" w:eastAsia="方正仿宋简体" w:cs="Times New Roman"/>
          <w:sz w:val="32"/>
          <w:szCs w:val="32"/>
        </w:rPr>
        <w:t>政务信息公开的内容还不够全面、不够及时。</w:t>
      </w:r>
    </w:p>
    <w:p w14:paraId="17A46B38">
      <w:pPr>
        <w:keepNext w:val="0"/>
        <w:keepLines w:val="0"/>
        <w:pageBreakBefore w:val="0"/>
        <w:kinsoku/>
        <w:overflowPunct/>
        <w:topLinePunct w:val="0"/>
        <w:autoSpaceDE/>
        <w:autoSpaceDN/>
        <w:bidi w:val="0"/>
        <w:adjustRightInd/>
        <w:snapToGrid/>
        <w:spacing w:line="600" w:lineRule="atLeast"/>
        <w:ind w:firstLine="640" w:firstLineChars="200"/>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针对上述问题，我局采取积极措施解决：</w:t>
      </w:r>
      <w:r>
        <w:rPr>
          <w:rFonts w:hint="default" w:ascii="Times New Roman" w:hAnsi="Times New Roman" w:eastAsia="方正楷体简体" w:cs="Times New Roman"/>
          <w:bCs/>
          <w:sz w:val="32"/>
          <w:szCs w:val="28"/>
        </w:rPr>
        <w:t>一是</w:t>
      </w:r>
      <w:r>
        <w:rPr>
          <w:rFonts w:hint="default" w:ascii="Times New Roman" w:hAnsi="Times New Roman" w:eastAsia="方正仿宋简体" w:cs="Times New Roman"/>
          <w:sz w:val="32"/>
          <w:szCs w:val="32"/>
        </w:rPr>
        <w:t>对我局业务股室的工作人员加强学习了《中华人民共和国政府信息公开条例》等规章制度，强化掌握政策解读的内涵、范围，提高工作人员主动公开意识；</w:t>
      </w:r>
      <w:r>
        <w:rPr>
          <w:rFonts w:hint="default" w:ascii="Times New Roman" w:hAnsi="Times New Roman" w:eastAsia="方正楷体简体" w:cs="Times New Roman"/>
          <w:bCs/>
          <w:sz w:val="32"/>
          <w:szCs w:val="28"/>
        </w:rPr>
        <w:t>二是</w:t>
      </w:r>
      <w:r>
        <w:rPr>
          <w:rFonts w:hint="default" w:ascii="Times New Roman" w:hAnsi="Times New Roman" w:eastAsia="方正仿宋简体" w:cs="Times New Roman"/>
          <w:sz w:val="32"/>
          <w:szCs w:val="32"/>
        </w:rPr>
        <w:t>我局通过多种公开渠道和形式，结合防灾减灾宣传日、安全生产月、宪法宣传周、安全生产法宣传周等载体，通过线上线下等多种渠道，主动公开应急管理工作各类信息，扩大信息公开的覆盖面，从多个层面上真正满足群众需求，全面提高政务公开质量。</w:t>
      </w:r>
    </w:p>
    <w:p w14:paraId="590C3480">
      <w:pPr>
        <w:keepNext w:val="0"/>
        <w:keepLines w:val="0"/>
        <w:pageBreakBefore w:val="0"/>
        <w:kinsoku/>
        <w:overflowPunct/>
        <w:topLinePunct w:val="0"/>
        <w:autoSpaceDE/>
        <w:autoSpaceDN/>
        <w:bidi w:val="0"/>
        <w:adjustRightInd/>
        <w:snapToGrid/>
        <w:spacing w:line="600" w:lineRule="atLeast"/>
        <w:ind w:firstLine="640" w:firstLineChars="200"/>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w:t>
      </w:r>
      <w:r>
        <w:rPr>
          <w:rFonts w:hint="eastAsia"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年，五华县应急管理局将聚焦重点领域的信息公开工作，持续扩大信息公开的覆盖面，实行阳光操作，实现各项工作依法全部公开。</w:t>
      </w:r>
    </w:p>
    <w:p w14:paraId="12FD039D">
      <w:pPr>
        <w:keepNext w:val="0"/>
        <w:keepLines w:val="0"/>
        <w:pageBreakBefore w:val="0"/>
        <w:kinsoku/>
        <w:overflowPunct/>
        <w:topLinePunct w:val="0"/>
        <w:autoSpaceDE/>
        <w:autoSpaceDN/>
        <w:bidi w:val="0"/>
        <w:adjustRightInd/>
        <w:snapToGrid/>
        <w:spacing w:line="600" w:lineRule="atLeast"/>
        <w:ind w:firstLine="640" w:firstLineChars="200"/>
        <w:jc w:val="left"/>
        <w:rPr>
          <w:rFonts w:hint="default" w:ascii="Times New Roman" w:hAnsi="Times New Roman" w:eastAsia="黑体" w:cs="Times New Roman"/>
          <w:bCs/>
          <w:sz w:val="32"/>
          <w:szCs w:val="28"/>
        </w:rPr>
      </w:pPr>
      <w:r>
        <w:rPr>
          <w:rFonts w:hint="default" w:ascii="Times New Roman" w:hAnsi="Times New Roman" w:eastAsia="黑体" w:cs="Times New Roman"/>
          <w:bCs/>
          <w:sz w:val="32"/>
          <w:szCs w:val="28"/>
        </w:rPr>
        <w:t>六、其他需要报告的事项</w:t>
      </w:r>
    </w:p>
    <w:p w14:paraId="0AF784B2">
      <w:pPr>
        <w:keepNext w:val="0"/>
        <w:keepLines w:val="0"/>
        <w:pageBreakBefore w:val="0"/>
        <w:kinsoku/>
        <w:overflowPunct/>
        <w:topLinePunct w:val="0"/>
        <w:autoSpaceDE/>
        <w:autoSpaceDN/>
        <w:bidi w:val="0"/>
        <w:adjustRightInd/>
        <w:snapToGrid/>
        <w:spacing w:line="600" w:lineRule="atLeast"/>
        <w:ind w:firstLine="640" w:firstLineChars="200"/>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收取信息处理费的情况：本年度本单位无发出收费通知，无收取信息处理费。</w:t>
      </w:r>
    </w:p>
    <w:p w14:paraId="4F2963D9">
      <w:pPr>
        <w:pStyle w:val="5"/>
        <w:keepNext w:val="0"/>
        <w:keepLines w:val="0"/>
        <w:pageBreakBefore w:val="0"/>
        <w:widowControl/>
        <w:kinsoku/>
        <w:overflowPunct/>
        <w:topLinePunct w:val="0"/>
        <w:autoSpaceDE/>
        <w:autoSpaceDN/>
        <w:bidi w:val="0"/>
        <w:adjustRightInd/>
        <w:snapToGrid/>
        <w:spacing w:before="0" w:beforeAutospacing="0" w:after="0" w:afterAutospacing="0" w:line="600" w:lineRule="atLeast"/>
        <w:ind w:firstLine="561"/>
        <w:jc w:val="both"/>
        <w:rPr>
          <w:rFonts w:hint="default" w:ascii="Times New Roman" w:hAnsi="Times New Roman" w:cs="Times New Roman"/>
          <w:sz w:val="28"/>
          <w:szCs w:val="28"/>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文星黑体">
    <w:altName w:val="黑体"/>
    <w:panose1 w:val="02010609000101010101"/>
    <w:charset w:val="86"/>
    <w:family w:val="modern"/>
    <w:pitch w:val="default"/>
    <w:sig w:usb0="00000000" w:usb1="00000000" w:usb2="00000000" w:usb3="00000000" w:csb0="00040000" w:csb1="00000000"/>
  </w:font>
  <w:font w:name="sans-serif">
    <w:altName w:val="微软雅黑"/>
    <w:panose1 w:val="00000000000000000000"/>
    <w:charset w:val="00"/>
    <w:family w:val="auto"/>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58D94">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B6C117">
                          <w:pPr>
                            <w:pStyle w:val="3"/>
                          </w:pPr>
                          <w:r>
                            <w:fldChar w:fldCharType="begin"/>
                          </w:r>
                          <w:r>
                            <w:instrText xml:space="preserve"> PAGE  \* MERGEFORMAT </w:instrText>
                          </w:r>
                          <w:r>
                            <w:fldChar w:fldCharType="separate"/>
                          </w:r>
                          <w:r>
                            <w:t>- 3 -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AB6C117">
                    <w:pPr>
                      <w:pStyle w:val="3"/>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3YTgzMGNhYThkYzY4OWM1NGI1ZjM4NGYxNjQxZDMifQ=="/>
  </w:docVars>
  <w:rsids>
    <w:rsidRoot w:val="771A7D5D"/>
    <w:rsid w:val="0030746B"/>
    <w:rsid w:val="004510AD"/>
    <w:rsid w:val="005D2AA0"/>
    <w:rsid w:val="00616B5E"/>
    <w:rsid w:val="006E7549"/>
    <w:rsid w:val="007643E7"/>
    <w:rsid w:val="00894A0B"/>
    <w:rsid w:val="00A075AD"/>
    <w:rsid w:val="00A12644"/>
    <w:rsid w:val="00A872F7"/>
    <w:rsid w:val="00BA0593"/>
    <w:rsid w:val="00D54290"/>
    <w:rsid w:val="00D577AA"/>
    <w:rsid w:val="00E03F3B"/>
    <w:rsid w:val="00E04554"/>
    <w:rsid w:val="01094132"/>
    <w:rsid w:val="03E72B61"/>
    <w:rsid w:val="04773386"/>
    <w:rsid w:val="04F35535"/>
    <w:rsid w:val="0A3568AA"/>
    <w:rsid w:val="0A8E1F88"/>
    <w:rsid w:val="0B2E376B"/>
    <w:rsid w:val="0BCF0AAA"/>
    <w:rsid w:val="0C881E7B"/>
    <w:rsid w:val="0C903991"/>
    <w:rsid w:val="0C9E222B"/>
    <w:rsid w:val="0D920160"/>
    <w:rsid w:val="0F781459"/>
    <w:rsid w:val="100D7DF3"/>
    <w:rsid w:val="109A22B0"/>
    <w:rsid w:val="10B06529"/>
    <w:rsid w:val="111D035A"/>
    <w:rsid w:val="1723614E"/>
    <w:rsid w:val="17CC9418"/>
    <w:rsid w:val="1AF916A0"/>
    <w:rsid w:val="1B46052F"/>
    <w:rsid w:val="1B90792E"/>
    <w:rsid w:val="1BBF5782"/>
    <w:rsid w:val="1CC61A56"/>
    <w:rsid w:val="1E4A0464"/>
    <w:rsid w:val="213F6A12"/>
    <w:rsid w:val="22BA5BB9"/>
    <w:rsid w:val="239B00EF"/>
    <w:rsid w:val="279B0366"/>
    <w:rsid w:val="280478D6"/>
    <w:rsid w:val="292F0982"/>
    <w:rsid w:val="295F2ADF"/>
    <w:rsid w:val="29F457CA"/>
    <w:rsid w:val="33F20F2A"/>
    <w:rsid w:val="394A59CC"/>
    <w:rsid w:val="39FC710D"/>
    <w:rsid w:val="3DB72C8D"/>
    <w:rsid w:val="3E4526EC"/>
    <w:rsid w:val="3F4A4D23"/>
    <w:rsid w:val="44304D7A"/>
    <w:rsid w:val="47107CA8"/>
    <w:rsid w:val="4A1B48DF"/>
    <w:rsid w:val="4C9B6D9D"/>
    <w:rsid w:val="4E165AE9"/>
    <w:rsid w:val="501F27A3"/>
    <w:rsid w:val="51CF527D"/>
    <w:rsid w:val="52232583"/>
    <w:rsid w:val="52D25D57"/>
    <w:rsid w:val="53C02053"/>
    <w:rsid w:val="58920462"/>
    <w:rsid w:val="5903310E"/>
    <w:rsid w:val="59DF76D7"/>
    <w:rsid w:val="5BA26C0E"/>
    <w:rsid w:val="60114A38"/>
    <w:rsid w:val="65425309"/>
    <w:rsid w:val="683114EC"/>
    <w:rsid w:val="699D6C67"/>
    <w:rsid w:val="6A3C6480"/>
    <w:rsid w:val="6BEE0EA1"/>
    <w:rsid w:val="6CBF0CA2"/>
    <w:rsid w:val="6D6261FE"/>
    <w:rsid w:val="70A1528F"/>
    <w:rsid w:val="73852C46"/>
    <w:rsid w:val="764E618A"/>
    <w:rsid w:val="771A7D5D"/>
    <w:rsid w:val="77DE12D9"/>
    <w:rsid w:val="787D4489"/>
    <w:rsid w:val="79442C7E"/>
    <w:rsid w:val="79E35952"/>
    <w:rsid w:val="7AD75BAF"/>
    <w:rsid w:val="7BAD075E"/>
    <w:rsid w:val="7C5D7262"/>
    <w:rsid w:val="7D2A4450"/>
    <w:rsid w:val="7FF8507B"/>
    <w:rsid w:val="B7FF607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批注框文本 Char"/>
    <w:link w:val="2"/>
    <w:qFormat/>
    <w:uiPriority w:val="0"/>
    <w:rPr>
      <w:rFonts w:ascii="Calibri" w:hAnsi="Calibri"/>
      <w:kern w:val="2"/>
      <w:sz w:val="18"/>
      <w:szCs w:val="18"/>
    </w:rPr>
  </w:style>
  <w:style w:type="character" w:customStyle="1" w:styleId="11">
    <w:name w:val="页脚 Char"/>
    <w:link w:val="3"/>
    <w:qFormat/>
    <w:uiPriority w:val="0"/>
    <w:rPr>
      <w:rFonts w:ascii="Calibri" w:hAnsi="Calibri" w:eastAsia="宋体" w:cs="Times New Roman"/>
      <w:kern w:val="2"/>
      <w:sz w:val="18"/>
      <w:szCs w:val="18"/>
    </w:rPr>
  </w:style>
  <w:style w:type="character" w:customStyle="1" w:styleId="12">
    <w:name w:val="页眉 Char"/>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1296</Words>
  <Characters>1313</Characters>
  <Lines>10</Lines>
  <Paragraphs>2</Paragraphs>
  <TotalTime>284</TotalTime>
  <ScaleCrop>false</ScaleCrop>
  <LinksUpToDate>false</LinksUpToDate>
  <CharactersWithSpaces>1315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2020-01-14T15:53:00Z</dcterms:created>
  <dc:creator>Yen.</dc:creator>
  <cp:lastModifiedBy> 古敏婷</cp:lastModifiedBy>
  <cp:lastPrinted>2021-01-06T09:55:00Z</cp:lastPrinted>
  <dcterms:modified xsi:type="dcterms:W3CDTF">2026-01-16T03:17:57Z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820507FD6EF246DF803EDD59B6F56772_13</vt:lpwstr>
  </property>
  <property fmtid="{D5CDD505-2E9C-101B-9397-08002B2CF9AE}" pid="4" name="KSOTemplateDocerSaveRecord">
    <vt:lpwstr>eyJoZGlkIjoiM2U1ZTE3OGJiMDljOTg3MWM5YjZjZGU4MzYyNGQ1NWEiLCJ1c2VySWQiOiI2MTYwMjYwODUifQ==</vt:lpwstr>
  </property>
</Properties>
</file>