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C589B">
      <w:pPr>
        <w:spacing w:line="80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30"/>
          <w:szCs w:val="30"/>
          <w:u w:val="none"/>
          <w:lang w:val="en-US" w:eastAsia="zh-CN"/>
        </w:rPr>
      </w:pPr>
      <w:bookmarkStart w:id="0" w:name="_GoBack"/>
    </w:p>
    <w:p w14:paraId="0B244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exact"/>
        <w:jc w:val="both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30"/>
          <w:szCs w:val="30"/>
          <w:u w:val="none"/>
          <w:lang w:val="en-US" w:eastAsia="zh-CN"/>
        </w:rPr>
      </w:pPr>
    </w:p>
    <w:p w14:paraId="42EA3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exact"/>
        <w:jc w:val="both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30"/>
          <w:szCs w:val="30"/>
          <w:u w:val="none"/>
          <w:lang w:val="en-US" w:eastAsia="zh-CN"/>
        </w:rPr>
      </w:pPr>
    </w:p>
    <w:p w14:paraId="54446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exact"/>
        <w:jc w:val="both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30"/>
          <w:szCs w:val="30"/>
          <w:u w:val="none"/>
          <w:lang w:val="en-US" w:eastAsia="zh-CN"/>
        </w:rPr>
      </w:pPr>
    </w:p>
    <w:p w14:paraId="5DCB4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exact"/>
        <w:jc w:val="both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30"/>
          <w:szCs w:val="30"/>
          <w:u w:val="none"/>
          <w:lang w:val="en-US" w:eastAsia="zh-CN"/>
        </w:rPr>
      </w:pPr>
    </w:p>
    <w:p w14:paraId="7FE39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exact"/>
        <w:jc w:val="both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30"/>
          <w:szCs w:val="30"/>
          <w:u w:val="none"/>
          <w:lang w:val="en-US" w:eastAsia="zh-CN"/>
        </w:rPr>
      </w:pPr>
    </w:p>
    <w:p w14:paraId="51E9D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exact"/>
        <w:jc w:val="both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30"/>
          <w:szCs w:val="30"/>
          <w:u w:val="none"/>
          <w:lang w:val="en-US" w:eastAsia="zh-CN"/>
        </w:rPr>
      </w:pPr>
    </w:p>
    <w:p w14:paraId="68286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exact"/>
        <w:jc w:val="both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30"/>
          <w:szCs w:val="30"/>
          <w:u w:val="none"/>
          <w:lang w:val="en-US" w:eastAsia="zh-CN"/>
        </w:rPr>
      </w:pPr>
    </w:p>
    <w:p w14:paraId="21CB2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u w:val="none"/>
          <w:lang w:val="en-US" w:eastAsia="zh-CN"/>
        </w:rPr>
        <w:t>五华县文化广电旅游体育局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年政府信息公开工作年度报告</w:t>
      </w:r>
    </w:p>
    <w:p w14:paraId="1C4BE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7E609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3B120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一、工作总览</w:t>
      </w:r>
    </w:p>
    <w:p w14:paraId="36485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为严格遵循《中华人民共和国政府信息公开条例》（以下简称《条例》）的法定要求，全面呈现五华县文化广电旅游体育局 2025 年政府信息公开工作的推进成效与具体情况，特编制本报告并向社会公布。本年度，我局始终以政务信息公开透明为核心准则，聚焦人民群众的知情权、参与权与监督权保障，持续深化政策解读、活动动态、重点任务落实等领域的信息公开工作，着力提升依法行政公开化水平，稳步增强政务公开的实际效能。本报告共分为六个板块，分别是工作总体情况、主动公开政府信息详情、政府信息公开申请接收与办理情况、行政复议及行政诉讼相关情况、现存问题与改进举措、其他需说明的事项。</w:t>
      </w:r>
    </w:p>
    <w:p w14:paraId="47CA9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楷体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楷体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（一）主动公开工作提质增效</w:t>
      </w:r>
    </w:p>
    <w:p w14:paraId="7513C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秉持 “全面、准确、规范” 的信息发布原则，健全完善信息公开审核机制。通过对原有工作制度开展系统性梳理评估，保留行之有效的制度规范，针对存在的空白领域与薄弱环节，进行修订完善或重新制定。从信息公开优化、电子政务升级、便民服务提升三大方向协同发力，持续加大政务公开推广力度。2025 年，我局依托政府信息公开网站，累计发布工作动态类信息 52 篇、部门规范性文件 2 份、年度信息公开工作报告 1 篇、预决算相关信息 14 份，全面保障公众信息获取需求。</w:t>
      </w:r>
    </w:p>
    <w:p w14:paraId="02050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楷体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楷体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（二）依申请公开工作规范有序</w:t>
      </w:r>
    </w:p>
    <w:p w14:paraId="10958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2025 年，我局及时梳理并更新依申请公开的适用条件、办理流程，明确通信地址与联系电话等关键信息，确保网上申请渠道稳定畅通、高效便捷。全年未收到任何形式的政府信息公开申请，亦无符合不予公开情形的政府信息。</w:t>
      </w:r>
    </w:p>
    <w:p w14:paraId="10CEE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楷体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楷体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（三）政府信息管理体系健全</w:t>
      </w:r>
    </w:p>
    <w:p w14:paraId="56882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构建形成 “主要领导负总责、分管领导牵头协调、办公室具体承办” 的政务信息公开工作架构，严格落实 “应公开尽公开” 工作要求。建立并严格执行 “三审制” 信息审核流程：信息员完成初审，确保信息内容真实完整、数据准确无误；科室负责人开展复审，聚焦信息的专业性与格式规范性；局分管领导进行终审，重点核查信息的政治导向与保密合规性，实现政务信息公开工作 “领导到位、责任到岗、任务到人” 的全链条管理。</w:t>
      </w:r>
    </w:p>
    <w:p w14:paraId="7326A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楷体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楷体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（四）公开平台建设持续优化</w:t>
      </w:r>
    </w:p>
    <w:p w14:paraId="0534D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为切实保障人民群众对文化广电旅游体育工作的知情权与监督权，我局深度推进 “互联网 + 政务” 融合发展，充分依托政府信息公开门户网站、微信公众平台等多元渠道，将组织机构设置、年度工作计划与总结、工作动态进展、通知公告等各类信息分类整理后及时上传发布，广泛接受社会各界监督。同时，严格执行内容审核把关制度，确保政府信息公开工作依法依规、有序推进。</w:t>
      </w:r>
    </w:p>
    <w:p w14:paraId="056FD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楷体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楷体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（五）监督保障机制不断强化</w:t>
      </w:r>
    </w:p>
    <w:p w14:paraId="6FC44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严格落实政府信息公开保密审查制度，按照既定审核流程，对收到的各类申请进行及时登记、逐项审核，并在法定时限内完成答复工作，切实维护公民、法人及其他组织的合法知情权。建立内部常态化监督机制，定期对各科室、下属单位的政务公开工作开展专项检查，重点围绕信息更新及时性、内容完整性、格式规范性等核心维度进行核查，对发现的问题建立台账、限期整改，确保政务公开工作质量持续提升。</w:t>
      </w:r>
    </w:p>
    <w:p w14:paraId="258C2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二、主动公开政府信息情况</w:t>
      </w:r>
    </w:p>
    <w:tbl>
      <w:tblPr>
        <w:tblStyle w:val="6"/>
        <w:tblW w:w="8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77"/>
        <w:gridCol w:w="1756"/>
        <w:gridCol w:w="1633"/>
        <w:gridCol w:w="1734"/>
      </w:tblGrid>
      <w:tr w14:paraId="3D80A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  <w:jc w:val="center"/>
        </w:trPr>
        <w:tc>
          <w:tcPr>
            <w:tcW w:w="8300" w:type="dxa"/>
            <w:gridSpan w:val="4"/>
            <w:shd w:val="clear" w:color="auto" w:fill="C6D9F1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5ED3D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第二十条第（一）项</w:t>
            </w:r>
          </w:p>
        </w:tc>
      </w:tr>
      <w:tr w14:paraId="2C603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  <w:jc w:val="center"/>
        </w:trPr>
        <w:tc>
          <w:tcPr>
            <w:tcW w:w="3177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3395A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1756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514F9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本年制发件数</w:t>
            </w:r>
          </w:p>
        </w:tc>
        <w:tc>
          <w:tcPr>
            <w:tcW w:w="1633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9A157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本年废止件数</w:t>
            </w:r>
          </w:p>
        </w:tc>
        <w:tc>
          <w:tcPr>
            <w:tcW w:w="1734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6D322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现行有效件数</w:t>
            </w:r>
          </w:p>
        </w:tc>
      </w:tr>
      <w:tr w14:paraId="131A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  <w:jc w:val="center"/>
        </w:trPr>
        <w:tc>
          <w:tcPr>
            <w:tcW w:w="3177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E795E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规章</w:t>
            </w:r>
          </w:p>
        </w:tc>
        <w:tc>
          <w:tcPr>
            <w:tcW w:w="1756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A4822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33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FCDDA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34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5C716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E6E6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  <w:jc w:val="center"/>
        </w:trPr>
        <w:tc>
          <w:tcPr>
            <w:tcW w:w="3177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E3666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行政规范性文件</w:t>
            </w:r>
          </w:p>
        </w:tc>
        <w:tc>
          <w:tcPr>
            <w:tcW w:w="1756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C4B77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33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CFA9F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34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4778C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402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  <w:jc w:val="center"/>
        </w:trPr>
        <w:tc>
          <w:tcPr>
            <w:tcW w:w="8300" w:type="dxa"/>
            <w:gridSpan w:val="4"/>
            <w:shd w:val="clear" w:color="auto" w:fill="C6D9F1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BD26D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第二十条第（五）项</w:t>
            </w:r>
          </w:p>
        </w:tc>
      </w:tr>
      <w:tr w14:paraId="5C3AB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  <w:jc w:val="center"/>
        </w:trPr>
        <w:tc>
          <w:tcPr>
            <w:tcW w:w="3177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C77E2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5123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CD6D2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本年处理决定数量</w:t>
            </w:r>
          </w:p>
        </w:tc>
      </w:tr>
      <w:tr w14:paraId="597CA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  <w:jc w:val="center"/>
        </w:trPr>
        <w:tc>
          <w:tcPr>
            <w:tcW w:w="3177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A1054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行政许可</w:t>
            </w:r>
          </w:p>
        </w:tc>
        <w:tc>
          <w:tcPr>
            <w:tcW w:w="5123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E1C31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45</w:t>
            </w:r>
          </w:p>
        </w:tc>
      </w:tr>
      <w:tr w14:paraId="7AB2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  <w:jc w:val="center"/>
        </w:trPr>
        <w:tc>
          <w:tcPr>
            <w:tcW w:w="8300" w:type="dxa"/>
            <w:gridSpan w:val="4"/>
            <w:shd w:val="clear" w:color="auto" w:fill="C6D9F1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29C44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第二十条第（六）项</w:t>
            </w:r>
          </w:p>
        </w:tc>
      </w:tr>
      <w:tr w14:paraId="6E62E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  <w:jc w:val="center"/>
        </w:trPr>
        <w:tc>
          <w:tcPr>
            <w:tcW w:w="3177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5727E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5123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CBA98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本年处理决定数量</w:t>
            </w:r>
          </w:p>
        </w:tc>
      </w:tr>
      <w:tr w14:paraId="09260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77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26692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行政处罚</w:t>
            </w:r>
          </w:p>
        </w:tc>
        <w:tc>
          <w:tcPr>
            <w:tcW w:w="5123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235B5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7</w:t>
            </w:r>
          </w:p>
        </w:tc>
      </w:tr>
      <w:tr w14:paraId="3D25D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  <w:jc w:val="center"/>
        </w:trPr>
        <w:tc>
          <w:tcPr>
            <w:tcW w:w="3177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24048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行政强制</w:t>
            </w:r>
          </w:p>
        </w:tc>
        <w:tc>
          <w:tcPr>
            <w:tcW w:w="5123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25DDD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2091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  <w:jc w:val="center"/>
        </w:trPr>
        <w:tc>
          <w:tcPr>
            <w:tcW w:w="8300" w:type="dxa"/>
            <w:gridSpan w:val="4"/>
            <w:shd w:val="clear" w:color="auto" w:fill="C6D9F1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E32D9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第二十条第（八）项</w:t>
            </w:r>
          </w:p>
        </w:tc>
      </w:tr>
      <w:tr w14:paraId="779AD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  <w:jc w:val="center"/>
        </w:trPr>
        <w:tc>
          <w:tcPr>
            <w:tcW w:w="3177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9888A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5123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1F6FD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本年收费金额（单位：万元）</w:t>
            </w:r>
          </w:p>
        </w:tc>
      </w:tr>
      <w:tr w14:paraId="4AB5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3177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31411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行政事业性收费</w:t>
            </w:r>
          </w:p>
        </w:tc>
        <w:tc>
          <w:tcPr>
            <w:tcW w:w="5123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A6287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4003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三、收到和处理政府信息公开申请情况</w:t>
      </w:r>
    </w:p>
    <w:tbl>
      <w:tblPr>
        <w:tblStyle w:val="6"/>
        <w:tblW w:w="94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956"/>
        <w:gridCol w:w="3071"/>
        <w:gridCol w:w="592"/>
        <w:gridCol w:w="780"/>
        <w:gridCol w:w="708"/>
        <w:gridCol w:w="679"/>
        <w:gridCol w:w="752"/>
        <w:gridCol w:w="665"/>
        <w:gridCol w:w="651"/>
      </w:tblGrid>
      <w:tr w14:paraId="28AD03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57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94377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82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19C53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申请人情况</w:t>
            </w:r>
          </w:p>
        </w:tc>
      </w:tr>
      <w:tr w14:paraId="080813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4657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61A7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5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FC90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自然人</w:t>
            </w:r>
          </w:p>
        </w:tc>
        <w:tc>
          <w:tcPr>
            <w:tcW w:w="35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E9642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法人或其他组织</w:t>
            </w:r>
          </w:p>
        </w:tc>
        <w:tc>
          <w:tcPr>
            <w:tcW w:w="6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334BE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总计</w:t>
            </w:r>
          </w:p>
        </w:tc>
      </w:tr>
      <w:tr w14:paraId="5D878D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657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74E0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96CC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7BD6C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商业</w:t>
            </w:r>
          </w:p>
          <w:p w14:paraId="5B42E49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企业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42FF1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科研</w:t>
            </w:r>
          </w:p>
          <w:p w14:paraId="49DE2EE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机构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ACC18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社会公益组织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C82A4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法律服务机构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A04EB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其他</w:t>
            </w:r>
          </w:p>
        </w:tc>
        <w:tc>
          <w:tcPr>
            <w:tcW w:w="6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5E80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 w14:paraId="192460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EC005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25AB1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8D0C9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6497A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596A3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3DF1B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47C48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159FF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5D321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CED3A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BCD21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BED37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4D2E5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660B1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374C0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3F9A9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901A1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6C00A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08A3D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三、本年度办理结果</w:t>
            </w:r>
          </w:p>
        </w:tc>
        <w:tc>
          <w:tcPr>
            <w:tcW w:w="40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B597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（一）予以公开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7CDF0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729D6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00E7C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6E053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9FA9F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E924E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BA4B6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C5DEB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DC87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40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F27FC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C4C44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47BCA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5DE25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F9A90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8072F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3D14D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EE987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DB08E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4F35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308DB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（三）不予公开</w:t>
            </w: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6C898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1.属于国家秘密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907F2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3DBFF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36309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2F25C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ED4C5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7A506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128FF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C1A4D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A98D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DC83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10E46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2.其他法律行政法规禁止公开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C4529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5680C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02AC2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D5F91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AA433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5F279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52B0A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E1FA1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A4731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C58A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4D729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3.危及“三安全一稳定”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1CBC6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3C481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58D1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A0289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D8112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1330F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C57E1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20BE5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74CC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27C4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DBF62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4.保护第三方合法权益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DC000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C1481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D6053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E0BC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5F980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07BA5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C88A6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0B3B0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BAF4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DE25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86EE3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5.属于三类内部事务信息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DD0FA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558F2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62FB7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7144D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9AD48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A60AD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80B26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F9C3A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B957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F5C2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28A3B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6.属于四类过程性信息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E5FED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E0DEE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B552C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66171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980BD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ADF61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CC0F9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DD5AB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2623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8BA4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FADB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7.属于行政执法案卷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B9B71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62E8F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B54E6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9030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D996B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85E3D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5A91F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6FE46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5E3F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4FE8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5F695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8.属于行政查询事项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F9B39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506AE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1400C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387EB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B438D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3886D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19BB7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411A1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F667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3B634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（四）无法提供</w:t>
            </w: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DD4A7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1.本机关不掌握相关政府信息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0832F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A190A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9B2B5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AF0A1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41397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A38FE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81B70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C3F79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C0AC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FA00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22CF2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2.没有现成信息需要另行制作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E8C7E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C640B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0112E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25D40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9136D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9CDA6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BC95B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3EE1A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BD33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FE0E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668EE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3.补正后申请内容仍不明确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A63E4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CD7F5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A2ECB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499D6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7D7FE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72CE3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E68DE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E00F9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813D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B2376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（五）不予处理</w:t>
            </w: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A3B8F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1.信访举报投诉类申请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257C8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DC7A4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508E0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1E9A3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F9670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E778D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0C06A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27C0C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5FA1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EB53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7560E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2.重复申请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811CD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8852F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DF87F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80E06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18914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D06E3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94046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AC75E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F58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F200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2A481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3.要求提供公开出版物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52460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B4FA3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356B1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B9127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A2DEC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B39AD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3B0EC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26878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E05D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34DE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5FFDF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4.无正当理由大量反复申请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36366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A42C8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36A69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F69BF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975D4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6B9F0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99B8D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DC1FB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7AE2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F8E5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54801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DF049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4BBEB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FC3C8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BCF65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9C913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330F1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445CF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93A9E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7FEE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5CDE9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（六）其他处理</w:t>
            </w: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FC36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0361C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5C136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75A2F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3F2D5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1A6E2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5A33E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60266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0B53B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5981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ABC7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D9AD5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2.申请人逾期未按通知要求缴纳费用、行政机关不再处理其政府信息公开申请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F302E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E9D63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0E763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126A6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7D6D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2019F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5DC65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97357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FC65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53F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2CA12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3.其他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FD07A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359F8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F2DD8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18ADB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1DD1C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FF11E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C182D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9C7E3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E18E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40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C7433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（七）总计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C2D4D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9D7FA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6F4D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10507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6F305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238EF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86F9E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3F337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246CB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四、结转下年度继续办理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2D387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97070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9F47E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FDAE3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7CAE3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84AFC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84D70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183A63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rPr>
          <w:rFonts w:hint="default" w:ascii="Times New Roman" w:hAnsi="Times New Roman" w:eastAsia="黑体" w:cs="Times New Roman"/>
          <w:bCs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四、政府信息公开行政复议、行政诉讼情况</w:t>
      </w:r>
    </w:p>
    <w:tbl>
      <w:tblPr>
        <w:tblStyle w:val="6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6"/>
        <w:gridCol w:w="596"/>
        <w:gridCol w:w="596"/>
        <w:gridCol w:w="596"/>
        <w:gridCol w:w="729"/>
        <w:gridCol w:w="552"/>
        <w:gridCol w:w="596"/>
        <w:gridCol w:w="596"/>
        <w:gridCol w:w="596"/>
        <w:gridCol w:w="611"/>
        <w:gridCol w:w="596"/>
        <w:gridCol w:w="596"/>
        <w:gridCol w:w="596"/>
        <w:gridCol w:w="596"/>
        <w:gridCol w:w="627"/>
      </w:tblGrid>
      <w:tr w14:paraId="6A758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3113" w:type="dxa"/>
            <w:gridSpan w:val="5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7105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行政复议</w:t>
            </w:r>
          </w:p>
        </w:tc>
        <w:tc>
          <w:tcPr>
            <w:tcW w:w="5962" w:type="dxa"/>
            <w:gridSpan w:val="10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1EAC8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行政诉讼</w:t>
            </w:r>
          </w:p>
        </w:tc>
      </w:tr>
      <w:tr w14:paraId="0BB09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6" w:type="dxa"/>
            <w:vMerge w:val="restart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D937D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结果维持</w:t>
            </w:r>
          </w:p>
        </w:tc>
        <w:tc>
          <w:tcPr>
            <w:tcW w:w="596" w:type="dxa"/>
            <w:vMerge w:val="restart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5DED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结果纠正</w:t>
            </w:r>
          </w:p>
        </w:tc>
        <w:tc>
          <w:tcPr>
            <w:tcW w:w="596" w:type="dxa"/>
            <w:vMerge w:val="restart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70BD5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其他结果</w:t>
            </w:r>
          </w:p>
        </w:tc>
        <w:tc>
          <w:tcPr>
            <w:tcW w:w="596" w:type="dxa"/>
            <w:vMerge w:val="restart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27C08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尚未审结</w:t>
            </w:r>
          </w:p>
        </w:tc>
        <w:tc>
          <w:tcPr>
            <w:tcW w:w="729" w:type="dxa"/>
            <w:vMerge w:val="restart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BFCF1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总计</w:t>
            </w:r>
          </w:p>
        </w:tc>
        <w:tc>
          <w:tcPr>
            <w:tcW w:w="2951" w:type="dxa"/>
            <w:gridSpan w:val="5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A11FA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未经复议直接起诉</w:t>
            </w:r>
          </w:p>
        </w:tc>
        <w:tc>
          <w:tcPr>
            <w:tcW w:w="3011" w:type="dxa"/>
            <w:gridSpan w:val="5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6AFFC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复议后起诉</w:t>
            </w:r>
          </w:p>
        </w:tc>
      </w:tr>
      <w:tr w14:paraId="04A1C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596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9239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596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0130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596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73C5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596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56B7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729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A1C4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552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08FA4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结果维持</w:t>
            </w:r>
          </w:p>
        </w:tc>
        <w:tc>
          <w:tcPr>
            <w:tcW w:w="596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0976A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结果纠正</w:t>
            </w:r>
          </w:p>
        </w:tc>
        <w:tc>
          <w:tcPr>
            <w:tcW w:w="596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BC208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其他结果</w:t>
            </w:r>
          </w:p>
        </w:tc>
        <w:tc>
          <w:tcPr>
            <w:tcW w:w="596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83723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尚未审结</w:t>
            </w:r>
          </w:p>
        </w:tc>
        <w:tc>
          <w:tcPr>
            <w:tcW w:w="611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CD32C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总计</w:t>
            </w:r>
          </w:p>
        </w:tc>
        <w:tc>
          <w:tcPr>
            <w:tcW w:w="596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3A904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结果维持</w:t>
            </w:r>
          </w:p>
        </w:tc>
        <w:tc>
          <w:tcPr>
            <w:tcW w:w="596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3F5AE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结果纠正</w:t>
            </w:r>
          </w:p>
        </w:tc>
        <w:tc>
          <w:tcPr>
            <w:tcW w:w="596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8A339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其他结果</w:t>
            </w:r>
          </w:p>
        </w:tc>
        <w:tc>
          <w:tcPr>
            <w:tcW w:w="596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9FB56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尚未审结</w:t>
            </w:r>
          </w:p>
        </w:tc>
        <w:tc>
          <w:tcPr>
            <w:tcW w:w="627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19349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auto"/>
                <w:spacing w:val="0"/>
                <w:sz w:val="21"/>
                <w:szCs w:val="21"/>
              </w:rPr>
              <w:t>总计</w:t>
            </w:r>
          </w:p>
        </w:tc>
      </w:tr>
      <w:tr w14:paraId="043F6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6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7F266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EF891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09FCF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0B2D7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F31B5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2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3395B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6CA2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C142B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AB162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1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9AAF1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B88BB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5A8DA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9A20D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6F55C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7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24B54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2649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五、现存问题与改进举措</w:t>
      </w:r>
    </w:p>
    <w:p w14:paraId="7F160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</w:rPr>
        <w:t>（一）主要问题剖析</w:t>
      </w:r>
    </w:p>
    <w:p w14:paraId="0E946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2025 年，我局政府信息公开工作在稳步推进中取得了一定成效，但对照《条例》要求与公众期待，仍存在明显短板。核心问题集中在信息更新的时效性不足，部分文化活动动态、广电行业资讯、旅游相关信息等未能第一时间通过公开渠道发布，导致公众获取信息存在时间差，不仅降低了信息的实用价值，也在一定程度上影响了公众参与文化旅游活动的积极性与便捷性。</w:t>
      </w:r>
    </w:p>
    <w:p w14:paraId="6AED6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highlight w:val="none"/>
        </w:rPr>
        <w:t>（二）针对性改进措施</w:t>
      </w:r>
    </w:p>
    <w:p w14:paraId="2FD98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下一步，我局将严格对标上级部门的工作部署，聚焦问题短板，采取三项关键改进措施：一是明确专人专责，指定专职人员负责信息的收集、整理、编辑与发布全流程工作，确保责任落实到人；二是制定刚性时间标准，细化信息发布时限要求，例如文化活动预告需提前 7 个工作日发布，活动结束后 48 小时内完成活动详情、现场图片等资料的补充更新，切实保障信息发布的及时性与准确性；三是丰富公开内容维度，扩大信息公开覆盖面，同时拓展多元化公开渠道，构建 “网站 + 微信 + 线下窗口” 的立体公开网络，全面提升政务公开工作的质量与水平。</w:t>
      </w:r>
    </w:p>
    <w:p w14:paraId="57B98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六、其他需报告事项</w:t>
      </w:r>
    </w:p>
    <w:p w14:paraId="05737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关于信息处理费收取情况：2025 年度，我局未向任何申请人发出信息处理费缴纳通知，也未实际收取任何信息处理费用。</w:t>
      </w:r>
    </w:p>
    <w:p w14:paraId="6518D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</w:p>
    <w:bookmarkEnd w:id="0"/>
    <w:sectPr>
      <w:pgSz w:w="11900" w:h="16820"/>
      <w:pgMar w:top="1440" w:right="1800" w:bottom="1440" w:left="1800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E22C6"/>
    <w:rsid w:val="02252360"/>
    <w:rsid w:val="06A9660C"/>
    <w:rsid w:val="0AA640A5"/>
    <w:rsid w:val="1D9E22C6"/>
    <w:rsid w:val="28835A34"/>
    <w:rsid w:val="30315D08"/>
    <w:rsid w:val="5D637240"/>
    <w:rsid w:val="5F1656C2"/>
    <w:rsid w:val="69DB3CAF"/>
    <w:rsid w:val="6AFB1B96"/>
    <w:rsid w:val="7D7B0126"/>
    <w:rsid w:val="7F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1260</Words>
  <Characters>1275</Characters>
  <Lines>0</Lines>
  <Paragraphs>0</Paragraphs>
  <TotalTime>19</TotalTime>
  <ScaleCrop>false</ScaleCrop>
  <LinksUpToDate>false</LinksUpToDate>
  <CharactersWithSpaces>1275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2025-01-15T19:09:00Z</dcterms:created>
  <dc:creator>PC-3</dc:creator>
  <cp:lastModifiedBy>绒绒</cp:lastModifiedBy>
  <cp:lastPrinted>2025-01-15T19:13:00Z</cp:lastPrinted>
  <dcterms:modified xsi:type="dcterms:W3CDTF">2026-01-16T06:50:43Z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C2819FEF9562415ABC4DEA2D19551FF0_13</vt:lpwstr>
  </property>
  <property fmtid="{D5CDD505-2E9C-101B-9397-08002B2CF9AE}" pid="4" name="KSOTemplateDocerSaveRecord">
    <vt:lpwstr>eyJoZGlkIjoiNmVkNjgwZWQxNTFkZGQ4M2I0ODI4YTYzNjliODkwOTIiLCJ1c2VySWQiOiIzMDA3ODU0MDMifQ==</vt:lpwstr>
  </property>
</Properties>
</file>