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004D99">
      <w:pPr>
        <w:bidi w:val="0"/>
        <w:rPr>
          <w:rFonts w:hint="eastAsia"/>
          <w:color w:val="auto"/>
          <w:lang w:val="en-US" w:eastAsia="zh-CN"/>
        </w:rPr>
      </w:pPr>
    </w:p>
    <w:p w14:paraId="00E8AFAF">
      <w:pPr>
        <w:bidi w:val="0"/>
        <w:rPr>
          <w:rFonts w:hint="eastAsia"/>
          <w:color w:val="auto"/>
          <w:lang w:val="en-US" w:eastAsia="zh-CN"/>
        </w:rPr>
      </w:pPr>
    </w:p>
    <w:p w14:paraId="0B2B9704">
      <w:pPr>
        <w:bidi w:val="0"/>
        <w:rPr>
          <w:rFonts w:hint="eastAsia"/>
          <w:color w:val="auto"/>
          <w:lang w:val="en-US" w:eastAsia="zh-CN"/>
        </w:rPr>
      </w:pPr>
    </w:p>
    <w:p w14:paraId="46019495">
      <w:pPr>
        <w:bidi w:val="0"/>
        <w:rPr>
          <w:rFonts w:hint="eastAsia"/>
          <w:color w:val="auto"/>
          <w:lang w:val="en-US" w:eastAsia="zh-CN"/>
        </w:rPr>
      </w:pPr>
    </w:p>
    <w:p w14:paraId="71B24F2B">
      <w:pPr>
        <w:bidi w:val="0"/>
        <w:rPr>
          <w:rFonts w:hint="eastAsia"/>
          <w:color w:val="auto"/>
          <w:lang w:val="en-US" w:eastAsia="zh-CN"/>
        </w:rPr>
      </w:pPr>
    </w:p>
    <w:p w14:paraId="701FD137">
      <w:pPr>
        <w:bidi w:val="0"/>
        <w:rPr>
          <w:rFonts w:hint="eastAsia"/>
          <w:color w:val="auto"/>
          <w:lang w:val="en-US" w:eastAsia="zh-CN"/>
        </w:rPr>
      </w:pPr>
    </w:p>
    <w:p w14:paraId="7D6E804B">
      <w:pPr>
        <w:bidi w:val="0"/>
        <w:rPr>
          <w:rFonts w:hint="eastAsia"/>
          <w:color w:val="auto"/>
          <w:lang w:val="en-US" w:eastAsia="zh-CN"/>
        </w:rPr>
      </w:pPr>
    </w:p>
    <w:p w14:paraId="08D9E722">
      <w:pPr>
        <w:bidi w:val="0"/>
        <w:rPr>
          <w:rFonts w:hint="eastAsia"/>
          <w:color w:val="auto"/>
          <w:lang w:val="en-US" w:eastAsia="zh-CN"/>
        </w:rPr>
      </w:pPr>
    </w:p>
    <w:p w14:paraId="0A83B85F">
      <w:pPr>
        <w:bidi w:val="0"/>
        <w:rPr>
          <w:rFonts w:hint="eastAsia"/>
          <w:color w:val="auto"/>
          <w:lang w:val="en-US" w:eastAsia="zh-CN"/>
        </w:rPr>
      </w:pPr>
    </w:p>
    <w:p w14:paraId="3211AA5A">
      <w:pPr>
        <w:bidi w:val="0"/>
        <w:rPr>
          <w:rFonts w:hint="eastAsia"/>
          <w:color w:val="auto"/>
          <w:lang w:val="en-US" w:eastAsia="zh-CN"/>
        </w:rPr>
      </w:pPr>
    </w:p>
    <w:p w14:paraId="14BB8477">
      <w:pPr>
        <w:pStyle w:val="5"/>
        <w:bidi w:val="0"/>
        <w:spacing w:before="157" w:beforeLines="50" w:line="360" w:lineRule="auto"/>
        <w:ind w:firstLine="0" w:firstLineChars="0"/>
        <w:jc w:val="center"/>
        <w:outlineLvl w:val="9"/>
        <w:rPr>
          <w:rFonts w:hint="eastAsia" w:ascii="方正小标宋简体" w:hAnsi="方正小标宋简体" w:eastAsia="方正小标宋简体" w:cs="方正小标宋简体"/>
          <w:b/>
          <w:bCs/>
          <w:color w:val="auto"/>
          <w:sz w:val="48"/>
          <w:szCs w:val="48"/>
          <w:lang w:val="en-US" w:eastAsia="zh-CN"/>
        </w:rPr>
      </w:pPr>
      <w:bookmarkStart w:id="0" w:name="_Toc1649"/>
      <w:bookmarkStart w:id="1" w:name="_Toc15227"/>
      <w:bookmarkStart w:id="2" w:name="_Toc19398"/>
      <w:r>
        <w:rPr>
          <w:rFonts w:hint="eastAsia" w:ascii="方正小标宋简体" w:hAnsi="方正小标宋简体" w:eastAsia="方正小标宋简体" w:cs="方正小标宋简体"/>
          <w:b/>
          <w:bCs/>
          <w:color w:val="auto"/>
          <w:sz w:val="48"/>
          <w:szCs w:val="48"/>
          <w:lang w:val="en-US" w:eastAsia="zh-CN"/>
        </w:rPr>
        <w:t>五华县农业农村现代化“十五五”规划</w:t>
      </w:r>
      <w:bookmarkEnd w:id="0"/>
      <w:bookmarkEnd w:id="1"/>
      <w:bookmarkEnd w:id="2"/>
    </w:p>
    <w:p w14:paraId="471BC719">
      <w:pPr>
        <w:pStyle w:val="5"/>
        <w:ind w:firstLine="0" w:firstLineChars="0"/>
        <w:jc w:val="center"/>
        <w:rPr>
          <w:rFonts w:hint="eastAsia" w:ascii="方正小标宋简体" w:hAnsi="方正小标宋简体" w:eastAsia="方正小标宋简体" w:cs="方正小标宋简体"/>
          <w:b/>
          <w:bCs/>
          <w:color w:val="auto"/>
          <w:sz w:val="32"/>
          <w:szCs w:val="24"/>
          <w:lang w:val="en-US" w:eastAsia="zh-CN"/>
        </w:rPr>
      </w:pPr>
      <w:r>
        <w:rPr>
          <w:rFonts w:hint="eastAsia" w:ascii="方正小标宋简体" w:hAnsi="方正小标宋简体" w:eastAsia="方正小标宋简体" w:cs="方正小标宋简体"/>
          <w:b/>
          <w:bCs/>
          <w:color w:val="auto"/>
          <w:sz w:val="32"/>
          <w:szCs w:val="24"/>
          <w:lang w:val="en-US" w:eastAsia="zh-CN"/>
        </w:rPr>
        <w:t>（征求意见稿）</w:t>
      </w:r>
    </w:p>
    <w:p w14:paraId="21616549">
      <w:pPr>
        <w:bidi w:val="0"/>
        <w:rPr>
          <w:rFonts w:hint="eastAsia"/>
          <w:color w:val="auto"/>
          <w:lang w:val="en-US" w:eastAsia="zh-CN"/>
        </w:rPr>
      </w:pPr>
    </w:p>
    <w:p w14:paraId="372AAA62">
      <w:pPr>
        <w:bidi w:val="0"/>
        <w:rPr>
          <w:rFonts w:hint="eastAsia"/>
          <w:color w:val="auto"/>
          <w:lang w:val="en-US" w:eastAsia="zh-CN"/>
        </w:rPr>
      </w:pPr>
    </w:p>
    <w:p w14:paraId="1AD61C32">
      <w:pPr>
        <w:bidi w:val="0"/>
        <w:rPr>
          <w:rFonts w:hint="eastAsia"/>
          <w:color w:val="auto"/>
          <w:lang w:val="en-US" w:eastAsia="zh-CN"/>
        </w:rPr>
      </w:pPr>
    </w:p>
    <w:p w14:paraId="0794F16B">
      <w:pPr>
        <w:bidi w:val="0"/>
        <w:rPr>
          <w:rFonts w:hint="eastAsia"/>
          <w:color w:val="auto"/>
          <w:lang w:val="en-US" w:eastAsia="zh-CN"/>
        </w:rPr>
      </w:pPr>
    </w:p>
    <w:p w14:paraId="793418D1">
      <w:pPr>
        <w:bidi w:val="0"/>
        <w:rPr>
          <w:rFonts w:hint="eastAsia"/>
          <w:color w:val="auto"/>
          <w:lang w:val="en-US" w:eastAsia="zh-CN"/>
        </w:rPr>
      </w:pPr>
    </w:p>
    <w:p w14:paraId="0F1854EB">
      <w:pPr>
        <w:bidi w:val="0"/>
        <w:rPr>
          <w:rFonts w:hint="eastAsia"/>
          <w:color w:val="auto"/>
          <w:lang w:val="en-US" w:eastAsia="zh-CN"/>
        </w:rPr>
      </w:pPr>
    </w:p>
    <w:p w14:paraId="13ED9C58">
      <w:pPr>
        <w:bidi w:val="0"/>
        <w:rPr>
          <w:rFonts w:hint="eastAsia"/>
          <w:color w:val="auto"/>
          <w:lang w:val="en-US" w:eastAsia="zh-CN"/>
        </w:rPr>
      </w:pPr>
    </w:p>
    <w:p w14:paraId="60542CF7">
      <w:pPr>
        <w:bidi w:val="0"/>
        <w:rPr>
          <w:rFonts w:hint="eastAsia"/>
          <w:color w:val="auto"/>
          <w:lang w:val="en-US" w:eastAsia="zh-CN"/>
        </w:rPr>
      </w:pPr>
    </w:p>
    <w:p w14:paraId="000B9536">
      <w:pPr>
        <w:bidi w:val="0"/>
        <w:rPr>
          <w:rFonts w:hint="eastAsia"/>
          <w:color w:val="auto"/>
          <w:lang w:val="en-US" w:eastAsia="zh-CN"/>
        </w:rPr>
      </w:pPr>
    </w:p>
    <w:p w14:paraId="30D22B9B">
      <w:pPr>
        <w:bidi w:val="0"/>
        <w:rPr>
          <w:rFonts w:hint="eastAsia"/>
          <w:color w:val="auto"/>
          <w:lang w:val="en-US" w:eastAsia="zh-CN"/>
        </w:rPr>
      </w:pPr>
    </w:p>
    <w:p w14:paraId="493286A7">
      <w:pPr>
        <w:bidi w:val="0"/>
        <w:rPr>
          <w:rFonts w:hint="eastAsia"/>
          <w:color w:val="auto"/>
          <w:lang w:val="en-US" w:eastAsia="zh-CN"/>
        </w:rPr>
      </w:pPr>
    </w:p>
    <w:p w14:paraId="7559E8F4">
      <w:pPr>
        <w:bidi w:val="0"/>
        <w:rPr>
          <w:rFonts w:hint="eastAsia"/>
          <w:color w:val="auto"/>
          <w:lang w:val="en-US" w:eastAsia="zh-CN"/>
        </w:rPr>
      </w:pPr>
    </w:p>
    <w:p w14:paraId="33357B86">
      <w:pPr>
        <w:bidi w:val="0"/>
        <w:rPr>
          <w:rFonts w:hint="eastAsia"/>
          <w:color w:val="auto"/>
          <w:lang w:val="en-US" w:eastAsia="zh-CN"/>
        </w:rPr>
      </w:pPr>
    </w:p>
    <w:p w14:paraId="57727F20">
      <w:pPr>
        <w:bidi w:val="0"/>
        <w:rPr>
          <w:rFonts w:hint="eastAsia"/>
          <w:color w:val="auto"/>
          <w:lang w:val="en-US" w:eastAsia="zh-CN"/>
        </w:rPr>
      </w:pPr>
    </w:p>
    <w:p w14:paraId="7455ED46">
      <w:pPr>
        <w:bidi w:val="0"/>
        <w:rPr>
          <w:rFonts w:hint="eastAsia"/>
          <w:color w:val="auto"/>
          <w:lang w:val="en-US" w:eastAsia="zh-CN"/>
        </w:rPr>
      </w:pPr>
    </w:p>
    <w:p w14:paraId="068B383D">
      <w:pPr>
        <w:bidi w:val="0"/>
        <w:rPr>
          <w:rFonts w:hint="eastAsia"/>
          <w:color w:val="auto"/>
          <w:lang w:val="en-US" w:eastAsia="zh-CN"/>
        </w:rPr>
      </w:pPr>
    </w:p>
    <w:p w14:paraId="2109CFE6">
      <w:pPr>
        <w:bidi w:val="0"/>
        <w:rPr>
          <w:rFonts w:hint="eastAsia"/>
          <w:color w:val="auto"/>
          <w:lang w:val="en-US" w:eastAsia="zh-CN"/>
        </w:rPr>
      </w:pPr>
    </w:p>
    <w:p w14:paraId="2D0B3E55">
      <w:pPr>
        <w:bidi w:val="0"/>
        <w:rPr>
          <w:rFonts w:hint="eastAsia"/>
          <w:color w:val="auto"/>
          <w:lang w:val="en-US" w:eastAsia="zh-CN"/>
        </w:rPr>
      </w:pPr>
    </w:p>
    <w:p w14:paraId="0D4AE3A7">
      <w:pPr>
        <w:bidi w:val="0"/>
        <w:rPr>
          <w:rFonts w:hint="eastAsia"/>
          <w:color w:val="auto"/>
          <w:lang w:val="en-US" w:eastAsia="zh-CN"/>
        </w:rPr>
      </w:pPr>
    </w:p>
    <w:p w14:paraId="15052599">
      <w:pPr>
        <w:bidi w:val="0"/>
        <w:rPr>
          <w:rFonts w:hint="eastAsia"/>
          <w:color w:val="auto"/>
          <w:lang w:val="en-US" w:eastAsia="zh-CN"/>
        </w:rPr>
      </w:pPr>
    </w:p>
    <w:p w14:paraId="7672F406">
      <w:pPr>
        <w:pStyle w:val="5"/>
        <w:ind w:firstLine="0" w:firstLineChars="0"/>
        <w:jc w:val="center"/>
        <w:rPr>
          <w:rFonts w:hint="eastAsia" w:ascii="黑体" w:hAnsi="黑体" w:eastAsia="黑体" w:cs="黑体"/>
          <w:b/>
          <w:bCs/>
          <w:color w:val="auto"/>
          <w:sz w:val="36"/>
          <w:szCs w:val="36"/>
          <w:lang w:val="en-US" w:eastAsia="zh-CN"/>
        </w:rPr>
      </w:pPr>
      <w:r>
        <w:rPr>
          <w:rFonts w:hint="eastAsia" w:ascii="黑体" w:hAnsi="黑体" w:eastAsia="黑体" w:cs="黑体"/>
          <w:b/>
          <w:bCs/>
          <w:color w:val="auto"/>
          <w:sz w:val="36"/>
          <w:szCs w:val="36"/>
        </w:rPr>
        <w:t>五华县</w:t>
      </w:r>
      <w:r>
        <w:rPr>
          <w:rFonts w:hint="eastAsia" w:ascii="黑体" w:hAnsi="黑体" w:eastAsia="黑体" w:cs="黑体"/>
          <w:b/>
          <w:bCs/>
          <w:color w:val="auto"/>
          <w:sz w:val="36"/>
          <w:szCs w:val="36"/>
          <w:lang w:val="en-US" w:eastAsia="zh-CN"/>
        </w:rPr>
        <w:t>农业农村局</w:t>
      </w:r>
    </w:p>
    <w:p w14:paraId="07783059">
      <w:pPr>
        <w:pStyle w:val="5"/>
        <w:ind w:firstLine="0" w:firstLineChars="0"/>
        <w:jc w:val="center"/>
        <w:rPr>
          <w:rFonts w:hint="eastAsia" w:ascii="黑体" w:hAnsi="黑体" w:eastAsia="黑体" w:cs="黑体"/>
          <w:color w:val="auto"/>
          <w:sz w:val="36"/>
          <w:szCs w:val="36"/>
        </w:rPr>
      </w:pPr>
      <w:r>
        <w:rPr>
          <w:rFonts w:hint="eastAsia" w:ascii="黑体" w:hAnsi="黑体" w:eastAsia="黑体" w:cs="黑体"/>
          <w:b/>
          <w:bCs/>
          <w:color w:val="auto"/>
          <w:sz w:val="36"/>
          <w:szCs w:val="36"/>
          <w:lang w:val="en-US" w:eastAsia="zh-CN"/>
        </w:rPr>
        <w:t>二〇二六</w:t>
      </w:r>
      <w:r>
        <w:rPr>
          <w:rFonts w:hint="eastAsia" w:ascii="黑体" w:hAnsi="黑体" w:eastAsia="黑体" w:cs="黑体"/>
          <w:b/>
          <w:bCs/>
          <w:color w:val="auto"/>
          <w:sz w:val="36"/>
          <w:szCs w:val="36"/>
        </w:rPr>
        <w:t>年</w:t>
      </w:r>
      <w:r>
        <w:rPr>
          <w:rFonts w:hint="eastAsia" w:ascii="黑体" w:hAnsi="黑体" w:eastAsia="黑体" w:cs="黑体"/>
          <w:b/>
          <w:bCs/>
          <w:color w:val="auto"/>
          <w:sz w:val="36"/>
          <w:szCs w:val="36"/>
          <w:lang w:val="en-US" w:eastAsia="zh-CN"/>
        </w:rPr>
        <w:t>五</w:t>
      </w:r>
      <w:r>
        <w:rPr>
          <w:rFonts w:hint="eastAsia" w:ascii="黑体" w:hAnsi="黑体" w:eastAsia="黑体" w:cs="黑体"/>
          <w:b/>
          <w:bCs/>
          <w:color w:val="auto"/>
          <w:sz w:val="36"/>
          <w:szCs w:val="36"/>
        </w:rPr>
        <w:t>月</w:t>
      </w:r>
    </w:p>
    <w:p w14:paraId="7D344F7D">
      <w:pPr>
        <w:rPr>
          <w:rFonts w:hint="eastAsia"/>
          <w:color w:val="auto"/>
        </w:rPr>
      </w:pPr>
    </w:p>
    <w:p w14:paraId="222A0B51">
      <w:pPr>
        <w:rPr>
          <w:rFonts w:hint="eastAsia"/>
          <w:color w:val="auto"/>
          <w:lang w:val="en-US" w:eastAsia="zh-CN"/>
        </w:rPr>
      </w:pPr>
    </w:p>
    <w:p w14:paraId="5011E7CC">
      <w:pPr>
        <w:spacing w:line="240" w:lineRule="auto"/>
        <w:ind w:firstLine="0" w:firstLineChars="0"/>
        <w:rPr>
          <w:color w:val="auto"/>
        </w:rPr>
        <w:sectPr>
          <w:pgSz w:w="11906" w:h="16838"/>
          <w:pgMar w:top="1587" w:right="1474" w:bottom="1474" w:left="1474"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CFD3003">
      <w:pPr>
        <w:pStyle w:val="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黑体" w:hAnsi="黑体" w:eastAsia="黑体" w:cs="黑体"/>
          <w:b/>
          <w:bCs/>
          <w:color w:val="auto"/>
          <w:sz w:val="36"/>
          <w:szCs w:val="21"/>
        </w:rPr>
      </w:pPr>
      <w:r>
        <w:rPr>
          <w:rFonts w:hint="eastAsia" w:ascii="黑体" w:hAnsi="黑体" w:eastAsia="黑体" w:cs="黑体"/>
          <w:b/>
          <w:bCs/>
          <w:color w:val="auto"/>
          <w:sz w:val="36"/>
          <w:szCs w:val="21"/>
        </w:rPr>
        <w:t xml:space="preserve">前 </w:t>
      </w:r>
      <w:r>
        <w:rPr>
          <w:rFonts w:hint="eastAsia" w:ascii="黑体" w:hAnsi="黑体" w:eastAsia="黑体" w:cs="黑体"/>
          <w:b/>
          <w:bCs/>
          <w:color w:val="auto"/>
          <w:sz w:val="36"/>
          <w:szCs w:val="21"/>
          <w:lang w:val="en-US" w:eastAsia="zh-CN"/>
        </w:rPr>
        <w:t xml:space="preserve"> </w:t>
      </w:r>
      <w:r>
        <w:rPr>
          <w:rFonts w:hint="eastAsia" w:ascii="黑体" w:hAnsi="黑体" w:eastAsia="黑体" w:cs="黑体"/>
          <w:b/>
          <w:bCs/>
          <w:color w:val="auto"/>
          <w:sz w:val="36"/>
          <w:szCs w:val="21"/>
        </w:rPr>
        <w:t>言</w:t>
      </w:r>
    </w:p>
    <w:p w14:paraId="47CCFAC2">
      <w:pPr>
        <w:pStyle w:val="5"/>
        <w:bidi w:val="0"/>
        <w:rPr>
          <w:rFonts w:hint="eastAsia"/>
          <w:color w:val="auto"/>
        </w:rPr>
      </w:pPr>
      <w:r>
        <w:rPr>
          <w:rFonts w:hint="eastAsia"/>
          <w:color w:val="auto"/>
        </w:rPr>
        <w:t>“十五五”时期（2026年—2030年）是五华县基本实现社会主义现代化的全面发力期，是推动县域经济高质量发展、深化苏区融湾先行区建设的战略机遇期，也是五华加快建设现代农业强县、推动农业农村现代化取得突破性进展的攻坚期。</w:t>
      </w:r>
    </w:p>
    <w:p w14:paraId="7F1397E0">
      <w:pPr>
        <w:pStyle w:val="5"/>
        <w:bidi w:val="0"/>
        <w:rPr>
          <w:rFonts w:hint="eastAsia"/>
          <w:color w:val="auto"/>
        </w:rPr>
      </w:pPr>
      <w:r>
        <w:rPr>
          <w:rFonts w:hint="eastAsia"/>
          <w:color w:val="auto"/>
        </w:rPr>
        <w:t>本规划是《五华县国民经济和社会发展第十五个五年规划纲要》在农业农村领域的重点专项规划</w:t>
      </w:r>
      <w:r>
        <w:rPr>
          <w:rFonts w:hint="eastAsia"/>
          <w:color w:val="auto"/>
          <w:lang w:eastAsia="zh-CN"/>
        </w:rPr>
        <w:t>。</w:t>
      </w:r>
      <w:r>
        <w:rPr>
          <w:rFonts w:hint="eastAsia"/>
          <w:color w:val="auto"/>
        </w:rPr>
        <w:t>规划紧扣国家乡村振兴战略、广东省</w:t>
      </w:r>
      <w:r>
        <w:rPr>
          <w:rFonts w:hint="eastAsia"/>
          <w:color w:val="auto"/>
          <w:lang w:eastAsia="zh-CN"/>
        </w:rPr>
        <w:t>“百县千镇万村高质量发展工程”</w:t>
      </w:r>
      <w:r>
        <w:rPr>
          <w:rFonts w:hint="eastAsia"/>
          <w:color w:val="auto"/>
        </w:rPr>
        <w:t>（以下简称“百千万工程”）及苏区融湾先行区建设部署，立足五华县情农情与发展实际，系统谋划“十五五”时期农业农村现代化的指导思想、发展目标、空间布局、重点任务与保障措施，是指导五华县“十五五”时期农业农村发展的行动纲领和重要依据。</w:t>
      </w:r>
    </w:p>
    <w:p w14:paraId="2CAB3403">
      <w:pPr>
        <w:pStyle w:val="5"/>
        <w:bidi w:val="0"/>
        <w:rPr>
          <w:color w:val="auto"/>
          <w:lang w:val="en-US" w:eastAsia="zh-CN"/>
        </w:rPr>
        <w:sectPr>
          <w:footerReference r:id="rId3" w:type="default"/>
          <w:pgSz w:w="11906" w:h="16838"/>
          <w:pgMar w:top="1587" w:right="1474" w:bottom="1474" w:left="1474"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黑体" w:hAnsi="黑体" w:eastAsia="黑体"/>
          <w:b/>
          <w:bCs/>
          <w:color w:val="auto"/>
          <w:sz w:val="36"/>
          <w:szCs w:val="36"/>
          <w:lang w:val="en-US" w:eastAsia="zh-CN"/>
        </w:rPr>
        <w:id w:val="147451878"/>
        <w15:color w:val="DBDBDB"/>
        <w:docPartObj>
          <w:docPartGallery w:val="Table of Contents"/>
          <w:docPartUnique/>
        </w:docPartObj>
      </w:sdtPr>
      <w:sdtEndPr>
        <w:rPr>
          <w:rFonts w:hint="eastAsia" w:ascii="宋体" w:hAnsi="宋体" w:eastAsia="宋体" w:cs="宋体"/>
          <w:b/>
          <w:bCs/>
          <w:color w:val="auto"/>
          <w:kern w:val="2"/>
          <w:sz w:val="28"/>
          <w:szCs w:val="28"/>
          <w:lang w:val="en-US" w:eastAsia="zh-CN" w:bidi="ar-SA"/>
        </w:rPr>
      </w:sdtEndPr>
      <w:sdtContent>
        <w:p w14:paraId="3ACA6F5C">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0" w:firstLineChars="0"/>
            <w:jc w:val="center"/>
            <w:textAlignment w:val="auto"/>
            <w:rPr>
              <w:rStyle w:val="19"/>
              <w:rFonts w:hint="eastAsia" w:ascii="黑体" w:hAnsi="黑体" w:eastAsia="黑体" w:cs="黑体"/>
              <w:color w:val="auto"/>
              <w:sz w:val="36"/>
              <w:szCs w:val="36"/>
              <w:lang w:val="zh-CN"/>
            </w:rPr>
          </w:pPr>
          <w:bookmarkStart w:id="3" w:name="_Toc26615"/>
          <w:bookmarkStart w:id="4" w:name="_Toc24796"/>
          <w:bookmarkStart w:id="5" w:name="_Toc31829"/>
          <w:bookmarkStart w:id="6" w:name="_Toc30754"/>
          <w:bookmarkStart w:id="7" w:name="_Toc996"/>
          <w:bookmarkStart w:id="8" w:name="_Toc9"/>
          <w:bookmarkStart w:id="9" w:name="_Toc11447"/>
          <w:bookmarkStart w:id="10" w:name="_Toc2940"/>
          <w:bookmarkStart w:id="11" w:name="_Toc12475"/>
          <w:bookmarkStart w:id="12" w:name="_Toc17978"/>
          <w:bookmarkStart w:id="13" w:name="_Toc29349"/>
          <w:bookmarkStart w:id="14" w:name="_Toc14337"/>
          <w:bookmarkStart w:id="15" w:name="_Toc11434"/>
          <w:bookmarkStart w:id="16" w:name="_Toc21027"/>
          <w:bookmarkStart w:id="17" w:name="_Toc6070"/>
          <w:bookmarkStart w:id="18" w:name="_Toc14785"/>
          <w:bookmarkStart w:id="19" w:name="_Toc14375"/>
          <w:bookmarkStart w:id="20" w:name="_Toc2360"/>
          <w:bookmarkStart w:id="21" w:name="_Toc11189"/>
          <w:r>
            <w:rPr>
              <w:rStyle w:val="19"/>
              <w:rFonts w:hint="eastAsia" w:ascii="黑体" w:hAnsi="黑体" w:eastAsia="黑体" w:cs="黑体"/>
              <w:color w:val="auto"/>
              <w:sz w:val="36"/>
              <w:szCs w:val="36"/>
              <w:lang w:val="zh-CN"/>
            </w:rPr>
            <w:t>目</w:t>
          </w:r>
          <w:r>
            <w:rPr>
              <w:rStyle w:val="19"/>
              <w:rFonts w:hint="eastAsia" w:ascii="黑体" w:hAnsi="黑体" w:eastAsia="黑体" w:cs="黑体"/>
              <w:color w:val="auto"/>
              <w:sz w:val="36"/>
              <w:szCs w:val="36"/>
              <w:lang w:val="en-US" w:eastAsia="zh-CN"/>
            </w:rPr>
            <w:t xml:space="preserve">  </w:t>
          </w:r>
          <w:r>
            <w:rPr>
              <w:rStyle w:val="19"/>
              <w:rFonts w:hint="eastAsia" w:ascii="黑体" w:hAnsi="黑体" w:eastAsia="黑体" w:cs="黑体"/>
              <w:color w:val="auto"/>
              <w:sz w:val="36"/>
              <w:szCs w:val="36"/>
              <w:lang w:val="zh-CN"/>
            </w:rPr>
            <w:t>录</w:t>
          </w:r>
        </w:p>
        <w:p w14:paraId="6EA11DF9">
          <w:pPr>
            <w:pStyle w:val="12"/>
            <w:tabs>
              <w:tab w:val="right" w:leader="dot" w:pos="8958"/>
              <w:tab w:val="clear" w:pos="8306"/>
            </w:tabs>
            <w:rPr>
              <w:color w:val="auto"/>
            </w:rPr>
          </w:pPr>
          <w:r>
            <w:rPr>
              <w:rFonts w:hint="eastAsia" w:ascii="宋体" w:hAnsi="宋体" w:eastAsia="宋体" w:cs="宋体"/>
              <w:color w:val="auto"/>
              <w:sz w:val="30"/>
              <w:szCs w:val="30"/>
              <w:lang w:val="en-US" w:eastAsia="zh-CN"/>
            </w:rPr>
            <w:fldChar w:fldCharType="begin"/>
          </w:r>
          <w:r>
            <w:rPr>
              <w:rFonts w:hint="eastAsia" w:ascii="宋体" w:hAnsi="宋体" w:eastAsia="宋体" w:cs="宋体"/>
              <w:color w:val="auto"/>
              <w:sz w:val="30"/>
              <w:szCs w:val="30"/>
              <w:lang w:val="en-US" w:eastAsia="zh-CN"/>
            </w:rPr>
            <w:instrText xml:space="preserve">TOC \o "1-2" \h \u </w:instrText>
          </w:r>
          <w:r>
            <w:rPr>
              <w:rFonts w:hint="eastAsia" w:ascii="宋体" w:hAnsi="宋体" w:eastAsia="宋体" w:cs="宋体"/>
              <w:color w:val="auto"/>
              <w:sz w:val="30"/>
              <w:szCs w:val="30"/>
              <w:lang w:val="en-US" w:eastAsia="zh-CN"/>
            </w:rPr>
            <w:fldChar w:fldCharType="separate"/>
          </w: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_Toc21319 </w:instrText>
          </w:r>
          <w:r>
            <w:rPr>
              <w:rFonts w:hint="eastAsia" w:ascii="宋体" w:hAnsi="宋体" w:eastAsia="宋体" w:cs="宋体"/>
              <w:color w:val="auto"/>
              <w:szCs w:val="30"/>
              <w:lang w:val="en-US" w:eastAsia="zh-CN"/>
            </w:rPr>
            <w:fldChar w:fldCharType="separate"/>
          </w:r>
          <w:r>
            <w:rPr>
              <w:rFonts w:hint="eastAsia"/>
              <w:color w:val="auto"/>
              <w:lang w:val="en-US" w:eastAsia="zh-CN"/>
            </w:rPr>
            <w:t>第一章  “十四五”时期发展成效与形势分析</w:t>
          </w:r>
          <w:r>
            <w:rPr>
              <w:color w:val="auto"/>
            </w:rPr>
            <w:tab/>
          </w:r>
          <w:r>
            <w:rPr>
              <w:color w:val="auto"/>
            </w:rPr>
            <w:fldChar w:fldCharType="begin"/>
          </w:r>
          <w:r>
            <w:rPr>
              <w:color w:val="auto"/>
            </w:rPr>
            <w:instrText xml:space="preserve"> PAGEREF _Toc21319 \h </w:instrText>
          </w:r>
          <w:r>
            <w:rPr>
              <w:color w:val="auto"/>
            </w:rPr>
            <w:fldChar w:fldCharType="separate"/>
          </w:r>
          <w:r>
            <w:rPr>
              <w:color w:val="auto"/>
            </w:rPr>
            <w:t>1</w:t>
          </w:r>
          <w:r>
            <w:rPr>
              <w:color w:val="auto"/>
            </w:rPr>
            <w:fldChar w:fldCharType="end"/>
          </w:r>
          <w:r>
            <w:rPr>
              <w:rFonts w:hint="eastAsia" w:ascii="宋体" w:hAnsi="宋体" w:eastAsia="宋体" w:cs="宋体"/>
              <w:color w:val="auto"/>
              <w:szCs w:val="30"/>
              <w:lang w:val="en-US" w:eastAsia="zh-CN"/>
            </w:rPr>
            <w:fldChar w:fldCharType="end"/>
          </w:r>
        </w:p>
        <w:p w14:paraId="49DAB03E">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_Toc19127 </w:instrText>
          </w:r>
          <w:r>
            <w:rPr>
              <w:rFonts w:hint="eastAsia" w:ascii="宋体" w:hAnsi="宋体" w:eastAsia="宋体" w:cs="宋体"/>
              <w:color w:val="auto"/>
              <w:szCs w:val="30"/>
              <w:lang w:val="en-US" w:eastAsia="zh-CN"/>
            </w:rPr>
            <w:fldChar w:fldCharType="separate"/>
          </w:r>
          <w:r>
            <w:rPr>
              <w:rFonts w:hint="eastAsia"/>
              <w:color w:val="auto"/>
              <w:lang w:val="en-US" w:eastAsia="zh-CN"/>
            </w:rPr>
            <w:t>第一节 发展成效</w:t>
          </w:r>
          <w:r>
            <w:rPr>
              <w:color w:val="auto"/>
            </w:rPr>
            <w:tab/>
          </w:r>
          <w:r>
            <w:rPr>
              <w:color w:val="auto"/>
            </w:rPr>
            <w:fldChar w:fldCharType="begin"/>
          </w:r>
          <w:r>
            <w:rPr>
              <w:color w:val="auto"/>
            </w:rPr>
            <w:instrText xml:space="preserve"> PAGEREF _Toc19127 \h </w:instrText>
          </w:r>
          <w:r>
            <w:rPr>
              <w:color w:val="auto"/>
            </w:rPr>
            <w:fldChar w:fldCharType="separate"/>
          </w:r>
          <w:r>
            <w:rPr>
              <w:color w:val="auto"/>
            </w:rPr>
            <w:t>1</w:t>
          </w:r>
          <w:r>
            <w:rPr>
              <w:color w:val="auto"/>
            </w:rPr>
            <w:fldChar w:fldCharType="end"/>
          </w:r>
          <w:r>
            <w:rPr>
              <w:rFonts w:hint="eastAsia" w:ascii="宋体" w:hAnsi="宋体" w:eastAsia="宋体" w:cs="宋体"/>
              <w:color w:val="auto"/>
              <w:szCs w:val="30"/>
              <w:lang w:val="en-US" w:eastAsia="zh-CN"/>
            </w:rPr>
            <w:fldChar w:fldCharType="end"/>
          </w:r>
        </w:p>
        <w:p w14:paraId="48872B64">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_Toc8388 </w:instrText>
          </w:r>
          <w:r>
            <w:rPr>
              <w:rFonts w:hint="eastAsia" w:ascii="宋体" w:hAnsi="宋体" w:eastAsia="宋体" w:cs="宋体"/>
              <w:color w:val="auto"/>
              <w:szCs w:val="30"/>
              <w:lang w:val="en-US" w:eastAsia="zh-CN"/>
            </w:rPr>
            <w:fldChar w:fldCharType="separate"/>
          </w:r>
          <w:r>
            <w:rPr>
              <w:rFonts w:hint="eastAsia"/>
              <w:color w:val="auto"/>
              <w:lang w:val="en-US" w:eastAsia="zh-CN"/>
            </w:rPr>
            <w:t>第二节 存在问题</w:t>
          </w:r>
          <w:r>
            <w:rPr>
              <w:color w:val="auto"/>
            </w:rPr>
            <w:tab/>
          </w:r>
          <w:r>
            <w:rPr>
              <w:color w:val="auto"/>
            </w:rPr>
            <w:fldChar w:fldCharType="begin"/>
          </w:r>
          <w:r>
            <w:rPr>
              <w:color w:val="auto"/>
            </w:rPr>
            <w:instrText xml:space="preserve"> PAGEREF _Toc8388 \h </w:instrText>
          </w:r>
          <w:r>
            <w:rPr>
              <w:color w:val="auto"/>
            </w:rPr>
            <w:fldChar w:fldCharType="separate"/>
          </w:r>
          <w:r>
            <w:rPr>
              <w:color w:val="auto"/>
            </w:rPr>
            <w:t>6</w:t>
          </w:r>
          <w:r>
            <w:rPr>
              <w:color w:val="auto"/>
            </w:rPr>
            <w:fldChar w:fldCharType="end"/>
          </w:r>
          <w:r>
            <w:rPr>
              <w:rFonts w:hint="eastAsia" w:ascii="宋体" w:hAnsi="宋体" w:eastAsia="宋体" w:cs="宋体"/>
              <w:color w:val="auto"/>
              <w:szCs w:val="30"/>
              <w:lang w:val="en-US" w:eastAsia="zh-CN"/>
            </w:rPr>
            <w:fldChar w:fldCharType="end"/>
          </w:r>
        </w:p>
        <w:p w14:paraId="6E14EE30">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_Toc5556 </w:instrText>
          </w:r>
          <w:r>
            <w:rPr>
              <w:rFonts w:hint="eastAsia" w:ascii="宋体" w:hAnsi="宋体" w:eastAsia="宋体" w:cs="宋体"/>
              <w:color w:val="auto"/>
              <w:szCs w:val="30"/>
              <w:lang w:val="en-US" w:eastAsia="zh-CN"/>
            </w:rPr>
            <w:fldChar w:fldCharType="separate"/>
          </w:r>
          <w:r>
            <w:rPr>
              <w:rFonts w:hint="eastAsia"/>
              <w:color w:val="auto"/>
              <w:lang w:val="en-US" w:eastAsia="zh-CN"/>
            </w:rPr>
            <w:t>第三节 发展形势</w:t>
          </w:r>
          <w:r>
            <w:rPr>
              <w:color w:val="auto"/>
            </w:rPr>
            <w:tab/>
          </w:r>
          <w:r>
            <w:rPr>
              <w:color w:val="auto"/>
            </w:rPr>
            <w:fldChar w:fldCharType="begin"/>
          </w:r>
          <w:r>
            <w:rPr>
              <w:color w:val="auto"/>
            </w:rPr>
            <w:instrText xml:space="preserve"> PAGEREF _Toc5556 \h </w:instrText>
          </w:r>
          <w:r>
            <w:rPr>
              <w:color w:val="auto"/>
            </w:rPr>
            <w:fldChar w:fldCharType="separate"/>
          </w:r>
          <w:r>
            <w:rPr>
              <w:color w:val="auto"/>
            </w:rPr>
            <w:t>8</w:t>
          </w:r>
          <w:r>
            <w:rPr>
              <w:color w:val="auto"/>
            </w:rPr>
            <w:fldChar w:fldCharType="end"/>
          </w:r>
          <w:r>
            <w:rPr>
              <w:rFonts w:hint="eastAsia" w:ascii="宋体" w:hAnsi="宋体" w:eastAsia="宋体" w:cs="宋体"/>
              <w:color w:val="auto"/>
              <w:szCs w:val="30"/>
              <w:lang w:val="en-US" w:eastAsia="zh-CN"/>
            </w:rPr>
            <w:fldChar w:fldCharType="end"/>
          </w:r>
        </w:p>
        <w:p w14:paraId="1434C13B">
          <w:pPr>
            <w:pStyle w:val="12"/>
            <w:tabs>
              <w:tab w:val="right" w:leader="dot" w:pos="8958"/>
              <w:tab w:val="clear" w:pos="8306"/>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_Toc3339 </w:instrText>
          </w:r>
          <w:r>
            <w:rPr>
              <w:rFonts w:hint="eastAsia" w:ascii="宋体" w:hAnsi="宋体" w:eastAsia="宋体" w:cs="宋体"/>
              <w:color w:val="auto"/>
              <w:szCs w:val="30"/>
              <w:lang w:val="en-US" w:eastAsia="zh-CN"/>
            </w:rPr>
            <w:fldChar w:fldCharType="separate"/>
          </w:r>
          <w:r>
            <w:rPr>
              <w:rFonts w:hint="eastAsia"/>
              <w:color w:val="auto"/>
              <w:lang w:val="en-US" w:eastAsia="zh-CN"/>
            </w:rPr>
            <w:t>第二章 总体要求</w:t>
          </w:r>
          <w:r>
            <w:rPr>
              <w:color w:val="auto"/>
            </w:rPr>
            <w:tab/>
          </w:r>
          <w:r>
            <w:rPr>
              <w:color w:val="auto"/>
            </w:rPr>
            <w:fldChar w:fldCharType="begin"/>
          </w:r>
          <w:r>
            <w:rPr>
              <w:color w:val="auto"/>
            </w:rPr>
            <w:instrText xml:space="preserve"> PAGEREF _Toc3339 \h </w:instrText>
          </w:r>
          <w:r>
            <w:rPr>
              <w:color w:val="auto"/>
            </w:rPr>
            <w:fldChar w:fldCharType="separate"/>
          </w:r>
          <w:r>
            <w:rPr>
              <w:color w:val="auto"/>
            </w:rPr>
            <w:t>11</w:t>
          </w:r>
          <w:r>
            <w:rPr>
              <w:color w:val="auto"/>
            </w:rPr>
            <w:fldChar w:fldCharType="end"/>
          </w:r>
          <w:r>
            <w:rPr>
              <w:rFonts w:hint="eastAsia" w:ascii="宋体" w:hAnsi="宋体" w:eastAsia="宋体" w:cs="宋体"/>
              <w:color w:val="auto"/>
              <w:szCs w:val="30"/>
              <w:lang w:val="en-US" w:eastAsia="zh-CN"/>
            </w:rPr>
            <w:fldChar w:fldCharType="end"/>
          </w:r>
        </w:p>
        <w:p w14:paraId="5F292551">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_Toc12863 </w:instrText>
          </w:r>
          <w:r>
            <w:rPr>
              <w:rFonts w:hint="eastAsia" w:ascii="宋体" w:hAnsi="宋体" w:eastAsia="宋体" w:cs="宋体"/>
              <w:color w:val="auto"/>
              <w:szCs w:val="30"/>
              <w:lang w:val="en-US" w:eastAsia="zh-CN"/>
            </w:rPr>
            <w:fldChar w:fldCharType="separate"/>
          </w:r>
          <w:r>
            <w:rPr>
              <w:rFonts w:hint="eastAsia"/>
              <w:color w:val="auto"/>
              <w:lang w:val="en-US" w:eastAsia="zh-CN"/>
            </w:rPr>
            <w:t>第一节 指导思想</w:t>
          </w:r>
          <w:r>
            <w:rPr>
              <w:color w:val="auto"/>
            </w:rPr>
            <w:tab/>
          </w:r>
          <w:r>
            <w:rPr>
              <w:color w:val="auto"/>
            </w:rPr>
            <w:fldChar w:fldCharType="begin"/>
          </w:r>
          <w:r>
            <w:rPr>
              <w:color w:val="auto"/>
            </w:rPr>
            <w:instrText xml:space="preserve"> PAGEREF _Toc12863 \h </w:instrText>
          </w:r>
          <w:r>
            <w:rPr>
              <w:color w:val="auto"/>
            </w:rPr>
            <w:fldChar w:fldCharType="separate"/>
          </w:r>
          <w:r>
            <w:rPr>
              <w:color w:val="auto"/>
            </w:rPr>
            <w:t>11</w:t>
          </w:r>
          <w:r>
            <w:rPr>
              <w:color w:val="auto"/>
            </w:rPr>
            <w:fldChar w:fldCharType="end"/>
          </w:r>
          <w:r>
            <w:rPr>
              <w:rFonts w:hint="eastAsia" w:ascii="宋体" w:hAnsi="宋体" w:eastAsia="宋体" w:cs="宋体"/>
              <w:color w:val="auto"/>
              <w:szCs w:val="30"/>
              <w:lang w:val="en-US" w:eastAsia="zh-CN"/>
            </w:rPr>
            <w:fldChar w:fldCharType="end"/>
          </w:r>
        </w:p>
        <w:p w14:paraId="5C29C977">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_Toc14313 </w:instrText>
          </w:r>
          <w:r>
            <w:rPr>
              <w:rFonts w:hint="eastAsia" w:ascii="宋体" w:hAnsi="宋体" w:eastAsia="宋体" w:cs="宋体"/>
              <w:color w:val="auto"/>
              <w:szCs w:val="30"/>
              <w:lang w:val="en-US" w:eastAsia="zh-CN"/>
            </w:rPr>
            <w:fldChar w:fldCharType="separate"/>
          </w:r>
          <w:r>
            <w:rPr>
              <w:rFonts w:hint="eastAsia"/>
              <w:color w:val="auto"/>
              <w:lang w:val="en-US" w:eastAsia="zh-CN"/>
            </w:rPr>
            <w:t>第二节 基本原则</w:t>
          </w:r>
          <w:r>
            <w:rPr>
              <w:color w:val="auto"/>
            </w:rPr>
            <w:tab/>
          </w:r>
          <w:r>
            <w:rPr>
              <w:color w:val="auto"/>
            </w:rPr>
            <w:fldChar w:fldCharType="begin"/>
          </w:r>
          <w:r>
            <w:rPr>
              <w:color w:val="auto"/>
            </w:rPr>
            <w:instrText xml:space="preserve"> PAGEREF _Toc14313 \h </w:instrText>
          </w:r>
          <w:r>
            <w:rPr>
              <w:color w:val="auto"/>
            </w:rPr>
            <w:fldChar w:fldCharType="separate"/>
          </w:r>
          <w:r>
            <w:rPr>
              <w:color w:val="auto"/>
            </w:rPr>
            <w:t>11</w:t>
          </w:r>
          <w:r>
            <w:rPr>
              <w:color w:val="auto"/>
            </w:rPr>
            <w:fldChar w:fldCharType="end"/>
          </w:r>
          <w:r>
            <w:rPr>
              <w:rFonts w:hint="eastAsia" w:ascii="宋体" w:hAnsi="宋体" w:eastAsia="宋体" w:cs="宋体"/>
              <w:color w:val="auto"/>
              <w:szCs w:val="30"/>
              <w:lang w:val="en-US" w:eastAsia="zh-CN"/>
            </w:rPr>
            <w:fldChar w:fldCharType="end"/>
          </w:r>
        </w:p>
        <w:p w14:paraId="1C811F54">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_Toc16971 </w:instrText>
          </w:r>
          <w:r>
            <w:rPr>
              <w:rFonts w:hint="eastAsia" w:ascii="宋体" w:hAnsi="宋体" w:eastAsia="宋体" w:cs="宋体"/>
              <w:color w:val="auto"/>
              <w:szCs w:val="30"/>
              <w:lang w:val="en-US" w:eastAsia="zh-CN"/>
            </w:rPr>
            <w:fldChar w:fldCharType="separate"/>
          </w:r>
          <w:r>
            <w:rPr>
              <w:rFonts w:hint="eastAsia"/>
              <w:color w:val="auto"/>
              <w:lang w:val="en-US" w:eastAsia="zh-CN"/>
            </w:rPr>
            <w:t>第三节 发展定位</w:t>
          </w:r>
          <w:r>
            <w:rPr>
              <w:color w:val="auto"/>
            </w:rPr>
            <w:tab/>
          </w:r>
          <w:r>
            <w:rPr>
              <w:color w:val="auto"/>
            </w:rPr>
            <w:fldChar w:fldCharType="begin"/>
          </w:r>
          <w:r>
            <w:rPr>
              <w:color w:val="auto"/>
            </w:rPr>
            <w:instrText xml:space="preserve"> PAGEREF _Toc16971 \h </w:instrText>
          </w:r>
          <w:r>
            <w:rPr>
              <w:color w:val="auto"/>
            </w:rPr>
            <w:fldChar w:fldCharType="separate"/>
          </w:r>
          <w:r>
            <w:rPr>
              <w:color w:val="auto"/>
            </w:rPr>
            <w:t>12</w:t>
          </w:r>
          <w:r>
            <w:rPr>
              <w:color w:val="auto"/>
            </w:rPr>
            <w:fldChar w:fldCharType="end"/>
          </w:r>
          <w:r>
            <w:rPr>
              <w:rFonts w:hint="eastAsia" w:ascii="宋体" w:hAnsi="宋体" w:eastAsia="宋体" w:cs="宋体"/>
              <w:color w:val="auto"/>
              <w:szCs w:val="30"/>
              <w:lang w:val="en-US" w:eastAsia="zh-CN"/>
            </w:rPr>
            <w:fldChar w:fldCharType="end"/>
          </w:r>
        </w:p>
        <w:p w14:paraId="31E01258">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_Toc8051 </w:instrText>
          </w:r>
          <w:r>
            <w:rPr>
              <w:rFonts w:hint="eastAsia" w:ascii="宋体" w:hAnsi="宋体" w:eastAsia="宋体" w:cs="宋体"/>
              <w:color w:val="auto"/>
              <w:szCs w:val="30"/>
              <w:lang w:val="en-US" w:eastAsia="zh-CN"/>
            </w:rPr>
            <w:fldChar w:fldCharType="separate"/>
          </w:r>
          <w:r>
            <w:rPr>
              <w:rFonts w:hint="eastAsia"/>
              <w:color w:val="auto"/>
              <w:lang w:val="en-US" w:eastAsia="zh-CN"/>
            </w:rPr>
            <w:t>第四节 发展思路</w:t>
          </w:r>
          <w:r>
            <w:rPr>
              <w:color w:val="auto"/>
            </w:rPr>
            <w:tab/>
          </w:r>
          <w:r>
            <w:rPr>
              <w:color w:val="auto"/>
            </w:rPr>
            <w:fldChar w:fldCharType="begin"/>
          </w:r>
          <w:r>
            <w:rPr>
              <w:color w:val="auto"/>
            </w:rPr>
            <w:instrText xml:space="preserve"> PAGEREF _Toc8051 \h </w:instrText>
          </w:r>
          <w:r>
            <w:rPr>
              <w:color w:val="auto"/>
            </w:rPr>
            <w:fldChar w:fldCharType="separate"/>
          </w:r>
          <w:r>
            <w:rPr>
              <w:color w:val="auto"/>
            </w:rPr>
            <w:t>13</w:t>
          </w:r>
          <w:r>
            <w:rPr>
              <w:color w:val="auto"/>
            </w:rPr>
            <w:fldChar w:fldCharType="end"/>
          </w:r>
          <w:r>
            <w:rPr>
              <w:rFonts w:hint="eastAsia" w:ascii="宋体" w:hAnsi="宋体" w:eastAsia="宋体" w:cs="宋体"/>
              <w:color w:val="auto"/>
              <w:szCs w:val="30"/>
              <w:lang w:val="en-US" w:eastAsia="zh-CN"/>
            </w:rPr>
            <w:fldChar w:fldCharType="end"/>
          </w:r>
        </w:p>
        <w:p w14:paraId="67BC5571">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_Toc26564 </w:instrText>
          </w:r>
          <w:r>
            <w:rPr>
              <w:rFonts w:hint="eastAsia" w:ascii="宋体" w:hAnsi="宋体" w:eastAsia="宋体" w:cs="宋体"/>
              <w:color w:val="auto"/>
              <w:szCs w:val="30"/>
              <w:lang w:val="en-US" w:eastAsia="zh-CN"/>
            </w:rPr>
            <w:fldChar w:fldCharType="separate"/>
          </w:r>
          <w:r>
            <w:rPr>
              <w:rFonts w:hint="eastAsia"/>
              <w:color w:val="auto"/>
              <w:lang w:val="en-US" w:eastAsia="zh-CN"/>
            </w:rPr>
            <w:t>第五节 总体目标</w:t>
          </w:r>
          <w:r>
            <w:rPr>
              <w:color w:val="auto"/>
            </w:rPr>
            <w:tab/>
          </w:r>
          <w:r>
            <w:rPr>
              <w:color w:val="auto"/>
            </w:rPr>
            <w:fldChar w:fldCharType="begin"/>
          </w:r>
          <w:r>
            <w:rPr>
              <w:color w:val="auto"/>
            </w:rPr>
            <w:instrText xml:space="preserve"> PAGEREF _Toc26564 \h </w:instrText>
          </w:r>
          <w:r>
            <w:rPr>
              <w:color w:val="auto"/>
            </w:rPr>
            <w:fldChar w:fldCharType="separate"/>
          </w:r>
          <w:r>
            <w:rPr>
              <w:color w:val="auto"/>
            </w:rPr>
            <w:t>14</w:t>
          </w:r>
          <w:r>
            <w:rPr>
              <w:color w:val="auto"/>
            </w:rPr>
            <w:fldChar w:fldCharType="end"/>
          </w:r>
          <w:r>
            <w:rPr>
              <w:rFonts w:hint="eastAsia" w:ascii="宋体" w:hAnsi="宋体" w:eastAsia="宋体" w:cs="宋体"/>
              <w:color w:val="auto"/>
              <w:szCs w:val="30"/>
              <w:lang w:val="en-US" w:eastAsia="zh-CN"/>
            </w:rPr>
            <w:fldChar w:fldCharType="end"/>
          </w:r>
        </w:p>
        <w:p w14:paraId="1DAD156E">
          <w:pPr>
            <w:pStyle w:val="12"/>
            <w:tabs>
              <w:tab w:val="right" w:leader="dot" w:pos="8958"/>
              <w:tab w:val="clear" w:pos="8306"/>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_Toc12649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第三章  城乡空间格局与区域协同发展</w:t>
          </w:r>
          <w:r>
            <w:rPr>
              <w:color w:val="auto"/>
            </w:rPr>
            <w:tab/>
          </w:r>
          <w:r>
            <w:rPr>
              <w:color w:val="auto"/>
            </w:rPr>
            <w:fldChar w:fldCharType="begin"/>
          </w:r>
          <w:r>
            <w:rPr>
              <w:color w:val="auto"/>
            </w:rPr>
            <w:instrText xml:space="preserve"> PAGEREF _Toc12649 \h </w:instrText>
          </w:r>
          <w:r>
            <w:rPr>
              <w:color w:val="auto"/>
            </w:rPr>
            <w:fldChar w:fldCharType="separate"/>
          </w:r>
          <w:r>
            <w:rPr>
              <w:color w:val="auto"/>
            </w:rPr>
            <w:t>18</w:t>
          </w:r>
          <w:r>
            <w:rPr>
              <w:color w:val="auto"/>
            </w:rPr>
            <w:fldChar w:fldCharType="end"/>
          </w:r>
          <w:r>
            <w:rPr>
              <w:rFonts w:hint="eastAsia" w:ascii="宋体" w:hAnsi="宋体" w:eastAsia="宋体" w:cs="宋体"/>
              <w:color w:val="auto"/>
              <w:szCs w:val="30"/>
              <w:lang w:val="en-US" w:eastAsia="zh-CN"/>
            </w:rPr>
            <w:fldChar w:fldCharType="end"/>
          </w:r>
        </w:p>
        <w:p w14:paraId="3EB74CC2">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_Toc26336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第一节 优化功能分区 构建新发展格局</w:t>
          </w:r>
          <w:r>
            <w:rPr>
              <w:color w:val="auto"/>
            </w:rPr>
            <w:tab/>
          </w:r>
          <w:r>
            <w:rPr>
              <w:color w:val="auto"/>
            </w:rPr>
            <w:fldChar w:fldCharType="begin"/>
          </w:r>
          <w:r>
            <w:rPr>
              <w:color w:val="auto"/>
            </w:rPr>
            <w:instrText xml:space="preserve"> PAGEREF _Toc26336 \h </w:instrText>
          </w:r>
          <w:r>
            <w:rPr>
              <w:color w:val="auto"/>
            </w:rPr>
            <w:fldChar w:fldCharType="separate"/>
          </w:r>
          <w:r>
            <w:rPr>
              <w:color w:val="auto"/>
            </w:rPr>
            <w:t>18</w:t>
          </w:r>
          <w:r>
            <w:rPr>
              <w:color w:val="auto"/>
            </w:rPr>
            <w:fldChar w:fldCharType="end"/>
          </w:r>
          <w:r>
            <w:rPr>
              <w:rFonts w:hint="eastAsia" w:ascii="宋体" w:hAnsi="宋体" w:eastAsia="宋体" w:cs="宋体"/>
              <w:color w:val="auto"/>
              <w:szCs w:val="30"/>
              <w:lang w:val="en-US" w:eastAsia="zh-CN"/>
            </w:rPr>
            <w:fldChar w:fldCharType="end"/>
          </w:r>
        </w:p>
        <w:p w14:paraId="0580E9F6">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_Toc24761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第二节 推动协同发展 引领镇域产业聚集发展</w:t>
          </w:r>
          <w:r>
            <w:rPr>
              <w:color w:val="auto"/>
            </w:rPr>
            <w:tab/>
          </w:r>
          <w:r>
            <w:rPr>
              <w:color w:val="auto"/>
            </w:rPr>
            <w:fldChar w:fldCharType="begin"/>
          </w:r>
          <w:r>
            <w:rPr>
              <w:color w:val="auto"/>
            </w:rPr>
            <w:instrText xml:space="preserve"> PAGEREF _Toc24761 \h </w:instrText>
          </w:r>
          <w:r>
            <w:rPr>
              <w:color w:val="auto"/>
            </w:rPr>
            <w:fldChar w:fldCharType="separate"/>
          </w:r>
          <w:r>
            <w:rPr>
              <w:color w:val="auto"/>
            </w:rPr>
            <w:t>22</w:t>
          </w:r>
          <w:r>
            <w:rPr>
              <w:color w:val="auto"/>
            </w:rPr>
            <w:fldChar w:fldCharType="end"/>
          </w:r>
          <w:r>
            <w:rPr>
              <w:rFonts w:hint="eastAsia" w:ascii="宋体" w:hAnsi="宋体" w:eastAsia="宋体" w:cs="宋体"/>
              <w:color w:val="auto"/>
              <w:szCs w:val="30"/>
              <w:lang w:val="en-US" w:eastAsia="zh-CN"/>
            </w:rPr>
            <w:fldChar w:fldCharType="end"/>
          </w:r>
        </w:p>
        <w:p w14:paraId="392A044D">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_Toc28704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第三节 增强内生动力 培育壮大区域经济实力</w:t>
          </w:r>
          <w:r>
            <w:rPr>
              <w:color w:val="auto"/>
            </w:rPr>
            <w:tab/>
          </w:r>
          <w:r>
            <w:rPr>
              <w:color w:val="auto"/>
            </w:rPr>
            <w:fldChar w:fldCharType="begin"/>
          </w:r>
          <w:r>
            <w:rPr>
              <w:color w:val="auto"/>
            </w:rPr>
            <w:instrText xml:space="preserve"> PAGEREF _Toc28704 \h </w:instrText>
          </w:r>
          <w:r>
            <w:rPr>
              <w:color w:val="auto"/>
            </w:rPr>
            <w:fldChar w:fldCharType="separate"/>
          </w:r>
          <w:r>
            <w:rPr>
              <w:color w:val="auto"/>
            </w:rPr>
            <w:t>26</w:t>
          </w:r>
          <w:r>
            <w:rPr>
              <w:color w:val="auto"/>
            </w:rPr>
            <w:fldChar w:fldCharType="end"/>
          </w:r>
          <w:r>
            <w:rPr>
              <w:rFonts w:hint="eastAsia" w:ascii="宋体" w:hAnsi="宋体" w:eastAsia="宋体" w:cs="宋体"/>
              <w:color w:val="auto"/>
              <w:szCs w:val="30"/>
              <w:lang w:val="en-US" w:eastAsia="zh-CN"/>
            </w:rPr>
            <w:fldChar w:fldCharType="end"/>
          </w:r>
        </w:p>
        <w:p w14:paraId="3B785154">
          <w:pPr>
            <w:pStyle w:val="12"/>
            <w:tabs>
              <w:tab w:val="right" w:leader="dot" w:pos="8958"/>
              <w:tab w:val="clear" w:pos="8306"/>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_Toc10244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第四章  重点任务</w:t>
          </w:r>
          <w:r>
            <w:rPr>
              <w:color w:val="auto"/>
            </w:rPr>
            <w:tab/>
          </w:r>
          <w:r>
            <w:rPr>
              <w:color w:val="auto"/>
            </w:rPr>
            <w:fldChar w:fldCharType="begin"/>
          </w:r>
          <w:r>
            <w:rPr>
              <w:color w:val="auto"/>
            </w:rPr>
            <w:instrText xml:space="preserve"> PAGEREF _Toc10244 \h </w:instrText>
          </w:r>
          <w:r>
            <w:rPr>
              <w:color w:val="auto"/>
            </w:rPr>
            <w:fldChar w:fldCharType="separate"/>
          </w:r>
          <w:r>
            <w:rPr>
              <w:color w:val="auto"/>
            </w:rPr>
            <w:t>29</w:t>
          </w:r>
          <w:r>
            <w:rPr>
              <w:color w:val="auto"/>
            </w:rPr>
            <w:fldChar w:fldCharType="end"/>
          </w:r>
          <w:r>
            <w:rPr>
              <w:rFonts w:hint="eastAsia" w:ascii="宋体" w:hAnsi="宋体" w:eastAsia="宋体" w:cs="宋体"/>
              <w:color w:val="auto"/>
              <w:szCs w:val="30"/>
              <w:lang w:val="en-US" w:eastAsia="zh-CN"/>
            </w:rPr>
            <w:fldChar w:fldCharType="end"/>
          </w:r>
        </w:p>
        <w:p w14:paraId="763D7892">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_Toc30525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第一节 夯实粮食安全根基 保障重要农产品供给</w:t>
          </w:r>
          <w:r>
            <w:rPr>
              <w:color w:val="auto"/>
            </w:rPr>
            <w:tab/>
          </w:r>
          <w:r>
            <w:rPr>
              <w:color w:val="auto"/>
            </w:rPr>
            <w:fldChar w:fldCharType="begin"/>
          </w:r>
          <w:r>
            <w:rPr>
              <w:color w:val="auto"/>
            </w:rPr>
            <w:instrText xml:space="preserve"> PAGEREF _Toc30525 \h </w:instrText>
          </w:r>
          <w:r>
            <w:rPr>
              <w:color w:val="auto"/>
            </w:rPr>
            <w:fldChar w:fldCharType="separate"/>
          </w:r>
          <w:r>
            <w:rPr>
              <w:color w:val="auto"/>
            </w:rPr>
            <w:t>29</w:t>
          </w:r>
          <w:r>
            <w:rPr>
              <w:color w:val="auto"/>
            </w:rPr>
            <w:fldChar w:fldCharType="end"/>
          </w:r>
          <w:r>
            <w:rPr>
              <w:rFonts w:hint="eastAsia" w:ascii="宋体" w:hAnsi="宋体" w:eastAsia="宋体" w:cs="宋体"/>
              <w:color w:val="auto"/>
              <w:szCs w:val="30"/>
              <w:lang w:val="en-US" w:eastAsia="zh-CN"/>
            </w:rPr>
            <w:fldChar w:fldCharType="end"/>
          </w:r>
        </w:p>
        <w:p w14:paraId="1419DF32">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_Toc26959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第二节 壮大特色优势产业 提升农业综合效益</w:t>
          </w:r>
          <w:r>
            <w:rPr>
              <w:color w:val="auto"/>
            </w:rPr>
            <w:tab/>
          </w:r>
          <w:r>
            <w:rPr>
              <w:color w:val="auto"/>
            </w:rPr>
            <w:fldChar w:fldCharType="begin"/>
          </w:r>
          <w:r>
            <w:rPr>
              <w:color w:val="auto"/>
            </w:rPr>
            <w:instrText xml:space="preserve"> PAGEREF _Toc26959 \h </w:instrText>
          </w:r>
          <w:r>
            <w:rPr>
              <w:color w:val="auto"/>
            </w:rPr>
            <w:fldChar w:fldCharType="separate"/>
          </w:r>
          <w:r>
            <w:rPr>
              <w:color w:val="auto"/>
            </w:rPr>
            <w:t>31</w:t>
          </w:r>
          <w:r>
            <w:rPr>
              <w:color w:val="auto"/>
            </w:rPr>
            <w:fldChar w:fldCharType="end"/>
          </w:r>
          <w:r>
            <w:rPr>
              <w:rFonts w:hint="eastAsia" w:ascii="宋体" w:hAnsi="宋体" w:eastAsia="宋体" w:cs="宋体"/>
              <w:color w:val="auto"/>
              <w:szCs w:val="30"/>
              <w:lang w:val="en-US" w:eastAsia="zh-CN"/>
            </w:rPr>
            <w:fldChar w:fldCharType="end"/>
          </w:r>
        </w:p>
        <w:p w14:paraId="498A990F">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_Toc26259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第三节 强化农业科技创新 培育新质生产力</w:t>
          </w:r>
          <w:r>
            <w:rPr>
              <w:color w:val="auto"/>
            </w:rPr>
            <w:tab/>
          </w:r>
          <w:r>
            <w:rPr>
              <w:color w:val="auto"/>
            </w:rPr>
            <w:fldChar w:fldCharType="begin"/>
          </w:r>
          <w:r>
            <w:rPr>
              <w:color w:val="auto"/>
            </w:rPr>
            <w:instrText xml:space="preserve"> PAGEREF _Toc26259 \h </w:instrText>
          </w:r>
          <w:r>
            <w:rPr>
              <w:color w:val="auto"/>
            </w:rPr>
            <w:fldChar w:fldCharType="separate"/>
          </w:r>
          <w:r>
            <w:rPr>
              <w:color w:val="auto"/>
            </w:rPr>
            <w:t>37</w:t>
          </w:r>
          <w:r>
            <w:rPr>
              <w:color w:val="auto"/>
            </w:rPr>
            <w:fldChar w:fldCharType="end"/>
          </w:r>
          <w:r>
            <w:rPr>
              <w:rFonts w:hint="eastAsia" w:ascii="宋体" w:hAnsi="宋体" w:eastAsia="宋体" w:cs="宋体"/>
              <w:color w:val="auto"/>
              <w:szCs w:val="30"/>
              <w:lang w:val="en-US" w:eastAsia="zh-CN"/>
            </w:rPr>
            <w:fldChar w:fldCharType="end"/>
          </w:r>
        </w:p>
        <w:p w14:paraId="3C6CEB77">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_Toc23627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第四节 强化产业融通 主动服务全县现代产业体系</w:t>
          </w:r>
          <w:r>
            <w:rPr>
              <w:color w:val="auto"/>
            </w:rPr>
            <w:tab/>
          </w:r>
          <w:r>
            <w:rPr>
              <w:color w:val="auto"/>
            </w:rPr>
            <w:fldChar w:fldCharType="begin"/>
          </w:r>
          <w:r>
            <w:rPr>
              <w:color w:val="auto"/>
            </w:rPr>
            <w:instrText xml:space="preserve"> PAGEREF _Toc23627 \h </w:instrText>
          </w:r>
          <w:r>
            <w:rPr>
              <w:color w:val="auto"/>
            </w:rPr>
            <w:fldChar w:fldCharType="separate"/>
          </w:r>
          <w:r>
            <w:rPr>
              <w:color w:val="auto"/>
            </w:rPr>
            <w:t>40</w:t>
          </w:r>
          <w:r>
            <w:rPr>
              <w:color w:val="auto"/>
            </w:rPr>
            <w:fldChar w:fldCharType="end"/>
          </w:r>
          <w:r>
            <w:rPr>
              <w:rFonts w:hint="eastAsia" w:ascii="宋体" w:hAnsi="宋体" w:eastAsia="宋体" w:cs="宋体"/>
              <w:color w:val="auto"/>
              <w:szCs w:val="30"/>
              <w:lang w:val="en-US" w:eastAsia="zh-CN"/>
            </w:rPr>
            <w:fldChar w:fldCharType="end"/>
          </w:r>
        </w:p>
        <w:p w14:paraId="284F9206">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_Toc15046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第五节 完善农业经营体系 拓宽农民增收致富渠道</w:t>
          </w:r>
          <w:r>
            <w:rPr>
              <w:color w:val="auto"/>
            </w:rPr>
            <w:tab/>
          </w:r>
          <w:r>
            <w:rPr>
              <w:color w:val="auto"/>
            </w:rPr>
            <w:fldChar w:fldCharType="begin"/>
          </w:r>
          <w:r>
            <w:rPr>
              <w:color w:val="auto"/>
            </w:rPr>
            <w:instrText xml:space="preserve"> PAGEREF _Toc15046 \h </w:instrText>
          </w:r>
          <w:r>
            <w:rPr>
              <w:color w:val="auto"/>
            </w:rPr>
            <w:fldChar w:fldCharType="separate"/>
          </w:r>
          <w:r>
            <w:rPr>
              <w:color w:val="auto"/>
            </w:rPr>
            <w:t>41</w:t>
          </w:r>
          <w:r>
            <w:rPr>
              <w:color w:val="auto"/>
            </w:rPr>
            <w:fldChar w:fldCharType="end"/>
          </w:r>
          <w:r>
            <w:rPr>
              <w:rFonts w:hint="eastAsia" w:ascii="宋体" w:hAnsi="宋体" w:eastAsia="宋体" w:cs="宋体"/>
              <w:color w:val="auto"/>
              <w:szCs w:val="30"/>
              <w:lang w:val="en-US" w:eastAsia="zh-CN"/>
            </w:rPr>
            <w:fldChar w:fldCharType="end"/>
          </w:r>
        </w:p>
        <w:p w14:paraId="30C12ABA">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_Toc2011 </w:instrText>
          </w:r>
          <w:r>
            <w:rPr>
              <w:rFonts w:hint="eastAsia" w:ascii="宋体" w:hAnsi="宋体" w:eastAsia="宋体" w:cs="宋体"/>
              <w:color w:val="auto"/>
              <w:szCs w:val="30"/>
              <w:lang w:val="en-US" w:eastAsia="zh-CN"/>
            </w:rPr>
            <w:fldChar w:fldCharType="separate"/>
          </w:r>
          <w:r>
            <w:rPr>
              <w:rFonts w:hint="eastAsia"/>
              <w:color w:val="auto"/>
              <w:lang w:val="en-US" w:eastAsia="zh-CN"/>
            </w:rPr>
            <w:t>第六节 加快典型片区培育 建设宜居宜业和美乡村</w:t>
          </w:r>
          <w:r>
            <w:rPr>
              <w:color w:val="auto"/>
            </w:rPr>
            <w:tab/>
          </w:r>
          <w:r>
            <w:rPr>
              <w:color w:val="auto"/>
            </w:rPr>
            <w:fldChar w:fldCharType="begin"/>
          </w:r>
          <w:r>
            <w:rPr>
              <w:color w:val="auto"/>
            </w:rPr>
            <w:instrText xml:space="preserve"> PAGEREF _Toc2011 \h </w:instrText>
          </w:r>
          <w:r>
            <w:rPr>
              <w:color w:val="auto"/>
            </w:rPr>
            <w:fldChar w:fldCharType="separate"/>
          </w:r>
          <w:r>
            <w:rPr>
              <w:color w:val="auto"/>
            </w:rPr>
            <w:t>46</w:t>
          </w:r>
          <w:r>
            <w:rPr>
              <w:color w:val="auto"/>
            </w:rPr>
            <w:fldChar w:fldCharType="end"/>
          </w:r>
          <w:r>
            <w:rPr>
              <w:rFonts w:hint="eastAsia" w:ascii="宋体" w:hAnsi="宋体" w:eastAsia="宋体" w:cs="宋体"/>
              <w:color w:val="auto"/>
              <w:szCs w:val="30"/>
              <w:lang w:val="en-US" w:eastAsia="zh-CN"/>
            </w:rPr>
            <w:fldChar w:fldCharType="end"/>
          </w:r>
        </w:p>
        <w:p w14:paraId="2583E431">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_Toc12472 </w:instrText>
          </w:r>
          <w:r>
            <w:rPr>
              <w:rFonts w:hint="eastAsia" w:ascii="宋体" w:hAnsi="宋体" w:eastAsia="宋体" w:cs="宋体"/>
              <w:color w:val="auto"/>
              <w:szCs w:val="30"/>
              <w:lang w:val="en-US" w:eastAsia="zh-CN"/>
            </w:rPr>
            <w:fldChar w:fldCharType="separate"/>
          </w:r>
          <w:r>
            <w:rPr>
              <w:rFonts w:hint="eastAsia"/>
              <w:color w:val="auto"/>
              <w:lang w:val="en-US" w:eastAsia="zh-CN"/>
            </w:rPr>
            <w:t>第七节 深化农村综合改革 激发乡村发展内生动力</w:t>
          </w:r>
          <w:r>
            <w:rPr>
              <w:color w:val="auto"/>
            </w:rPr>
            <w:tab/>
          </w:r>
          <w:r>
            <w:rPr>
              <w:color w:val="auto"/>
            </w:rPr>
            <w:fldChar w:fldCharType="begin"/>
          </w:r>
          <w:r>
            <w:rPr>
              <w:color w:val="auto"/>
            </w:rPr>
            <w:instrText xml:space="preserve"> PAGEREF _Toc12472 \h </w:instrText>
          </w:r>
          <w:r>
            <w:rPr>
              <w:color w:val="auto"/>
            </w:rPr>
            <w:fldChar w:fldCharType="separate"/>
          </w:r>
          <w:r>
            <w:rPr>
              <w:color w:val="auto"/>
            </w:rPr>
            <w:t>51</w:t>
          </w:r>
          <w:r>
            <w:rPr>
              <w:color w:val="auto"/>
            </w:rPr>
            <w:fldChar w:fldCharType="end"/>
          </w:r>
          <w:r>
            <w:rPr>
              <w:rFonts w:hint="eastAsia" w:ascii="宋体" w:hAnsi="宋体" w:eastAsia="宋体" w:cs="宋体"/>
              <w:color w:val="auto"/>
              <w:szCs w:val="30"/>
              <w:lang w:val="en-US" w:eastAsia="zh-CN"/>
            </w:rPr>
            <w:fldChar w:fldCharType="end"/>
          </w:r>
        </w:p>
        <w:p w14:paraId="63D7B2F2">
          <w:pPr>
            <w:pStyle w:val="12"/>
            <w:tabs>
              <w:tab w:val="right" w:leader="dot" w:pos="8958"/>
              <w:tab w:val="clear" w:pos="8306"/>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_Toc26814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第五章 保障措施</w:t>
          </w:r>
          <w:r>
            <w:rPr>
              <w:color w:val="auto"/>
            </w:rPr>
            <w:tab/>
          </w:r>
          <w:r>
            <w:rPr>
              <w:color w:val="auto"/>
            </w:rPr>
            <w:fldChar w:fldCharType="begin"/>
          </w:r>
          <w:r>
            <w:rPr>
              <w:color w:val="auto"/>
            </w:rPr>
            <w:instrText xml:space="preserve"> PAGEREF _Toc26814 \h </w:instrText>
          </w:r>
          <w:r>
            <w:rPr>
              <w:color w:val="auto"/>
            </w:rPr>
            <w:fldChar w:fldCharType="separate"/>
          </w:r>
          <w:r>
            <w:rPr>
              <w:color w:val="auto"/>
            </w:rPr>
            <w:t>55</w:t>
          </w:r>
          <w:r>
            <w:rPr>
              <w:color w:val="auto"/>
            </w:rPr>
            <w:fldChar w:fldCharType="end"/>
          </w:r>
          <w:r>
            <w:rPr>
              <w:rFonts w:hint="eastAsia" w:ascii="宋体" w:hAnsi="宋体" w:eastAsia="宋体" w:cs="宋体"/>
              <w:color w:val="auto"/>
              <w:szCs w:val="30"/>
              <w:lang w:val="en-US" w:eastAsia="zh-CN"/>
            </w:rPr>
            <w:fldChar w:fldCharType="end"/>
          </w:r>
        </w:p>
        <w:p w14:paraId="1005C8CA">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_Toc16394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第一节 加强党的全面领导</w:t>
          </w:r>
          <w:r>
            <w:rPr>
              <w:color w:val="auto"/>
            </w:rPr>
            <w:tab/>
          </w:r>
          <w:r>
            <w:rPr>
              <w:color w:val="auto"/>
            </w:rPr>
            <w:fldChar w:fldCharType="begin"/>
          </w:r>
          <w:r>
            <w:rPr>
              <w:color w:val="auto"/>
            </w:rPr>
            <w:instrText xml:space="preserve"> PAGEREF _Toc16394 \h </w:instrText>
          </w:r>
          <w:r>
            <w:rPr>
              <w:color w:val="auto"/>
            </w:rPr>
            <w:fldChar w:fldCharType="separate"/>
          </w:r>
          <w:r>
            <w:rPr>
              <w:color w:val="auto"/>
            </w:rPr>
            <w:t>55</w:t>
          </w:r>
          <w:r>
            <w:rPr>
              <w:color w:val="auto"/>
            </w:rPr>
            <w:fldChar w:fldCharType="end"/>
          </w:r>
          <w:r>
            <w:rPr>
              <w:rFonts w:hint="eastAsia" w:ascii="宋体" w:hAnsi="宋体" w:eastAsia="宋体" w:cs="宋体"/>
              <w:color w:val="auto"/>
              <w:szCs w:val="30"/>
              <w:lang w:val="en-US" w:eastAsia="zh-CN"/>
            </w:rPr>
            <w:fldChar w:fldCharType="end"/>
          </w:r>
        </w:p>
        <w:p w14:paraId="703ACEA7">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_Toc13953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第二节 强化要素保障支撑</w:t>
          </w:r>
          <w:r>
            <w:rPr>
              <w:color w:val="auto"/>
            </w:rPr>
            <w:tab/>
          </w:r>
          <w:r>
            <w:rPr>
              <w:color w:val="auto"/>
            </w:rPr>
            <w:fldChar w:fldCharType="begin"/>
          </w:r>
          <w:r>
            <w:rPr>
              <w:color w:val="auto"/>
            </w:rPr>
            <w:instrText xml:space="preserve"> PAGEREF _Toc13953 \h </w:instrText>
          </w:r>
          <w:r>
            <w:rPr>
              <w:color w:val="auto"/>
            </w:rPr>
            <w:fldChar w:fldCharType="separate"/>
          </w:r>
          <w:r>
            <w:rPr>
              <w:color w:val="auto"/>
            </w:rPr>
            <w:t>55</w:t>
          </w:r>
          <w:r>
            <w:rPr>
              <w:color w:val="auto"/>
            </w:rPr>
            <w:fldChar w:fldCharType="end"/>
          </w:r>
          <w:r>
            <w:rPr>
              <w:rFonts w:hint="eastAsia" w:ascii="宋体" w:hAnsi="宋体" w:eastAsia="宋体" w:cs="宋体"/>
              <w:color w:val="auto"/>
              <w:szCs w:val="30"/>
              <w:lang w:val="en-US" w:eastAsia="zh-CN"/>
            </w:rPr>
            <w:fldChar w:fldCharType="end"/>
          </w:r>
        </w:p>
        <w:p w14:paraId="73916445">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_Toc11960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第三节 健全规划实施机制</w:t>
          </w:r>
          <w:r>
            <w:rPr>
              <w:color w:val="auto"/>
            </w:rPr>
            <w:tab/>
          </w:r>
          <w:r>
            <w:rPr>
              <w:color w:val="auto"/>
            </w:rPr>
            <w:fldChar w:fldCharType="begin"/>
          </w:r>
          <w:r>
            <w:rPr>
              <w:color w:val="auto"/>
            </w:rPr>
            <w:instrText xml:space="preserve"> PAGEREF _Toc11960 \h </w:instrText>
          </w:r>
          <w:r>
            <w:rPr>
              <w:color w:val="auto"/>
            </w:rPr>
            <w:fldChar w:fldCharType="separate"/>
          </w:r>
          <w:r>
            <w:rPr>
              <w:color w:val="auto"/>
            </w:rPr>
            <w:t>56</w:t>
          </w:r>
          <w:r>
            <w:rPr>
              <w:color w:val="auto"/>
            </w:rPr>
            <w:fldChar w:fldCharType="end"/>
          </w:r>
          <w:r>
            <w:rPr>
              <w:rFonts w:hint="eastAsia" w:ascii="宋体" w:hAnsi="宋体" w:eastAsia="宋体" w:cs="宋体"/>
              <w:color w:val="auto"/>
              <w:szCs w:val="30"/>
              <w:lang w:val="en-US" w:eastAsia="zh-CN"/>
            </w:rPr>
            <w:fldChar w:fldCharType="end"/>
          </w:r>
        </w:p>
        <w:p w14:paraId="6ABA83DC">
          <w:pPr>
            <w:pStyle w:val="13"/>
            <w:tabs>
              <w:tab w:val="right" w:leader="dot" w:pos="8958"/>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_Toc305 </w:instrText>
          </w:r>
          <w:r>
            <w:rPr>
              <w:rFonts w:hint="eastAsia" w:ascii="宋体" w:hAnsi="宋体" w:eastAsia="宋体" w:cs="宋体"/>
              <w:color w:val="auto"/>
              <w:szCs w:val="30"/>
              <w:lang w:val="en-US" w:eastAsia="zh-CN"/>
            </w:rPr>
            <w:fldChar w:fldCharType="separate"/>
          </w:r>
          <w:r>
            <w:rPr>
              <w:rFonts w:hint="eastAsia"/>
              <w:color w:val="auto"/>
              <w:rtl w:val="0"/>
              <w:lang w:val="en-US" w:eastAsia="zh-CN"/>
            </w:rPr>
            <w:t>第四节 营造良好实施氛围</w:t>
          </w:r>
          <w:r>
            <w:rPr>
              <w:color w:val="auto"/>
            </w:rPr>
            <w:tab/>
          </w:r>
          <w:r>
            <w:rPr>
              <w:color w:val="auto"/>
            </w:rPr>
            <w:fldChar w:fldCharType="begin"/>
          </w:r>
          <w:r>
            <w:rPr>
              <w:color w:val="auto"/>
            </w:rPr>
            <w:instrText xml:space="preserve"> PAGEREF _Toc305 \h </w:instrText>
          </w:r>
          <w:r>
            <w:rPr>
              <w:color w:val="auto"/>
            </w:rPr>
            <w:fldChar w:fldCharType="separate"/>
          </w:r>
          <w:r>
            <w:rPr>
              <w:color w:val="auto"/>
            </w:rPr>
            <w:t>56</w:t>
          </w:r>
          <w:r>
            <w:rPr>
              <w:color w:val="auto"/>
            </w:rPr>
            <w:fldChar w:fldCharType="end"/>
          </w:r>
          <w:r>
            <w:rPr>
              <w:rFonts w:hint="eastAsia" w:ascii="宋体" w:hAnsi="宋体" w:eastAsia="宋体" w:cs="宋体"/>
              <w:color w:val="auto"/>
              <w:szCs w:val="30"/>
              <w:lang w:val="en-US" w:eastAsia="zh-CN"/>
            </w:rPr>
            <w:fldChar w:fldCharType="end"/>
          </w:r>
        </w:p>
        <w:p w14:paraId="7A7B419C">
          <w:pPr>
            <w:pStyle w:val="12"/>
            <w:tabs>
              <w:tab w:val="right" w:leader="dot" w:pos="8958"/>
              <w:tab w:val="clear" w:pos="8306"/>
            </w:tabs>
            <w:rPr>
              <w:color w:val="auto"/>
            </w:rPr>
          </w:pPr>
          <w:r>
            <w:rPr>
              <w:rFonts w:hint="eastAsia" w:ascii="宋体" w:hAnsi="宋体" w:eastAsia="宋体" w:cs="宋体"/>
              <w:color w:val="auto"/>
              <w:szCs w:val="30"/>
              <w:lang w:val="en-US" w:eastAsia="zh-CN"/>
            </w:rPr>
            <w:fldChar w:fldCharType="begin"/>
          </w:r>
          <w:r>
            <w:rPr>
              <w:rFonts w:hint="eastAsia" w:ascii="宋体" w:hAnsi="宋体" w:eastAsia="宋体" w:cs="宋体"/>
              <w:color w:val="auto"/>
              <w:szCs w:val="30"/>
              <w:lang w:val="en-US" w:eastAsia="zh-CN"/>
            </w:rPr>
            <w:instrText xml:space="preserve"> HYPERLINK \l _Toc11928 </w:instrText>
          </w:r>
          <w:r>
            <w:rPr>
              <w:rFonts w:hint="eastAsia" w:ascii="宋体" w:hAnsi="宋体" w:eastAsia="宋体" w:cs="宋体"/>
              <w:color w:val="auto"/>
              <w:szCs w:val="30"/>
              <w:lang w:val="en-US" w:eastAsia="zh-CN"/>
            </w:rPr>
            <w:fldChar w:fldCharType="separate"/>
          </w:r>
          <w:r>
            <w:rPr>
              <w:rFonts w:hint="eastAsia"/>
              <w:bCs/>
              <w:color w:val="auto"/>
              <w:lang w:val="en-US" w:eastAsia="zh-CN"/>
            </w:rPr>
            <w:t>五华县农业农村现代化“十五五”时期重大项目表</w:t>
          </w:r>
          <w:r>
            <w:rPr>
              <w:color w:val="auto"/>
            </w:rPr>
            <w:tab/>
          </w:r>
          <w:r>
            <w:rPr>
              <w:color w:val="auto"/>
            </w:rPr>
            <w:fldChar w:fldCharType="begin"/>
          </w:r>
          <w:r>
            <w:rPr>
              <w:color w:val="auto"/>
            </w:rPr>
            <w:instrText xml:space="preserve"> PAGEREF _Toc11928 \h </w:instrText>
          </w:r>
          <w:r>
            <w:rPr>
              <w:color w:val="auto"/>
            </w:rPr>
            <w:fldChar w:fldCharType="separate"/>
          </w:r>
          <w:r>
            <w:rPr>
              <w:color w:val="auto"/>
            </w:rPr>
            <w:t>58</w:t>
          </w:r>
          <w:r>
            <w:rPr>
              <w:color w:val="auto"/>
            </w:rPr>
            <w:fldChar w:fldCharType="end"/>
          </w:r>
          <w:r>
            <w:rPr>
              <w:rFonts w:hint="eastAsia" w:ascii="宋体" w:hAnsi="宋体" w:eastAsia="宋体" w:cs="宋体"/>
              <w:color w:val="auto"/>
              <w:szCs w:val="30"/>
              <w:lang w:val="en-US" w:eastAsia="zh-CN"/>
            </w:rPr>
            <w:fldChar w:fldCharType="end"/>
          </w:r>
        </w:p>
        <w:p w14:paraId="7C1C6B83">
          <w:pPr>
            <w:rPr>
              <w:rFonts w:hint="eastAsia" w:ascii="宋体" w:hAnsi="宋体" w:eastAsia="宋体" w:cs="宋体"/>
              <w:color w:val="auto"/>
              <w:sz w:val="28"/>
              <w:szCs w:val="28"/>
              <w:lang w:val="en-US" w:eastAsia="zh-CN"/>
            </w:rPr>
          </w:pPr>
          <w:r>
            <w:rPr>
              <w:rFonts w:hint="eastAsia" w:ascii="宋体" w:hAnsi="宋体" w:eastAsia="宋体" w:cs="宋体"/>
              <w:color w:val="auto"/>
              <w:szCs w:val="30"/>
              <w:lang w:val="en-US" w:eastAsia="zh-CN"/>
            </w:rPr>
            <w:fldChar w:fldCharType="end"/>
          </w:r>
        </w:p>
      </w:sdtContent>
    </w:sdt>
    <w:p w14:paraId="6C6E575A">
      <w:pPr>
        <w:bidi w:val="0"/>
        <w:rPr>
          <w:rFonts w:hint="eastAsia" w:ascii="宋体" w:hAnsi="宋体" w:eastAsia="宋体" w:cs="宋体"/>
          <w:color w:val="auto"/>
          <w:sz w:val="28"/>
          <w:szCs w:val="28"/>
          <w:lang w:val="en-US" w:eastAsia="zh-CN"/>
        </w:rPr>
        <w:sectPr>
          <w:footerReference r:id="rId4" w:type="default"/>
          <w:pgSz w:w="11906" w:h="16838"/>
          <w:pgMar w:top="1587" w:right="1474" w:bottom="1474" w:left="1474"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4599A76F">
      <w:pPr>
        <w:pStyle w:val="2"/>
        <w:numPr>
          <w:ilvl w:val="-1"/>
          <w:numId w:val="0"/>
        </w:numPr>
        <w:bidi w:val="0"/>
        <w:rPr>
          <w:rFonts w:hint="eastAsia"/>
          <w:color w:val="auto"/>
          <w:lang w:val="en-US" w:eastAsia="zh-CN"/>
        </w:rPr>
      </w:pPr>
      <w:bookmarkStart w:id="22" w:name="_Toc28150"/>
      <w:bookmarkStart w:id="23" w:name="_Toc21319"/>
      <w:r>
        <w:rPr>
          <w:rFonts w:hint="eastAsia"/>
          <w:color w:val="auto"/>
          <w:lang w:val="en-US" w:eastAsia="zh-CN"/>
        </w:rPr>
        <w:t xml:space="preserve">第一章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Start w:id="24" w:name="_Toc7352"/>
      <w:r>
        <w:rPr>
          <w:rFonts w:hint="eastAsia"/>
          <w:color w:val="auto"/>
          <w:lang w:val="en-US" w:eastAsia="zh-CN"/>
        </w:rPr>
        <w:t>“十四五”时期发展成效与形势分析</w:t>
      </w:r>
      <w:bookmarkEnd w:id="22"/>
      <w:bookmarkEnd w:id="23"/>
      <w:bookmarkEnd w:id="24"/>
    </w:p>
    <w:p w14:paraId="44308DC2">
      <w:pPr>
        <w:pStyle w:val="3"/>
        <w:bidi w:val="0"/>
        <w:rPr>
          <w:rFonts w:hint="eastAsia"/>
          <w:color w:val="auto"/>
          <w:lang w:val="en-US" w:eastAsia="zh-CN"/>
        </w:rPr>
      </w:pPr>
      <w:bookmarkStart w:id="25" w:name="_Toc19127"/>
      <w:bookmarkStart w:id="26" w:name="_Toc23156"/>
      <w:bookmarkStart w:id="27" w:name="_Toc13357"/>
      <w:r>
        <w:rPr>
          <w:rFonts w:hint="eastAsia"/>
          <w:color w:val="auto"/>
          <w:lang w:val="en-US" w:eastAsia="zh-CN"/>
        </w:rPr>
        <w:t>第一节 发展成效</w:t>
      </w:r>
      <w:bookmarkEnd w:id="25"/>
      <w:bookmarkEnd w:id="26"/>
      <w:bookmarkEnd w:id="27"/>
    </w:p>
    <w:p w14:paraId="4C2FFD1F">
      <w:pPr>
        <w:pStyle w:val="5"/>
        <w:bidi w:val="0"/>
        <w:rPr>
          <w:rFonts w:hint="eastAsia"/>
          <w:color w:val="auto"/>
          <w:lang w:val="en-US" w:eastAsia="zh-CN"/>
        </w:rPr>
      </w:pPr>
      <w:r>
        <w:rPr>
          <w:rFonts w:hint="eastAsia"/>
          <w:color w:val="auto"/>
          <w:lang w:val="en-US" w:eastAsia="zh-CN"/>
        </w:rPr>
        <w:t>“十四五”时期，五华县深入实施乡村振兴战略，以</w:t>
      </w:r>
      <w:r>
        <w:rPr>
          <w:rFonts w:hint="eastAsia"/>
          <w:color w:val="auto"/>
        </w:rPr>
        <w:t>“百千万工程”</w:t>
      </w:r>
      <w:r>
        <w:rPr>
          <w:rFonts w:hint="eastAsia"/>
          <w:color w:val="auto"/>
          <w:lang w:val="en-US" w:eastAsia="zh-CN"/>
        </w:rPr>
        <w:t>为总牵引，聚焦农业增效、农村增美、农民增收，农业农村发展稳中有进、持续向好。现代农业产业体系加快构建，特色产业品牌影响力稳步提升，农文旅体深度融合、新兴业态不断涌现；乡村建设行动扎实推进，农村人居环境显著改善；农村综合改革纵深突破，集体经济发展活力持续增强；乡村治理效能有效提升，农民收入稳步增长，为全面推进乡村振兴、加快农业农村现代化奠定了坚实基础。</w:t>
      </w:r>
    </w:p>
    <w:p w14:paraId="6592D773">
      <w:pPr>
        <w:pStyle w:val="4"/>
        <w:numPr>
          <w:ilvl w:val="0"/>
          <w:numId w:val="1"/>
        </w:numPr>
        <w:rPr>
          <w:rFonts w:hint="eastAsia"/>
          <w:color w:val="auto"/>
          <w:lang w:val="en-US" w:eastAsia="zh-CN"/>
        </w:rPr>
      </w:pPr>
      <w:r>
        <w:rPr>
          <w:rFonts w:hint="eastAsia"/>
          <w:color w:val="auto"/>
          <w:lang w:val="en-US" w:eastAsia="zh-CN"/>
        </w:rPr>
        <w:t>现代农业提质增效，产业根基持续夯实</w:t>
      </w:r>
    </w:p>
    <w:p w14:paraId="50534349">
      <w:pPr>
        <w:pStyle w:val="5"/>
        <w:rPr>
          <w:rFonts w:hint="eastAsia"/>
          <w:color w:val="auto"/>
          <w:lang w:val="en-US" w:eastAsia="zh-CN"/>
        </w:rPr>
      </w:pPr>
      <w:r>
        <w:rPr>
          <w:rFonts w:hint="eastAsia" w:ascii="楷体_GB2312" w:hAnsi="楷体_GB2312" w:eastAsia="楷体_GB2312" w:cs="楷体_GB2312"/>
          <w:color w:val="auto"/>
          <w:lang w:val="en-US" w:eastAsia="zh-CN"/>
        </w:rPr>
        <w:t>农业发展稳中有进、质效齐升。</w:t>
      </w:r>
      <w:r>
        <w:rPr>
          <w:rFonts w:hint="eastAsia"/>
          <w:color w:val="auto"/>
          <w:lang w:val="en-US" w:eastAsia="zh-CN"/>
        </w:rPr>
        <w:t>“十四五”时期，农林牧渔业发展规模稳步攀升。2025年，全县农林牧渔业总产值达73.96亿元，较2020年的68.65亿元增加5.35亿元，“十四五”期间年均增长约1.5%，增速高于全市第一产业增加值平均增速，总量位居全市县域前列。其中，2025年农林牧渔服务业产值5.30亿元，增长30.0%，农业融合发展态势活跃。</w:t>
      </w:r>
    </w:p>
    <w:p w14:paraId="4C23B689">
      <w:pPr>
        <w:pStyle w:val="5"/>
        <w:rPr>
          <w:rFonts w:hint="eastAsia"/>
          <w:color w:val="auto"/>
          <w:lang w:val="en-US" w:eastAsia="zh-CN"/>
        </w:rPr>
      </w:pPr>
      <w:r>
        <w:rPr>
          <w:rFonts w:hint="eastAsia" w:ascii="楷体_GB2312" w:hAnsi="楷体_GB2312" w:eastAsia="楷体_GB2312" w:cs="楷体_GB2312"/>
          <w:color w:val="auto"/>
          <w:lang w:val="en-US" w:eastAsia="zh-CN"/>
        </w:rPr>
        <w:t>粮食及重要农产品安全保障有力。</w:t>
      </w:r>
      <w:r>
        <w:rPr>
          <w:rFonts w:hint="eastAsia"/>
          <w:color w:val="auto"/>
          <w:lang w:val="en-US" w:eastAsia="zh-CN"/>
        </w:rPr>
        <w:t>深入实施“藏粮于地、藏粮于技”战略，“十四五”时期，全县粮食播种面积稳定在84万亩以上，总产量连续五年稳定在34万吨以上。2025年，</w:t>
      </w:r>
      <w:r>
        <w:rPr>
          <w:rFonts w:hint="eastAsia"/>
          <w:color w:val="auto"/>
          <w:highlight w:val="none"/>
          <w:lang w:val="en-US" w:eastAsia="zh-CN"/>
        </w:rPr>
        <w:t>全县高标准农田建设面积（保有量）为34.29万亩</w:t>
      </w:r>
      <w:r>
        <w:rPr>
          <w:rFonts w:hint="eastAsia"/>
          <w:color w:val="auto"/>
          <w:lang w:val="en-US" w:eastAsia="zh-CN"/>
        </w:rPr>
        <w:t>。同年，蔬菜种植面积22.38万亩，产量46.82万吨；生猪出栏55.6万头、活家禽出栏1123.4万羽（根据统计部门核定）。</w:t>
      </w:r>
    </w:p>
    <w:p w14:paraId="2F3F0BFF">
      <w:pPr>
        <w:pStyle w:val="8"/>
        <w:rPr>
          <w:rFonts w:hint="eastAsia"/>
          <w:color w:val="auto"/>
          <w:lang w:val="en-US" w:eastAsia="zh-CN"/>
        </w:rPr>
      </w:pPr>
      <w:r>
        <w:rPr>
          <w:color w:val="auto"/>
        </w:rPr>
        <w:t xml:space="preserve">表 </w:t>
      </w:r>
      <w:r>
        <w:rPr>
          <w:color w:val="auto"/>
        </w:rPr>
        <w:fldChar w:fldCharType="begin"/>
      </w:r>
      <w:r>
        <w:rPr>
          <w:color w:val="auto"/>
        </w:rPr>
        <w:instrText xml:space="preserve"> SEQ 表 \* ARABIC </w:instrText>
      </w:r>
      <w:r>
        <w:rPr>
          <w:color w:val="auto"/>
        </w:rPr>
        <w:fldChar w:fldCharType="separate"/>
      </w:r>
      <w:r>
        <w:rPr>
          <w:color w:val="auto"/>
        </w:rPr>
        <w:t>1</w:t>
      </w:r>
      <w:r>
        <w:rPr>
          <w:color w:val="auto"/>
        </w:rPr>
        <w:fldChar w:fldCharType="end"/>
      </w:r>
      <w:r>
        <w:rPr>
          <w:rFonts w:hint="eastAsia"/>
          <w:color w:val="auto"/>
          <w:lang w:val="en-US" w:eastAsia="zh-CN"/>
        </w:rPr>
        <w:t xml:space="preserve">  五华县2021—2025年主要粮食作物生产情况</w:t>
      </w:r>
    </w:p>
    <w:p w14:paraId="38761A1A">
      <w:pPr>
        <w:pStyle w:val="5"/>
        <w:bidi w:val="0"/>
        <w:jc w:val="right"/>
        <w:rPr>
          <w:rFonts w:hint="default"/>
          <w:b w:val="0"/>
          <w:bCs w:val="0"/>
          <w:color w:val="auto"/>
          <w:sz w:val="28"/>
          <w:szCs w:val="28"/>
          <w:lang w:val="en-US" w:eastAsia="zh-CN"/>
        </w:rPr>
      </w:pPr>
      <w:r>
        <w:rPr>
          <w:rFonts w:hint="eastAsia"/>
          <w:b w:val="0"/>
          <w:bCs w:val="0"/>
          <w:color w:val="auto"/>
          <w:sz w:val="28"/>
          <w:szCs w:val="28"/>
          <w:lang w:val="en-US" w:eastAsia="zh-CN"/>
        </w:rPr>
        <w:t>单位：万亩/万吨</w:t>
      </w:r>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84"/>
        <w:gridCol w:w="1296"/>
        <w:gridCol w:w="1297"/>
        <w:gridCol w:w="1297"/>
        <w:gridCol w:w="1297"/>
        <w:gridCol w:w="1297"/>
      </w:tblGrid>
      <w:tr w14:paraId="49EC7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blHeader/>
        </w:trPr>
        <w:tc>
          <w:tcPr>
            <w:tcW w:w="1464"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DCDB0F4">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8"/>
                <w:szCs w:val="28"/>
                <w:u w:val="none"/>
              </w:rPr>
            </w:pPr>
            <w:r>
              <w:rPr>
                <w:rFonts w:hint="eastAsia" w:ascii="仿宋_GB2312" w:hAnsi="仿宋_GB2312" w:eastAsia="仿宋_GB2312" w:cs="仿宋_GB2312"/>
                <w:b/>
                <w:bCs/>
                <w:i w:val="0"/>
                <w:iCs w:val="0"/>
                <w:color w:val="auto"/>
                <w:kern w:val="0"/>
                <w:sz w:val="28"/>
                <w:szCs w:val="28"/>
                <w:u w:val="none"/>
                <w:lang w:val="en-US" w:eastAsia="zh-CN" w:bidi="ar"/>
              </w:rPr>
              <w:t>年份</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04440">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8"/>
                <w:szCs w:val="28"/>
                <w:u w:val="none"/>
              </w:rPr>
            </w:pPr>
            <w:r>
              <w:rPr>
                <w:rFonts w:hint="eastAsia" w:ascii="仿宋_GB2312" w:hAnsi="仿宋_GB2312" w:eastAsia="仿宋_GB2312" w:cs="仿宋_GB2312"/>
                <w:b/>
                <w:bCs/>
                <w:i w:val="0"/>
                <w:iCs w:val="0"/>
                <w:color w:val="auto"/>
                <w:kern w:val="0"/>
                <w:sz w:val="28"/>
                <w:szCs w:val="28"/>
                <w:u w:val="none"/>
                <w:lang w:val="en-US" w:eastAsia="zh-CN" w:bidi="ar"/>
              </w:rPr>
              <w:t>2021</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ACF8A">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8"/>
                <w:szCs w:val="28"/>
                <w:u w:val="none"/>
              </w:rPr>
            </w:pPr>
            <w:r>
              <w:rPr>
                <w:rFonts w:hint="eastAsia" w:ascii="仿宋_GB2312" w:hAnsi="仿宋_GB2312" w:eastAsia="仿宋_GB2312" w:cs="仿宋_GB2312"/>
                <w:b/>
                <w:bCs/>
                <w:i w:val="0"/>
                <w:iCs w:val="0"/>
                <w:color w:val="auto"/>
                <w:kern w:val="0"/>
                <w:sz w:val="28"/>
                <w:szCs w:val="28"/>
                <w:u w:val="none"/>
                <w:lang w:val="en-US" w:eastAsia="zh-CN" w:bidi="ar"/>
              </w:rPr>
              <w:t>2022</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105F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8"/>
                <w:szCs w:val="28"/>
                <w:u w:val="none"/>
              </w:rPr>
            </w:pPr>
            <w:r>
              <w:rPr>
                <w:rFonts w:hint="eastAsia" w:ascii="仿宋_GB2312" w:hAnsi="仿宋_GB2312" w:eastAsia="仿宋_GB2312" w:cs="仿宋_GB2312"/>
                <w:b/>
                <w:bCs/>
                <w:i w:val="0"/>
                <w:iCs w:val="0"/>
                <w:color w:val="auto"/>
                <w:kern w:val="0"/>
                <w:sz w:val="28"/>
                <w:szCs w:val="28"/>
                <w:u w:val="none"/>
                <w:lang w:val="en-US" w:eastAsia="zh-CN" w:bidi="ar"/>
              </w:rPr>
              <w:t>2023</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8F9FC">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8"/>
                <w:szCs w:val="28"/>
                <w:u w:val="none"/>
              </w:rPr>
            </w:pPr>
            <w:r>
              <w:rPr>
                <w:rFonts w:hint="eastAsia" w:ascii="仿宋_GB2312" w:hAnsi="仿宋_GB2312" w:eastAsia="仿宋_GB2312" w:cs="仿宋_GB2312"/>
                <w:b/>
                <w:bCs/>
                <w:i w:val="0"/>
                <w:iCs w:val="0"/>
                <w:color w:val="auto"/>
                <w:kern w:val="0"/>
                <w:sz w:val="28"/>
                <w:szCs w:val="28"/>
                <w:u w:val="none"/>
                <w:lang w:val="en-US" w:eastAsia="zh-CN" w:bidi="ar"/>
              </w:rPr>
              <w:t>2024</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DAEBD">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8"/>
                <w:szCs w:val="28"/>
                <w:u w:val="none"/>
              </w:rPr>
            </w:pPr>
            <w:r>
              <w:rPr>
                <w:rFonts w:hint="eastAsia" w:ascii="仿宋_GB2312" w:hAnsi="仿宋_GB2312" w:eastAsia="仿宋_GB2312" w:cs="仿宋_GB2312"/>
                <w:b/>
                <w:bCs/>
                <w:i w:val="0"/>
                <w:iCs w:val="0"/>
                <w:color w:val="auto"/>
                <w:kern w:val="0"/>
                <w:sz w:val="28"/>
                <w:szCs w:val="28"/>
                <w:u w:val="none"/>
                <w:lang w:val="en-US" w:eastAsia="zh-CN" w:bidi="ar"/>
              </w:rPr>
              <w:t>2025</w:t>
            </w:r>
          </w:p>
        </w:tc>
      </w:tr>
      <w:tr w14:paraId="7A1AE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4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46784">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8"/>
                <w:szCs w:val="28"/>
                <w:u w:val="none"/>
              </w:rPr>
            </w:pPr>
            <w:r>
              <w:rPr>
                <w:rFonts w:hint="eastAsia" w:ascii="仿宋_GB2312" w:hAnsi="仿宋_GB2312" w:eastAsia="仿宋_GB2312" w:cs="仿宋_GB2312"/>
                <w:b w:val="0"/>
                <w:bCs w:val="0"/>
                <w:i w:val="0"/>
                <w:iCs w:val="0"/>
                <w:color w:val="auto"/>
                <w:kern w:val="0"/>
                <w:sz w:val="28"/>
                <w:szCs w:val="28"/>
                <w:u w:val="none"/>
                <w:lang w:val="en-US" w:eastAsia="zh-CN" w:bidi="ar"/>
              </w:rPr>
              <w:t>粮食播种面积</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D89B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84.24</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885EB">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84.28</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16310">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84.26</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6EBE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84.03</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2ABB7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84.61</w:t>
            </w:r>
          </w:p>
        </w:tc>
      </w:tr>
      <w:tr w14:paraId="2334E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4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910A0">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8"/>
                <w:szCs w:val="28"/>
                <w:u w:val="none"/>
              </w:rPr>
            </w:pPr>
            <w:r>
              <w:rPr>
                <w:rFonts w:hint="eastAsia" w:ascii="仿宋_GB2312" w:hAnsi="仿宋_GB2312" w:eastAsia="仿宋_GB2312" w:cs="仿宋_GB2312"/>
                <w:b w:val="0"/>
                <w:bCs w:val="0"/>
                <w:i w:val="0"/>
                <w:iCs w:val="0"/>
                <w:color w:val="auto"/>
                <w:kern w:val="0"/>
                <w:sz w:val="28"/>
                <w:szCs w:val="28"/>
                <w:u w:val="none"/>
                <w:lang w:val="en-US" w:eastAsia="zh-CN" w:bidi="ar"/>
              </w:rPr>
              <w:t>粮食总产量</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CC8A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34.52</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A2A5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34.54</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3A8FE5">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33.95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D747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34.07</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F9752">
            <w:pPr>
              <w:keepNext w:val="0"/>
              <w:keepLines w:val="0"/>
              <w:widowControl/>
              <w:suppressLineNumbers w:val="0"/>
              <w:jc w:val="center"/>
              <w:textAlignment w:val="center"/>
              <w:rPr>
                <w:rFonts w:hint="default" w:ascii="仿宋_GB2312" w:hAnsi="仿宋_GB2312" w:eastAsia="仿宋_GB2312" w:cs="仿宋_GB2312"/>
                <w:i w:val="0"/>
                <w:iCs w:val="0"/>
                <w:color w:val="auto"/>
                <w:sz w:val="28"/>
                <w:szCs w:val="28"/>
                <w:u w:val="none"/>
                <w:lang w:val="en-US"/>
              </w:rPr>
            </w:pPr>
            <w:r>
              <w:rPr>
                <w:rFonts w:hint="eastAsia" w:ascii="仿宋_GB2312" w:hAnsi="仿宋_GB2312" w:eastAsia="仿宋_GB2312" w:cs="仿宋_GB2312"/>
                <w:i w:val="0"/>
                <w:iCs w:val="0"/>
                <w:color w:val="auto"/>
                <w:kern w:val="0"/>
                <w:sz w:val="28"/>
                <w:szCs w:val="28"/>
                <w:u w:val="none"/>
                <w:lang w:val="en-US" w:eastAsia="zh-CN" w:bidi="ar"/>
              </w:rPr>
              <w:t>34.19</w:t>
            </w:r>
          </w:p>
        </w:tc>
      </w:tr>
      <w:tr w14:paraId="37C66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4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4632F">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8"/>
                <w:szCs w:val="28"/>
                <w:u w:val="none"/>
              </w:rPr>
            </w:pPr>
            <w:r>
              <w:rPr>
                <w:rFonts w:hint="eastAsia" w:ascii="仿宋_GB2312" w:hAnsi="仿宋_GB2312" w:eastAsia="仿宋_GB2312" w:cs="仿宋_GB2312"/>
                <w:b w:val="0"/>
                <w:bCs w:val="0"/>
                <w:i w:val="0"/>
                <w:iCs w:val="0"/>
                <w:color w:val="auto"/>
                <w:kern w:val="0"/>
                <w:sz w:val="28"/>
                <w:szCs w:val="28"/>
                <w:u w:val="none"/>
                <w:lang w:val="en-US" w:eastAsia="zh-CN" w:bidi="ar"/>
              </w:rPr>
              <w:t>水稻播种面积</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05F9E">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77.56</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BE657">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77.56</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828C48">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77.25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7707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77.02</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B7238">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76.9</w:t>
            </w:r>
          </w:p>
        </w:tc>
      </w:tr>
      <w:tr w14:paraId="335C4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4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65B9B">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8"/>
                <w:szCs w:val="28"/>
                <w:u w:val="none"/>
              </w:rPr>
            </w:pPr>
            <w:r>
              <w:rPr>
                <w:rFonts w:hint="eastAsia" w:ascii="仿宋_GB2312" w:hAnsi="仿宋_GB2312" w:eastAsia="仿宋_GB2312" w:cs="仿宋_GB2312"/>
                <w:b w:val="0"/>
                <w:bCs w:val="0"/>
                <w:i w:val="0"/>
                <w:iCs w:val="0"/>
                <w:color w:val="auto"/>
                <w:kern w:val="0"/>
                <w:sz w:val="28"/>
                <w:szCs w:val="28"/>
                <w:u w:val="none"/>
                <w:lang w:val="en-US" w:eastAsia="zh-CN" w:bidi="ar"/>
              </w:rPr>
              <w:t>水稻总产量</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FA730">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33.23</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F3038">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33.08</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6B0297">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32.35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54FEE">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32.45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2EAA8">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32.69</w:t>
            </w:r>
          </w:p>
        </w:tc>
      </w:tr>
      <w:tr w14:paraId="73075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4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B6EC6">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8"/>
                <w:szCs w:val="28"/>
                <w:u w:val="none"/>
              </w:rPr>
            </w:pPr>
            <w:r>
              <w:rPr>
                <w:rFonts w:hint="eastAsia" w:ascii="仿宋_GB2312" w:hAnsi="仿宋_GB2312" w:eastAsia="仿宋_GB2312" w:cs="仿宋_GB2312"/>
                <w:b w:val="0"/>
                <w:bCs w:val="0"/>
                <w:i w:val="0"/>
                <w:iCs w:val="0"/>
                <w:color w:val="auto"/>
                <w:kern w:val="0"/>
                <w:sz w:val="28"/>
                <w:szCs w:val="28"/>
                <w:u w:val="none"/>
                <w:lang w:val="en-US" w:eastAsia="zh-CN" w:bidi="ar"/>
              </w:rPr>
              <w:t>薯类播种面积</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DBAE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4.85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483F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4.92</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AE296">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4.95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B2BF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5.01</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EEE4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5.1</w:t>
            </w:r>
          </w:p>
        </w:tc>
      </w:tr>
      <w:tr w14:paraId="19187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4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7405A3">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8"/>
                <w:szCs w:val="28"/>
                <w:u w:val="none"/>
              </w:rPr>
            </w:pPr>
            <w:r>
              <w:rPr>
                <w:rFonts w:hint="eastAsia" w:ascii="仿宋_GB2312" w:hAnsi="仿宋_GB2312" w:eastAsia="仿宋_GB2312" w:cs="仿宋_GB2312"/>
                <w:b w:val="0"/>
                <w:bCs w:val="0"/>
                <w:i w:val="0"/>
                <w:iCs w:val="0"/>
                <w:color w:val="auto"/>
                <w:kern w:val="0"/>
                <w:sz w:val="28"/>
                <w:szCs w:val="28"/>
                <w:u w:val="none"/>
                <w:lang w:val="en-US" w:eastAsia="zh-CN" w:bidi="ar"/>
              </w:rPr>
              <w:t>薯类总产量</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92C71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2.81</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9F40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2.93</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0A07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2.97</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F71C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3.02</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D0A7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3.1</w:t>
            </w:r>
          </w:p>
        </w:tc>
      </w:tr>
      <w:tr w14:paraId="4E413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4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187CA">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8"/>
                <w:szCs w:val="28"/>
                <w:u w:val="none"/>
              </w:rPr>
            </w:pPr>
            <w:r>
              <w:rPr>
                <w:rFonts w:hint="eastAsia" w:ascii="仿宋_GB2312" w:hAnsi="仿宋_GB2312" w:eastAsia="仿宋_GB2312" w:cs="仿宋_GB2312"/>
                <w:b w:val="0"/>
                <w:bCs w:val="0"/>
                <w:i w:val="0"/>
                <w:iCs w:val="0"/>
                <w:color w:val="auto"/>
                <w:kern w:val="0"/>
                <w:sz w:val="28"/>
                <w:szCs w:val="28"/>
                <w:u w:val="none"/>
                <w:lang w:val="en-US" w:eastAsia="zh-CN" w:bidi="ar"/>
              </w:rPr>
              <w:t>大豆播种面积</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D166B">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1.32</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F9C7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1.35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1919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1.38</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618F1">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1.41</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3D436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1.45</w:t>
            </w:r>
          </w:p>
        </w:tc>
      </w:tr>
      <w:tr w14:paraId="2B548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4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61B5B">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8"/>
                <w:szCs w:val="28"/>
                <w:u w:val="none"/>
              </w:rPr>
            </w:pPr>
            <w:r>
              <w:rPr>
                <w:rFonts w:hint="eastAsia" w:ascii="仿宋_GB2312" w:hAnsi="仿宋_GB2312" w:eastAsia="仿宋_GB2312" w:cs="仿宋_GB2312"/>
                <w:b w:val="0"/>
                <w:bCs w:val="0"/>
                <w:i w:val="0"/>
                <w:iCs w:val="0"/>
                <w:color w:val="auto"/>
                <w:kern w:val="0"/>
                <w:sz w:val="28"/>
                <w:szCs w:val="28"/>
                <w:u w:val="none"/>
                <w:lang w:val="en-US" w:eastAsia="zh-CN" w:bidi="ar"/>
              </w:rPr>
              <w:t>大豆总产量</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11A4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0.2</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DA9C5">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0.25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7CE2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0.25</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04DA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0.26</w:t>
            </w:r>
          </w:p>
        </w:tc>
        <w:tc>
          <w:tcPr>
            <w:tcW w:w="70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8D76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_GB2312" w:hAnsi="仿宋_GB2312" w:eastAsia="仿宋_GB2312" w:cs="仿宋_GB2312"/>
                <w:i w:val="0"/>
                <w:iCs w:val="0"/>
                <w:color w:val="auto"/>
                <w:kern w:val="0"/>
                <w:sz w:val="28"/>
                <w:szCs w:val="28"/>
                <w:u w:val="none"/>
                <w:lang w:val="en-US" w:eastAsia="zh-CN" w:bidi="ar"/>
              </w:rPr>
              <w:t>0.27</w:t>
            </w:r>
          </w:p>
        </w:tc>
      </w:tr>
    </w:tbl>
    <w:p w14:paraId="7A9135A7">
      <w:pPr>
        <w:pStyle w:val="5"/>
        <w:rPr>
          <w:rFonts w:hint="eastAsia"/>
          <w:color w:val="auto"/>
          <w:lang w:val="en-US" w:eastAsia="zh-CN"/>
        </w:rPr>
      </w:pPr>
      <w:r>
        <w:rPr>
          <w:rFonts w:hint="eastAsia" w:ascii="楷体_GB2312" w:hAnsi="楷体_GB2312" w:eastAsia="楷体_GB2312" w:cs="楷体_GB2312"/>
          <w:color w:val="auto"/>
          <w:lang w:val="en-US" w:eastAsia="zh-CN"/>
        </w:rPr>
        <w:t>农业平台建设取得突破。</w:t>
      </w:r>
      <w:r>
        <w:rPr>
          <w:rFonts w:hint="eastAsia"/>
          <w:color w:val="auto"/>
          <w:lang w:val="en-US" w:eastAsia="zh-CN"/>
        </w:rPr>
        <w:t>成功创建丝苗米、茶叶2个省级现代农业产业园，蔬菜省级现代农业产业园建设取得实质进展。建成省级“菜篮子”基地9个、粤港澳大湾区“菜篮子”生产基地45个。粤港澳大湾区“菜篮子”产品梅州配送中心落户五华并投入运营，强化对大湾区农产品供应，农业平台承载能力显著增强。</w:t>
      </w:r>
    </w:p>
    <w:p w14:paraId="221456A6">
      <w:pPr>
        <w:pStyle w:val="5"/>
        <w:rPr>
          <w:rFonts w:hint="eastAsia"/>
          <w:color w:val="auto"/>
          <w:lang w:val="en-US" w:eastAsia="zh-CN"/>
        </w:rPr>
      </w:pPr>
      <w:r>
        <w:rPr>
          <w:rFonts w:hint="eastAsia" w:ascii="楷体_GB2312" w:hAnsi="楷体_GB2312" w:eastAsia="楷体_GB2312" w:cs="楷体_GB2312"/>
          <w:color w:val="auto"/>
          <w:lang w:val="en-US" w:eastAsia="zh-CN"/>
        </w:rPr>
        <w:t>农业机械化水平持续提升。</w:t>
      </w:r>
      <w:r>
        <w:rPr>
          <w:rFonts w:hint="eastAsia"/>
          <w:color w:val="auto"/>
          <w:lang w:val="en-US" w:eastAsia="zh-CN"/>
        </w:rPr>
        <w:t>构建了县镇村三级农业社会化服务协办体系，获评广东省农业社会化服务创新试点县。2025年，县级托管中心服务面积达2.7万亩、农机作业覆盖2.8万亩。农业物联网覆盖面积达5万亩，农业数字化基础不断夯实。</w:t>
      </w:r>
    </w:p>
    <w:p w14:paraId="5E26DA00">
      <w:pPr>
        <w:pStyle w:val="5"/>
        <w:rPr>
          <w:rFonts w:hint="eastAsia"/>
          <w:color w:val="auto"/>
          <w:lang w:val="en-US" w:eastAsia="zh-CN"/>
        </w:rPr>
      </w:pPr>
      <w:r>
        <w:rPr>
          <w:rFonts w:hint="eastAsia" w:ascii="楷体_GB2312" w:hAnsi="楷体_GB2312" w:eastAsia="楷体_GB2312" w:cs="楷体_GB2312"/>
          <w:color w:val="auto"/>
          <w:lang w:val="en-US" w:eastAsia="zh-CN"/>
        </w:rPr>
        <w:t>经营主体持续壮大。</w:t>
      </w:r>
      <w:r>
        <w:rPr>
          <w:rFonts w:hint="eastAsia"/>
          <w:color w:val="auto"/>
          <w:lang w:val="en-US" w:eastAsia="zh-CN"/>
        </w:rPr>
        <w:t>全县聚集各类农业经营主体178家，累计培育县级以上农业龙头企业51家，其中省级13家。在全市率先推行“产业村长”模式，累计选聘118名产业能人驻村联户，“产业村长”带动农户创业就业增收模式入选全省“激发经管团队活力”典型案例。</w:t>
      </w:r>
    </w:p>
    <w:p w14:paraId="6067EF0D">
      <w:pPr>
        <w:pStyle w:val="4"/>
        <w:numPr>
          <w:ilvl w:val="0"/>
          <w:numId w:val="1"/>
        </w:numPr>
        <w:ind w:firstLine="643" w:firstLineChars="200"/>
        <w:rPr>
          <w:rFonts w:hint="eastAsia"/>
          <w:color w:val="auto"/>
          <w:lang w:val="en-US" w:eastAsia="zh-CN"/>
        </w:rPr>
      </w:pPr>
      <w:r>
        <w:rPr>
          <w:rFonts w:hint="eastAsia"/>
          <w:color w:val="auto"/>
          <w:lang w:val="en-US" w:eastAsia="zh-CN"/>
        </w:rPr>
        <w:t>特色产业与品牌建设成效显著，产业融合不断深化</w:t>
      </w:r>
    </w:p>
    <w:p w14:paraId="46F01AB7">
      <w:pPr>
        <w:pStyle w:val="5"/>
        <w:rPr>
          <w:rFonts w:hint="eastAsia"/>
          <w:color w:val="auto"/>
          <w:lang w:val="en-US" w:eastAsia="zh-CN"/>
        </w:rPr>
      </w:pPr>
      <w:r>
        <w:rPr>
          <w:rFonts w:hint="eastAsia" w:ascii="楷体_GB2312" w:hAnsi="楷体_GB2312" w:eastAsia="楷体_GB2312" w:cs="楷体_GB2312"/>
          <w:color w:val="auto"/>
          <w:lang w:val="en-US" w:eastAsia="zh-CN"/>
        </w:rPr>
        <w:t>区域特色产业格局加快成型。</w:t>
      </w:r>
      <w:r>
        <w:rPr>
          <w:rFonts w:hint="eastAsia"/>
          <w:color w:val="auto"/>
          <w:lang w:val="en-US" w:eastAsia="zh-CN"/>
        </w:rPr>
        <w:t>农业向“特”而优，累计58个村入选省级“一村一品”专业村。五华菩米、五华坚果、五华茶叶（炒绿）、五华鱼生、五华红薯、大田柿花等特色农业产业规模稳步扩大。2025年，五华菩米产量1.3万吨、产值超1.5亿元，获评全国名特优新农产品，成立菩米产业联盟推动标准化发展。五华坚果种植面积达1.3万亩，产量575吨。茶叶种植面积7.44万亩，产量7086吨。出台了五华鱼生产业规范标准，全县专营餐饮企业超200家，带动就业超5000人。红薯种植面积1.2万亩，产量1.73万吨，产值0.59亿元。</w:t>
      </w:r>
    </w:p>
    <w:p w14:paraId="04AB55C0">
      <w:pPr>
        <w:pStyle w:val="5"/>
        <w:rPr>
          <w:rFonts w:hint="eastAsia"/>
          <w:color w:val="auto"/>
          <w:lang w:val="en-US" w:eastAsia="zh-CN"/>
        </w:rPr>
      </w:pPr>
      <w:r>
        <w:rPr>
          <w:rFonts w:hint="eastAsia" w:ascii="楷体_GB2312" w:hAnsi="楷体_GB2312" w:eastAsia="楷体_GB2312" w:cs="楷体_GB2312"/>
          <w:color w:val="auto"/>
          <w:lang w:val="en-US" w:eastAsia="zh-CN"/>
        </w:rPr>
        <w:t>农业品牌建设成果丰硕。</w:t>
      </w:r>
      <w:r>
        <w:rPr>
          <w:rFonts w:hint="eastAsia"/>
          <w:color w:val="auto"/>
          <w:lang w:val="en-US" w:eastAsia="zh-CN"/>
        </w:rPr>
        <w:t>累计培育全国名特优新农产品3个、“粤字号”农业品牌31个。“十四五”时期，新增“二品一标”产品8个。五华红薯、七畲径茶、大田柿花、长乐烧获国家地理标志认定。长乐烧获评“中华老字号”，大田柿花入选全国“土特产”推介名单。五华高山红薯入选广东十大名薯品牌。五华菩米、五华鱼生列入县级非物质文化遗产名录。</w:t>
      </w:r>
    </w:p>
    <w:p w14:paraId="44D0944D">
      <w:pPr>
        <w:pStyle w:val="5"/>
        <w:rPr>
          <w:rFonts w:hint="eastAsia"/>
          <w:color w:val="auto"/>
          <w:lang w:val="en-US" w:eastAsia="zh-CN"/>
        </w:rPr>
      </w:pPr>
      <w:r>
        <w:rPr>
          <w:rFonts w:hint="eastAsia" w:ascii="楷体_GB2312" w:hAnsi="楷体_GB2312" w:eastAsia="楷体_GB2312" w:cs="楷体_GB2312"/>
          <w:color w:val="auto"/>
          <w:lang w:val="en-US" w:eastAsia="zh-CN"/>
        </w:rPr>
        <w:t>农文旅融合深入推进。</w:t>
      </w:r>
      <w:r>
        <w:rPr>
          <w:rFonts w:hint="eastAsia"/>
          <w:color w:val="auto"/>
          <w:lang w:val="en-US" w:eastAsia="zh-CN"/>
        </w:rPr>
        <w:t>依托足球文化、生态资源、客家民俗等优势，加快推动农业与文旅、体育、康养等产业融合发展。创新“足球之乡IP+农业”品牌融合模式，创设“足球+鱼生”“足球+菩米”等消费场景。打造集观光、体验、采摘于一体的茶旅特色村，双龙山旅游区、新丰寨农旅基地等农旅融合项目建成运营。2025年，全县接待游客197.07万人次，实现旅游总收入15.54亿元，分别增长6.5%和19.1%，农业多元功能不断拓展。</w:t>
      </w:r>
    </w:p>
    <w:p w14:paraId="50B02CC7">
      <w:pPr>
        <w:pStyle w:val="4"/>
        <w:numPr>
          <w:ilvl w:val="0"/>
          <w:numId w:val="1"/>
        </w:numPr>
        <w:ind w:firstLine="643" w:firstLineChars="200"/>
        <w:rPr>
          <w:rFonts w:hint="eastAsia"/>
          <w:color w:val="auto"/>
          <w:lang w:val="en-US" w:eastAsia="zh-CN"/>
        </w:rPr>
      </w:pPr>
      <w:r>
        <w:rPr>
          <w:rFonts w:hint="eastAsia"/>
          <w:color w:val="auto"/>
          <w:lang w:val="en-US" w:eastAsia="zh-CN"/>
        </w:rPr>
        <w:t>乡村建设扎实推进，人居环境显著改善</w:t>
      </w:r>
    </w:p>
    <w:p w14:paraId="3744FCEA">
      <w:pPr>
        <w:pStyle w:val="5"/>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“百千万工程”典型培育初见成效。</w:t>
      </w:r>
      <w:r>
        <w:rPr>
          <w:rFonts w:hint="eastAsia" w:ascii="Times New Roman" w:hAnsi="Times New Roman" w:eastAsia="FangSong_GB2312" w:cs="Times New Roman"/>
          <w:color w:val="auto"/>
          <w:lang w:val="en-US" w:eastAsia="zh-CN"/>
        </w:rPr>
        <w:t>14镇66村入选省级典型，数量全市第一。深入开展人居环境整治，拆除</w:t>
      </w:r>
      <w:r>
        <w:rPr>
          <w:rFonts w:hint="eastAsia" w:cs="Times New Roman"/>
          <w:color w:val="auto"/>
          <w:lang w:val="en-US" w:eastAsia="zh-CN"/>
        </w:rPr>
        <w:t>（</w:t>
      </w:r>
      <w:r>
        <w:rPr>
          <w:rFonts w:hint="eastAsia" w:ascii="Times New Roman" w:hAnsi="Times New Roman" w:eastAsia="FangSong_GB2312" w:cs="Times New Roman"/>
          <w:color w:val="auto"/>
          <w:lang w:val="en-US" w:eastAsia="zh-CN"/>
        </w:rPr>
        <w:t>修缮</w:t>
      </w:r>
      <w:r>
        <w:rPr>
          <w:rFonts w:hint="eastAsia" w:cs="Times New Roman"/>
          <w:color w:val="auto"/>
          <w:lang w:val="en-US" w:eastAsia="zh-CN"/>
        </w:rPr>
        <w:t>）</w:t>
      </w:r>
      <w:r>
        <w:rPr>
          <w:rFonts w:hint="eastAsia" w:ascii="Times New Roman" w:hAnsi="Times New Roman" w:eastAsia="FangSong_GB2312" w:cs="Times New Roman"/>
          <w:color w:val="auto"/>
          <w:lang w:val="en-US" w:eastAsia="zh-CN"/>
        </w:rPr>
        <w:t>危旧房4300余处，提升农房风貌4万余座，新增农房实现“零违建”</w:t>
      </w:r>
      <w:r>
        <w:rPr>
          <w:rFonts w:hint="eastAsia" w:cs="Times New Roman"/>
          <w:color w:val="auto"/>
          <w:lang w:val="en-US" w:eastAsia="zh-CN"/>
        </w:rPr>
        <w:t>。</w:t>
      </w:r>
      <w:r>
        <w:rPr>
          <w:rFonts w:hint="eastAsia" w:ascii="Times New Roman" w:hAnsi="Times New Roman" w:eastAsia="FangSong_GB2312" w:cs="Times New Roman"/>
          <w:color w:val="auto"/>
          <w:lang w:val="en-US" w:eastAsia="zh-CN"/>
        </w:rPr>
        <w:t>完成“三线”整治367公里，“三拆除”整治率100%。80%以上行政村建成美丽宜居村，乡村风貌焕然一新。</w:t>
      </w:r>
    </w:p>
    <w:p w14:paraId="1595F2E9">
      <w:pPr>
        <w:pStyle w:val="5"/>
        <w:rPr>
          <w:rFonts w:hint="eastAsia"/>
          <w:color w:val="auto"/>
          <w:lang w:val="en-US" w:eastAsia="zh-CN"/>
        </w:rPr>
      </w:pPr>
      <w:r>
        <w:rPr>
          <w:rFonts w:hint="eastAsia" w:ascii="楷体_GB2312" w:hAnsi="楷体_GB2312" w:eastAsia="楷体_GB2312" w:cs="楷体_GB2312"/>
          <w:color w:val="auto"/>
          <w:lang w:val="en-US" w:eastAsia="zh-CN"/>
        </w:rPr>
        <w:t>基础设施持续完善。</w:t>
      </w:r>
      <w:r>
        <w:rPr>
          <w:rFonts w:hint="eastAsia" w:ascii="Times New Roman" w:hAnsi="Times New Roman" w:eastAsia="FangSong_GB2312" w:cs="Times New Roman"/>
          <w:color w:val="auto"/>
          <w:lang w:val="en-US" w:eastAsia="zh-CN"/>
        </w:rPr>
        <w:t>常住人口100人以上自然村公路均实现硬底化，农村无害化卫生厕所普及率达100%，自来水普及率达99.4</w:t>
      </w:r>
      <w:r>
        <w:rPr>
          <w:rFonts w:hint="eastAsia" w:cs="Times New Roman"/>
          <w:color w:val="auto"/>
          <w:lang w:val="en-US" w:eastAsia="zh-CN"/>
        </w:rPr>
        <w:t>%</w:t>
      </w:r>
      <w:r>
        <w:rPr>
          <w:rFonts w:hint="eastAsia" w:ascii="Times New Roman" w:hAnsi="Times New Roman" w:eastAsia="FangSong_GB2312" w:cs="Times New Roman"/>
          <w:color w:val="auto"/>
          <w:lang w:val="en-US" w:eastAsia="zh-CN"/>
        </w:rPr>
        <w:t>。自然村生活污水治理率较“十三五”末提升近11个百分点，农村生活垃圾治理体系实现行政村全覆盖。</w:t>
      </w:r>
    </w:p>
    <w:p w14:paraId="55FC64C5">
      <w:pPr>
        <w:pStyle w:val="4"/>
        <w:numPr>
          <w:ilvl w:val="0"/>
          <w:numId w:val="1"/>
        </w:numPr>
        <w:ind w:firstLine="643" w:firstLineChars="200"/>
        <w:rPr>
          <w:rFonts w:hint="eastAsia"/>
          <w:color w:val="auto"/>
          <w:lang w:val="en-US" w:eastAsia="zh-CN"/>
        </w:rPr>
      </w:pPr>
      <w:r>
        <w:rPr>
          <w:rFonts w:hint="eastAsia"/>
          <w:color w:val="auto"/>
          <w:lang w:val="en-US" w:eastAsia="zh-CN"/>
        </w:rPr>
        <w:t>农村改革纵深突破，发展活力持续增强</w:t>
      </w:r>
    </w:p>
    <w:p w14:paraId="21C91F81">
      <w:pPr>
        <w:pStyle w:val="5"/>
        <w:rPr>
          <w:rFonts w:hint="eastAsia"/>
          <w:color w:val="auto"/>
          <w:lang w:val="en-US" w:eastAsia="zh-CN"/>
        </w:rPr>
      </w:pPr>
      <w:r>
        <w:rPr>
          <w:rFonts w:hint="eastAsia" w:ascii="楷体_GB2312" w:hAnsi="楷体_GB2312" w:eastAsia="楷体_GB2312" w:cs="楷体_GB2312"/>
          <w:color w:val="auto"/>
          <w:lang w:val="en-US" w:eastAsia="zh-CN"/>
        </w:rPr>
        <w:t>土地制度改革稳步推进。</w:t>
      </w:r>
      <w:r>
        <w:rPr>
          <w:rFonts w:hint="eastAsia"/>
          <w:color w:val="auto"/>
          <w:lang w:val="en-US" w:eastAsia="zh-CN"/>
        </w:rPr>
        <w:t>基本完成郭田镇第二轮土地承包到期后再延长三十年试点工作，并全面推进整县第二轮土地承包到期后再延长三十年试点工作。全力推进全域土地综合整治，安流镇全域土整列入市十大改革创新典型案例，全县16个镇承包地集中连片流转面积100亩以上的占比均达到耕地总量的50%以上，土地规模化经营水平显著提升。</w:t>
      </w:r>
    </w:p>
    <w:p w14:paraId="5A6F5497">
      <w:pPr>
        <w:pStyle w:val="5"/>
        <w:rPr>
          <w:rFonts w:hint="eastAsia"/>
          <w:color w:val="auto"/>
          <w:lang w:val="en-US" w:eastAsia="zh-CN"/>
        </w:rPr>
      </w:pPr>
      <w:r>
        <w:rPr>
          <w:rFonts w:hint="eastAsia" w:ascii="楷体_GB2312" w:hAnsi="楷体_GB2312" w:eastAsia="楷体_GB2312" w:cs="楷体_GB2312"/>
          <w:color w:val="auto"/>
          <w:lang w:val="en-US" w:eastAsia="zh-CN"/>
        </w:rPr>
        <w:t>集体经济活力明显增强。</w:t>
      </w:r>
      <w:r>
        <w:rPr>
          <w:rFonts w:hint="eastAsia"/>
          <w:color w:val="auto"/>
          <w:lang w:val="en-US" w:eastAsia="zh-CN"/>
        </w:rPr>
        <w:t>在全市率先实现镇级国企“强镇富村公司”全覆盖，出台了《五华县村干部绩效奖励与发展壮大村集体经济挂钩的指导意见》，充分调动我县村“两委”干部发展新型农村集体经济的积极性和主动性，全县414个行政村集体经济年收入均超10万元，其中66个典型村突破50万元。</w:t>
      </w:r>
    </w:p>
    <w:p w14:paraId="393A7491">
      <w:pPr>
        <w:pStyle w:val="5"/>
        <w:rPr>
          <w:rFonts w:hint="eastAsia"/>
          <w:color w:val="auto"/>
          <w:lang w:val="en-US" w:eastAsia="zh-CN"/>
        </w:rPr>
      </w:pPr>
      <w:r>
        <w:rPr>
          <w:rFonts w:hint="eastAsia" w:ascii="楷体_GB2312" w:hAnsi="楷体_GB2312" w:eastAsia="楷体_GB2312" w:cs="楷体_GB2312"/>
          <w:color w:val="auto"/>
          <w:lang w:val="en-US" w:eastAsia="zh-CN"/>
        </w:rPr>
        <w:t>集体“三资”管理规范。</w:t>
      </w:r>
      <w:r>
        <w:rPr>
          <w:rFonts w:hint="eastAsia"/>
          <w:color w:val="auto"/>
          <w:lang w:val="en-US" w:eastAsia="zh-CN"/>
        </w:rPr>
        <w:t>持续深化农村集体资金、资产、资源“三资”专项整治，全面依托梅州市农村产权流转交易平台推进集体资产阳光交易、规范运营。平台自2024年7月开始运营，截至2025年12月31日，我县通过平台累计发布交易公告122宗 ，成交74宗，成交总额946.3万元，</w:t>
      </w:r>
      <w:bookmarkStart w:id="94" w:name="_GoBack"/>
      <w:bookmarkEnd w:id="94"/>
      <w:r>
        <w:rPr>
          <w:rFonts w:hint="eastAsia"/>
          <w:color w:val="auto"/>
          <w:lang w:val="en-US" w:eastAsia="zh-CN"/>
        </w:rPr>
        <w:t>溢价48.86万元，溢价率5.44% 。有效盘活农村闲置资产资源，实现集体资产保值增值，从源头防范基层“微腐败”，切实保障村集体和农民财产权益，农村集体“三资”监管规范化、透明化水平显著提升。</w:t>
      </w:r>
    </w:p>
    <w:p w14:paraId="5B85B249">
      <w:pPr>
        <w:pStyle w:val="4"/>
        <w:numPr>
          <w:ilvl w:val="0"/>
          <w:numId w:val="1"/>
        </w:numPr>
        <w:ind w:firstLine="643" w:firstLineChars="200"/>
        <w:rPr>
          <w:rFonts w:hint="eastAsia"/>
          <w:color w:val="auto"/>
          <w:lang w:val="en-US" w:eastAsia="zh-CN"/>
        </w:rPr>
      </w:pPr>
      <w:r>
        <w:rPr>
          <w:rFonts w:hint="eastAsia"/>
          <w:color w:val="auto"/>
          <w:lang w:val="en-US" w:eastAsia="zh-CN"/>
        </w:rPr>
        <w:t>治理效能巩固提升，乡村善治格局形成</w:t>
      </w:r>
    </w:p>
    <w:p w14:paraId="3EA37052">
      <w:pPr>
        <w:pStyle w:val="5"/>
        <w:rPr>
          <w:rFonts w:hint="eastAsia"/>
          <w:color w:val="auto"/>
          <w:lang w:val="en-US" w:eastAsia="zh-CN"/>
        </w:rPr>
      </w:pPr>
      <w:r>
        <w:rPr>
          <w:rFonts w:hint="eastAsia" w:ascii="楷体_GB2312" w:hAnsi="楷体_GB2312" w:eastAsia="楷体_GB2312" w:cs="楷体_GB2312"/>
          <w:color w:val="auto"/>
          <w:lang w:val="en-US" w:eastAsia="zh-CN"/>
        </w:rPr>
        <w:t>治理模式创新提效。</w:t>
      </w:r>
      <w:r>
        <w:rPr>
          <w:rFonts w:hint="eastAsia"/>
          <w:color w:val="auto"/>
          <w:lang w:val="en-US" w:eastAsia="zh-CN"/>
        </w:rPr>
        <w:t>全面推广积分制、清单制乡村治理模式，数字化治理手段广泛应用。全县414个行政村中，281个行政村运用积分制激发群众参与热情，343个行政村推行清单制厘清治理权责，178个行政村上线乡村治理线上小程序，实现治理事项线上办、群众诉求快速反应，乡村治理效率与精细化水平显著提升，群众自我管理、自我服务、自我监督的主动性持续增强。</w:t>
      </w:r>
    </w:p>
    <w:p w14:paraId="68BC53B1">
      <w:pPr>
        <w:pStyle w:val="5"/>
        <w:rPr>
          <w:rFonts w:hint="eastAsia"/>
          <w:color w:val="auto"/>
          <w:lang w:val="en-US" w:eastAsia="zh-CN"/>
        </w:rPr>
      </w:pPr>
      <w:r>
        <w:rPr>
          <w:rFonts w:hint="eastAsia" w:ascii="楷体_GB2312" w:hAnsi="楷体_GB2312" w:eastAsia="楷体_GB2312" w:cs="楷体_GB2312"/>
          <w:color w:val="auto"/>
          <w:lang w:val="en-US" w:eastAsia="zh-CN"/>
        </w:rPr>
        <w:t>平安乡村建设根基持续夯实。</w:t>
      </w:r>
      <w:r>
        <w:rPr>
          <w:rFonts w:hint="eastAsia"/>
          <w:color w:val="auto"/>
          <w:lang w:val="en-US" w:eastAsia="zh-CN"/>
        </w:rPr>
        <w:t>健全农业农村领域矛盾纠纷多元化解与全链条安全监管机制，牢牢守住农村社会稳定、农业生产、农产品质量安全底线。截至2025年末，全县累计受理农业领域信访件148宗，办结142宗、6宗按期推进，成功调处农村土地承包经营纠纷15宗，开展农资打假专项行动4宗，切实维护农民合法权益。同步抓好农业安全生产、禁渔管理、农资执法等工作，全方位筑牢农业农村安全防线。持续强化农产品质量安全监管，合格率保持100%。</w:t>
      </w:r>
    </w:p>
    <w:p w14:paraId="59F2412E">
      <w:pPr>
        <w:pStyle w:val="5"/>
        <w:rPr>
          <w:rFonts w:hint="eastAsia"/>
          <w:color w:val="auto"/>
          <w:lang w:val="en-US" w:eastAsia="zh-CN"/>
        </w:rPr>
      </w:pPr>
      <w:r>
        <w:rPr>
          <w:rFonts w:hint="eastAsia" w:ascii="楷体_GB2312" w:hAnsi="楷体_GB2312" w:eastAsia="楷体_GB2312" w:cs="楷体_GB2312"/>
          <w:color w:val="auto"/>
          <w:lang w:val="en-US" w:eastAsia="zh-CN"/>
        </w:rPr>
        <w:t>脱贫攻坚成果巩固拓展。</w:t>
      </w:r>
      <w:r>
        <w:rPr>
          <w:rFonts w:hint="eastAsia"/>
          <w:color w:val="auto"/>
          <w:lang w:val="en-US" w:eastAsia="zh-CN"/>
        </w:rPr>
        <w:t>建立健全防返贫动态监测和帮扶机制，成功消除309户1079人监测对象返贫风险。2025年脱贫户家庭年人均可支配收入达19993.92元，有劳动能力脱贫人口稳定就业率达98.81%，牢牢守住不发生规模性返贫底线。</w:t>
      </w:r>
    </w:p>
    <w:p w14:paraId="4BFB7AF2">
      <w:pPr>
        <w:pStyle w:val="3"/>
        <w:bidi w:val="0"/>
        <w:rPr>
          <w:rFonts w:hint="default"/>
          <w:color w:val="auto"/>
          <w:lang w:val="en-US" w:eastAsia="zh-CN"/>
        </w:rPr>
      </w:pPr>
      <w:bookmarkStart w:id="28" w:name="_Toc24480"/>
      <w:bookmarkStart w:id="29" w:name="_Toc12570"/>
      <w:bookmarkStart w:id="30" w:name="_Toc8388"/>
      <w:r>
        <w:rPr>
          <w:rFonts w:hint="eastAsia"/>
          <w:color w:val="auto"/>
          <w:lang w:val="en-US" w:eastAsia="zh-CN"/>
        </w:rPr>
        <w:t>第二节 存在问题</w:t>
      </w:r>
      <w:bookmarkEnd w:id="28"/>
      <w:bookmarkEnd w:id="29"/>
      <w:bookmarkEnd w:id="30"/>
    </w:p>
    <w:p w14:paraId="0C0C5EB0">
      <w:pPr>
        <w:pStyle w:val="5"/>
        <w:bidi w:val="0"/>
        <w:rPr>
          <w:rFonts w:hint="eastAsia"/>
          <w:color w:val="auto"/>
          <w:lang w:val="en-US" w:eastAsia="zh-CN"/>
        </w:rPr>
      </w:pPr>
      <w:r>
        <w:rPr>
          <w:rFonts w:hint="eastAsia"/>
          <w:color w:val="auto"/>
          <w:lang w:val="en-US" w:eastAsia="zh-CN"/>
        </w:rPr>
        <w:t>“十四五”时期，五华农业农村发展取得显著成效，但对标农业农村现代化要求和“百千万工程”目标任务，仍存在一些亟待解决的突出短板和深层次矛盾。</w:t>
      </w:r>
    </w:p>
    <w:p w14:paraId="6BE5C0F1">
      <w:pPr>
        <w:pStyle w:val="5"/>
        <w:bidi w:val="0"/>
        <w:rPr>
          <w:rFonts w:hint="eastAsia"/>
          <w:color w:val="auto"/>
          <w:lang w:val="en-US" w:eastAsia="zh-CN"/>
        </w:rPr>
      </w:pPr>
      <w:r>
        <w:rPr>
          <w:rFonts w:hint="eastAsia" w:ascii="楷体_GB2312" w:hAnsi="楷体_GB2312" w:eastAsia="楷体_GB2312" w:cs="楷体_GB2312"/>
          <w:color w:val="auto"/>
          <w:lang w:val="en-US" w:eastAsia="zh-CN"/>
        </w:rPr>
        <w:t>农业生产规模化集约化水平偏低。</w:t>
      </w:r>
      <w:r>
        <w:rPr>
          <w:rFonts w:hint="eastAsia"/>
          <w:color w:val="auto"/>
          <w:lang w:val="en-US" w:eastAsia="zh-CN"/>
        </w:rPr>
        <w:t>全县农业仍以小农经济为主要形态，耕地细碎化分布特征明显。虽通过全域土地综合整治，推进“小田并大田”，但连片规模化种植面积占比不高，高标准农田建设与农业设施配套仍需加强。农业机械化覆盖率不均衡，除水稻等大宗作物机械化水平较高外，茶叶、蔬菜等经济作物生产仍以人工为主，生产效率有待提升。畜禽养殖领域环保约束趋紧，养殖场环保设施配套不足，制约养殖规模化发展。</w:t>
      </w:r>
    </w:p>
    <w:p w14:paraId="358A682A">
      <w:pPr>
        <w:pStyle w:val="5"/>
        <w:bidi w:val="0"/>
        <w:rPr>
          <w:rFonts w:hint="eastAsia"/>
          <w:color w:val="auto"/>
          <w:lang w:val="en-US" w:eastAsia="zh-CN"/>
        </w:rPr>
      </w:pPr>
      <w:r>
        <w:rPr>
          <w:rFonts w:hint="eastAsia" w:ascii="楷体_GB2312" w:hAnsi="楷体_GB2312" w:eastAsia="楷体_GB2312" w:cs="楷体_GB2312"/>
          <w:color w:val="auto"/>
          <w:lang w:val="en-US" w:eastAsia="zh-CN"/>
        </w:rPr>
        <w:t>农业加工链条“短而弱”，附加值挖掘不充分。</w:t>
      </w:r>
      <w:r>
        <w:rPr>
          <w:rFonts w:hint="eastAsia"/>
          <w:color w:val="auto"/>
          <w:lang w:val="en-US" w:eastAsia="zh-CN"/>
        </w:rPr>
        <w:t>农业产业仍停留在“种养为主、加工为辅”的初级阶段，农产品深加工占比偏低，缺乏规模化、高附加值的精深加工项目，工业对农业的反哺带动能力偏弱。茶叶、蔬菜等特色农产品多以原料形式外流加工，本地仅能获取初级生产收益，产业链核心利润环节流失，未能充分实现就地转化增值。</w:t>
      </w:r>
    </w:p>
    <w:p w14:paraId="11538444">
      <w:pPr>
        <w:pStyle w:val="5"/>
        <w:bidi w:val="0"/>
        <w:rPr>
          <w:rFonts w:hint="eastAsia"/>
          <w:color w:val="auto"/>
          <w:lang w:val="en-US" w:eastAsia="zh-CN"/>
        </w:rPr>
      </w:pPr>
      <w:r>
        <w:rPr>
          <w:rFonts w:hint="eastAsia" w:ascii="楷体_GB2312" w:hAnsi="楷体_GB2312" w:eastAsia="楷体_GB2312" w:cs="楷体_GB2312"/>
          <w:color w:val="auto"/>
          <w:lang w:val="en-US" w:eastAsia="zh-CN"/>
        </w:rPr>
        <w:t>产业融合深度不足，业态创新与资源整合能力偏弱。</w:t>
      </w:r>
      <w:r>
        <w:rPr>
          <w:rFonts w:hint="eastAsia"/>
          <w:color w:val="auto"/>
          <w:lang w:val="en-US" w:eastAsia="zh-CN"/>
        </w:rPr>
        <w:t>农文旅体商融合仍处于浅层次合作阶段，农业与二三产业联动不够紧密。虽依托中超赛事打造“足球+”消费场景，但“足球+农业”“农业+文旅”融合度不够，尚未形成串联农事体验、生态康养、客家民俗的全链条产品体系。休闲农业、研学旅行、精品民宿等新业态培育不足，农业的多元功能和综合价值未能充分释放。</w:t>
      </w:r>
    </w:p>
    <w:p w14:paraId="4C0835CA">
      <w:pPr>
        <w:pStyle w:val="5"/>
        <w:bidi w:val="0"/>
        <w:rPr>
          <w:rFonts w:hint="eastAsia"/>
          <w:color w:val="auto"/>
          <w:lang w:val="en-US" w:eastAsia="zh-CN"/>
        </w:rPr>
      </w:pPr>
      <w:r>
        <w:rPr>
          <w:rFonts w:hint="eastAsia" w:ascii="楷体_GB2312" w:hAnsi="楷体_GB2312" w:eastAsia="楷体_GB2312" w:cs="楷体_GB2312"/>
          <w:color w:val="auto"/>
          <w:lang w:val="en-US" w:eastAsia="zh-CN"/>
        </w:rPr>
        <w:t>品牌建设与市场拓展能力不足。</w:t>
      </w:r>
      <w:r>
        <w:rPr>
          <w:rFonts w:hint="eastAsia"/>
          <w:color w:val="auto"/>
          <w:lang w:val="en-US" w:eastAsia="zh-CN"/>
        </w:rPr>
        <w:t>现有农业品牌呈现“有品类、无品牌”“小而散”的格局，部分特色产品虽有一定传播成效，但区域影响力仍集中于本地及周边市场，在大湾区的市场渗透率与品牌认知度偏低。全县缺乏统一的品牌营销体系，特色产品多以零散销售为主，未形成集群化品牌效应，市场竞争力与议价能力较弱。</w:t>
      </w:r>
    </w:p>
    <w:p w14:paraId="21095940">
      <w:pPr>
        <w:pStyle w:val="5"/>
        <w:bidi w:val="0"/>
        <w:rPr>
          <w:rFonts w:hint="eastAsia"/>
          <w:color w:val="auto"/>
          <w:lang w:val="en-US" w:eastAsia="zh-CN"/>
        </w:rPr>
      </w:pPr>
      <w:r>
        <w:rPr>
          <w:rFonts w:hint="eastAsia" w:ascii="楷体_GB2312" w:hAnsi="楷体_GB2312" w:eastAsia="楷体_GB2312" w:cs="楷体_GB2312"/>
          <w:color w:val="auto"/>
          <w:lang w:val="en-US" w:eastAsia="zh-CN"/>
        </w:rPr>
        <w:t>农村集体经济和农民增收后劲乏力。</w:t>
      </w:r>
      <w:r>
        <w:rPr>
          <w:rFonts w:hint="eastAsia"/>
          <w:color w:val="auto"/>
          <w:lang w:val="en-US" w:eastAsia="zh-CN"/>
        </w:rPr>
        <w:t>村级集体经济整体实力偏弱，过度依赖资源发包、资产租赁等传统路径，缺乏稳定乡村产业支撑和多元增收渠道。集体“三资”管理已逐步规范，但闲置资源盘活效率不高、市场化运营能力不足，资源资产“沉睡”现象依然存在，社会资本引入渠道不畅，新型农村集体经济培育仍是突出短板。</w:t>
      </w:r>
    </w:p>
    <w:p w14:paraId="1CD13ECD">
      <w:pPr>
        <w:pStyle w:val="5"/>
        <w:bidi w:val="0"/>
        <w:rPr>
          <w:rFonts w:hint="default"/>
          <w:color w:val="auto"/>
          <w:lang w:val="en-US" w:eastAsia="zh-CN"/>
        </w:rPr>
      </w:pPr>
      <w:r>
        <w:rPr>
          <w:rFonts w:hint="eastAsia" w:ascii="楷体_GB2312" w:hAnsi="楷体_GB2312" w:eastAsia="楷体_GB2312" w:cs="楷体_GB2312"/>
          <w:color w:val="auto"/>
          <w:lang w:val="en-US" w:eastAsia="zh-CN"/>
        </w:rPr>
        <w:t>基础设施与公共服务短板依然明显。</w:t>
      </w:r>
      <w:r>
        <w:rPr>
          <w:rFonts w:hint="eastAsia"/>
          <w:color w:val="auto"/>
          <w:lang w:val="en-US" w:eastAsia="zh-CN"/>
        </w:rPr>
        <w:t>农村道路、供水、数字网络等基础设施仍存在薄弱环节，局部地区供水管网老化、水质不稳定，部分偏远自然村交通条件有待改善。教育、医疗、养老等公共服务供给不均衡，优质资源相对短缺，基层服务能力不足。生产性服务业发展滞后，冷链物流覆盖率不足，难以有效支撑农产品高效流通。</w:t>
      </w:r>
    </w:p>
    <w:p w14:paraId="60273B5A">
      <w:pPr>
        <w:pStyle w:val="3"/>
        <w:numPr>
          <w:ilvl w:val="0"/>
          <w:numId w:val="0"/>
        </w:numPr>
        <w:bidi w:val="0"/>
        <w:rPr>
          <w:rFonts w:hint="eastAsia"/>
          <w:color w:val="auto"/>
          <w:lang w:val="en-US" w:eastAsia="zh-CN"/>
        </w:rPr>
      </w:pPr>
      <w:bookmarkStart w:id="31" w:name="_Toc5556"/>
      <w:bookmarkStart w:id="32" w:name="_Toc18740"/>
      <w:bookmarkStart w:id="33" w:name="_Toc382"/>
      <w:r>
        <w:rPr>
          <w:rFonts w:hint="eastAsia"/>
          <w:color w:val="auto"/>
          <w:lang w:val="en-US" w:eastAsia="zh-CN"/>
        </w:rPr>
        <w:t>第三节 发展形势</w:t>
      </w:r>
      <w:bookmarkEnd w:id="31"/>
      <w:bookmarkEnd w:id="32"/>
      <w:bookmarkEnd w:id="33"/>
    </w:p>
    <w:p w14:paraId="3A46010D">
      <w:pPr>
        <w:pStyle w:val="5"/>
        <w:bidi w:val="0"/>
        <w:rPr>
          <w:rFonts w:hint="default"/>
          <w:color w:val="auto"/>
          <w:lang w:val="en-US" w:eastAsia="zh-CN"/>
        </w:rPr>
      </w:pPr>
      <w:r>
        <w:rPr>
          <w:rFonts w:hint="eastAsia"/>
          <w:color w:val="auto"/>
          <w:lang w:val="en-US" w:eastAsia="zh-CN"/>
        </w:rPr>
        <w:t>“</w:t>
      </w:r>
      <w:r>
        <w:rPr>
          <w:rFonts w:hint="default"/>
          <w:color w:val="auto"/>
          <w:lang w:val="en-US" w:eastAsia="zh-CN"/>
        </w:rPr>
        <w:t>十五五</w:t>
      </w:r>
      <w:r>
        <w:rPr>
          <w:rFonts w:hint="eastAsia"/>
          <w:color w:val="auto"/>
          <w:lang w:val="en-US" w:eastAsia="zh-CN"/>
        </w:rPr>
        <w:t>”</w:t>
      </w:r>
      <w:r>
        <w:rPr>
          <w:rFonts w:hint="default"/>
          <w:color w:val="auto"/>
          <w:lang w:val="en-US" w:eastAsia="zh-CN"/>
        </w:rPr>
        <w:t>时期</w:t>
      </w:r>
      <w:r>
        <w:rPr>
          <w:rFonts w:hint="eastAsia"/>
          <w:color w:val="auto"/>
          <w:lang w:val="en-US" w:eastAsia="zh-CN"/>
        </w:rPr>
        <w:t>，</w:t>
      </w:r>
      <w:r>
        <w:rPr>
          <w:rFonts w:hint="default"/>
          <w:color w:val="auto"/>
          <w:lang w:val="en-US" w:eastAsia="zh-CN"/>
        </w:rPr>
        <w:t>面对深刻复杂变化的国际国内环境，</w:t>
      </w:r>
      <w:r>
        <w:rPr>
          <w:rFonts w:hint="eastAsia"/>
          <w:color w:val="auto"/>
          <w:lang w:val="en-US" w:eastAsia="zh-CN"/>
        </w:rPr>
        <w:t>我县</w:t>
      </w:r>
      <w:r>
        <w:rPr>
          <w:rFonts w:hint="default"/>
          <w:color w:val="auto"/>
          <w:lang w:val="en-US" w:eastAsia="zh-CN"/>
        </w:rPr>
        <w:t>必须牢牢把握苏区融湾先行区建设和</w:t>
      </w:r>
      <w:r>
        <w:rPr>
          <w:rFonts w:hint="eastAsia"/>
          <w:color w:val="auto"/>
          <w:lang w:val="en-US" w:eastAsia="zh-CN"/>
        </w:rPr>
        <w:t>“</w:t>
      </w:r>
      <w:r>
        <w:rPr>
          <w:rFonts w:hint="default"/>
          <w:color w:val="auto"/>
          <w:lang w:val="en-US" w:eastAsia="zh-CN"/>
        </w:rPr>
        <w:t>百千万工程</w:t>
      </w:r>
      <w:r>
        <w:rPr>
          <w:rFonts w:hint="eastAsia"/>
          <w:color w:val="auto"/>
          <w:lang w:val="en-US" w:eastAsia="zh-CN"/>
        </w:rPr>
        <w:t>”</w:t>
      </w:r>
      <w:r>
        <w:rPr>
          <w:rFonts w:hint="default"/>
          <w:color w:val="auto"/>
          <w:lang w:val="en-US" w:eastAsia="zh-CN"/>
        </w:rPr>
        <w:t>深入实施的战略契机，保持战略定力，增强机遇意识和风险意识，准确识变、科学应变、主动求变，在服务全县发展大局中推动农业农村实现更高质量发展。</w:t>
      </w:r>
    </w:p>
    <w:p w14:paraId="48D4E771">
      <w:pPr>
        <w:pStyle w:val="4"/>
        <w:bidi w:val="0"/>
        <w:rPr>
          <w:rFonts w:hint="eastAsia"/>
          <w:color w:val="auto"/>
          <w:lang w:val="en-US" w:eastAsia="zh-CN"/>
        </w:rPr>
      </w:pPr>
      <w:r>
        <w:rPr>
          <w:rFonts w:hint="eastAsia"/>
          <w:color w:val="auto"/>
          <w:lang w:val="en-US" w:eastAsia="zh-CN"/>
        </w:rPr>
        <w:t>一、发展机遇</w:t>
      </w:r>
    </w:p>
    <w:p w14:paraId="49F6881A">
      <w:pPr>
        <w:pStyle w:val="5"/>
        <w:bidi w:val="0"/>
        <w:rPr>
          <w:rFonts w:hint="eastAsia"/>
          <w:color w:val="auto"/>
          <w:lang w:val="en-US" w:eastAsia="zh-CN"/>
        </w:rPr>
      </w:pPr>
      <w:r>
        <w:rPr>
          <w:rFonts w:hint="eastAsia" w:ascii="楷体_GB2312" w:hAnsi="楷体_GB2312" w:eastAsia="楷体_GB2312" w:cs="楷体_GB2312"/>
          <w:color w:val="auto"/>
          <w:lang w:val="en-US" w:eastAsia="zh-CN"/>
        </w:rPr>
        <w:t>战略叠加与融湾提速机遇。</w:t>
      </w:r>
      <w:r>
        <w:rPr>
          <w:rFonts w:hint="eastAsia"/>
          <w:color w:val="auto"/>
          <w:lang w:val="en-US" w:eastAsia="zh-CN"/>
        </w:rPr>
        <w:t>五华作为原中央苏区、革命老区，地处苏区融湾先行区建设的最前沿，享有国家区域协调发展战略、省“百千万工程”和苏区融湾先行区建设等多重政策红利。随着高速铁路等重大交通基础设施建成通车，五华全面融入粤港澳大湾区“一小时经济生活圈”，交通便利性大幅提升，区位优势进一步释放，为承接大湾区产业梯度转移、对接湾区大市场、引入先进技术和管理经验提供了有力支撑，有利于加速打造大湾区优质农产品生产供应基地。</w:t>
      </w:r>
    </w:p>
    <w:p w14:paraId="301A4391">
      <w:pPr>
        <w:pStyle w:val="5"/>
        <w:bidi w:val="0"/>
        <w:rPr>
          <w:rFonts w:hint="eastAsia"/>
          <w:color w:val="auto"/>
          <w:lang w:val="en-US" w:eastAsia="zh-CN"/>
        </w:rPr>
      </w:pPr>
      <w:r>
        <w:rPr>
          <w:rFonts w:hint="eastAsia" w:ascii="楷体_GB2312" w:hAnsi="楷体_GB2312" w:eastAsia="楷体_GB2312" w:cs="楷体_GB2312"/>
          <w:color w:val="auto"/>
          <w:lang w:val="en-US" w:eastAsia="zh-CN"/>
        </w:rPr>
        <w:t>“百千万工程”与城乡融合机遇。</w:t>
      </w:r>
      <w:r>
        <w:rPr>
          <w:rFonts w:hint="eastAsia"/>
          <w:color w:val="auto"/>
          <w:lang w:val="en-US" w:eastAsia="zh-CN"/>
        </w:rPr>
        <w:t>广东省深入实施“百千万工程”，将县域作为城乡融合发展的重要切入点，为五华争取项目、资金、土地等要素支持提供了契机。以县城为重要载体的新型城镇化建设加速推进，城乡要素双向流动、公共资源均衡配置的政策壁垒逐步打破，为五华推动农业规模化经营、盘活农村闲置资源、承接城市产业外溢创造了有利条件。全域土地综合整治纳入省级试点，五华有机会在农田集中连片、建设用地腾挪等方面先行先试，为农业现代化腾挪出更大发展空间。</w:t>
      </w:r>
    </w:p>
    <w:p w14:paraId="3851D583">
      <w:pPr>
        <w:pStyle w:val="5"/>
        <w:bidi w:val="0"/>
        <w:rPr>
          <w:rFonts w:hint="eastAsia"/>
          <w:color w:val="auto"/>
          <w:lang w:val="en-US" w:eastAsia="zh-CN"/>
        </w:rPr>
      </w:pPr>
      <w:r>
        <w:rPr>
          <w:rFonts w:hint="eastAsia" w:ascii="楷体_GB2312" w:hAnsi="楷体_GB2312" w:eastAsia="楷体_GB2312" w:cs="楷体_GB2312"/>
          <w:color w:val="auto"/>
          <w:lang w:val="en-US" w:eastAsia="zh-CN"/>
        </w:rPr>
        <w:t>新质生产力驱动产业升级机遇。</w:t>
      </w:r>
      <w:r>
        <w:rPr>
          <w:rFonts w:hint="eastAsia"/>
          <w:color w:val="auto"/>
          <w:lang w:val="en-US" w:eastAsia="zh-CN"/>
        </w:rPr>
        <w:t>新一轮科技革命和产业变革为农业现代化注入新动能，五华县依托丝苗米、茶叶、特色水产、林果等特色产业优势，迎来数字技术、生物技术、智能装备赋能传统农业的宝贵窗口期，有望加快培育农业新质生产力，推动传统农业向科技农业、绿色农业、品牌农业转型。同时，五华特有的足球文化、生态资源、客家民俗等优势，为拓展农文旅体商融合新业态、构建多元共生的现代乡村产业体系提供了独特条件，有望为县域经济高质量发展培育新增长点。</w:t>
      </w:r>
    </w:p>
    <w:p w14:paraId="03FBAB5C">
      <w:pPr>
        <w:pStyle w:val="5"/>
        <w:bidi w:val="0"/>
        <w:rPr>
          <w:rFonts w:hint="default"/>
          <w:color w:val="auto"/>
          <w:lang w:val="en-US" w:eastAsia="zh-CN"/>
        </w:rPr>
      </w:pPr>
      <w:r>
        <w:rPr>
          <w:rFonts w:hint="eastAsia" w:ascii="楷体_GB2312" w:hAnsi="楷体_GB2312" w:eastAsia="楷体_GB2312" w:cs="楷体_GB2312"/>
          <w:color w:val="auto"/>
          <w:lang w:val="en-US" w:eastAsia="zh-CN"/>
        </w:rPr>
        <w:t>要素改革与内生动力互促机遇。</w:t>
      </w:r>
      <w:r>
        <w:rPr>
          <w:rFonts w:hint="eastAsia"/>
          <w:color w:val="auto"/>
          <w:lang w:val="en-US" w:eastAsia="zh-CN"/>
        </w:rPr>
        <w:t>各类人才培育工程为五华引育农村实用人才提供政策支撑。农村“三块地”改革持续深化，产权交易平台建设不断完善，为盘活闲置宅基地和集体经营性建设用地创造了制度条件。乡村振兴基金引导和社会资本下乡机制逐步健全，为资源变资产、资金变股金提供了多元投入渠道，将进一步激发乡村发展活力，增强农业农村内生增长动能。</w:t>
      </w:r>
    </w:p>
    <w:p w14:paraId="5D472B02">
      <w:pPr>
        <w:pStyle w:val="4"/>
        <w:bidi w:val="0"/>
        <w:rPr>
          <w:rFonts w:hint="default"/>
          <w:color w:val="auto"/>
          <w:lang w:val="en-US" w:eastAsia="zh-CN"/>
        </w:rPr>
      </w:pPr>
      <w:r>
        <w:rPr>
          <w:rFonts w:hint="eastAsia"/>
          <w:color w:val="auto"/>
          <w:lang w:val="en-US" w:eastAsia="zh-CN"/>
        </w:rPr>
        <w:t>二、面临挑战</w:t>
      </w:r>
    </w:p>
    <w:p w14:paraId="34DBC175">
      <w:pPr>
        <w:pStyle w:val="5"/>
        <w:bidi w:val="0"/>
        <w:rPr>
          <w:rFonts w:hint="eastAsia"/>
          <w:color w:val="auto"/>
          <w:lang w:val="en-US" w:eastAsia="zh-CN"/>
        </w:rPr>
      </w:pPr>
      <w:r>
        <w:rPr>
          <w:rFonts w:hint="eastAsia" w:ascii="楷体_GB2312" w:hAnsi="楷体_GB2312" w:eastAsia="楷体_GB2312" w:cs="楷体_GB2312"/>
          <w:color w:val="auto"/>
          <w:lang w:val="en-US" w:eastAsia="zh-CN"/>
        </w:rPr>
        <w:t>政策标准提升与转型压力。</w:t>
      </w:r>
      <w:r>
        <w:rPr>
          <w:rFonts w:hint="eastAsia"/>
          <w:color w:val="auto"/>
          <w:lang w:val="en-US" w:eastAsia="zh-CN"/>
        </w:rPr>
        <w:t>随着国家“三农”工作重心从“巩固拓展脱贫攻坚成果”向“推进乡村全面振兴”全面转型，五华县面临政策标准更高、考核要求更严的新挑战。产业质量效益、人居环境品质、乡村治理效能等方面需要实现系统性、跨越式提升。同时，政策导向更加强调精准谋划、规范管理和高效产出，对五华基层干部的项目谋划能力、资金使用绩效、依法行政水平提出了更高标准。</w:t>
      </w:r>
    </w:p>
    <w:p w14:paraId="4C510A10">
      <w:pPr>
        <w:pStyle w:val="5"/>
        <w:bidi w:val="0"/>
        <w:rPr>
          <w:rFonts w:hint="eastAsia"/>
          <w:color w:val="auto"/>
          <w:lang w:val="en-US" w:eastAsia="zh-CN"/>
        </w:rPr>
      </w:pPr>
      <w:r>
        <w:rPr>
          <w:rFonts w:hint="eastAsia" w:ascii="楷体_GB2312" w:hAnsi="楷体_GB2312" w:eastAsia="楷体_GB2312" w:cs="楷体_GB2312"/>
          <w:color w:val="auto"/>
          <w:lang w:val="en-US" w:eastAsia="zh-CN"/>
        </w:rPr>
        <w:t>市场竞争加剧与品牌挤压。</w:t>
      </w:r>
      <w:r>
        <w:rPr>
          <w:rFonts w:hint="eastAsia"/>
          <w:color w:val="auto"/>
          <w:lang w:val="en-US" w:eastAsia="zh-CN"/>
        </w:rPr>
        <w:t>全国统一大市场建设进程加快，农产品市场竞争日趋激烈。消费升级对农产品品质、品牌及全程溯源体系提出更高要求，五华现有农业产业链条较短、精深加工不足、品牌溢价能力偏弱的问题将更加凸显。同时，随着生产资料价格与劳动力成本持续上涨，农业经营利润空间面临较大压缩压力。</w:t>
      </w:r>
    </w:p>
    <w:p w14:paraId="79E20AA7">
      <w:pPr>
        <w:pStyle w:val="5"/>
        <w:bidi w:val="0"/>
        <w:rPr>
          <w:rFonts w:hint="eastAsia"/>
          <w:color w:val="auto"/>
          <w:lang w:val="en-US" w:eastAsia="zh-CN"/>
        </w:rPr>
      </w:pPr>
      <w:r>
        <w:rPr>
          <w:rFonts w:hint="eastAsia" w:ascii="楷体_GB2312" w:hAnsi="楷体_GB2312" w:eastAsia="楷体_GB2312" w:cs="楷体_GB2312"/>
          <w:color w:val="auto"/>
          <w:lang w:val="en-US" w:eastAsia="zh-CN"/>
        </w:rPr>
        <w:t>区域格局重塑与要素外流。</w:t>
      </w:r>
      <w:r>
        <w:rPr>
          <w:rFonts w:hint="eastAsia"/>
          <w:color w:val="auto"/>
          <w:lang w:val="en-US" w:eastAsia="zh-CN"/>
        </w:rPr>
        <w:t>粤港澳大湾区加速建设，对周边地区人才、资本等优质要素的“虹吸效应”持续增强。五华在吸引高端农业人才、承接优质产业项目方面面临周边地区的激烈竞争。苏区融湾先行区建设要求五华在产业协同、规则衔接等方面快速适应、主动作为，若不能加快构建差异化竞争优势，易面临要素流失和边缘化风险。</w:t>
      </w:r>
    </w:p>
    <w:p w14:paraId="615B1A6D">
      <w:pPr>
        <w:pStyle w:val="5"/>
        <w:bidi w:val="0"/>
        <w:rPr>
          <w:rFonts w:hint="eastAsia"/>
          <w:color w:val="auto"/>
          <w:lang w:val="en-US" w:eastAsia="zh-CN"/>
        </w:rPr>
      </w:pPr>
      <w:r>
        <w:rPr>
          <w:rFonts w:hint="eastAsia" w:ascii="楷体_GB2312" w:hAnsi="楷体_GB2312" w:eastAsia="楷体_GB2312" w:cs="楷体_GB2312"/>
          <w:color w:val="auto"/>
          <w:lang w:val="en-US" w:eastAsia="zh-CN"/>
        </w:rPr>
        <w:t>绿色低碳发展与气候风险。</w:t>
      </w:r>
      <w:r>
        <w:rPr>
          <w:rFonts w:hint="eastAsia" w:ascii="Times New Roman" w:hAnsi="Times New Roman" w:eastAsia="仿宋_GB2312" w:cs="Times New Roman"/>
          <w:color w:val="auto"/>
          <w:lang w:val="en-US" w:eastAsia="zh-CN"/>
        </w:rPr>
        <w:t>“双碳”目标对农业生产方式提出了绿色低碳转型的新要求，五华县面临农业面源污染治理、生态系统保护与产业发展之间的平衡难题。同时，极端天气事件频发，对五华农业生产基础设施和防灾减灾能力带来严峻考验，保障粮食安全和重要农产品稳定供给的压力持续加大。数字乡村建设进程加速，也对五华传统的农业农村管理方式和治理能力提出了新挑战</w:t>
      </w:r>
      <w:r>
        <w:rPr>
          <w:rFonts w:hint="eastAsia"/>
          <w:color w:val="auto"/>
          <w:lang w:val="en-US" w:eastAsia="zh-CN"/>
        </w:rPr>
        <w:t>。</w:t>
      </w:r>
    </w:p>
    <w:p w14:paraId="24D5FD02">
      <w:pPr>
        <w:rPr>
          <w:rFonts w:hint="eastAsia" w:ascii="黑体" w:hAnsi="黑体" w:eastAsia="黑体" w:cs="黑体"/>
          <w:color w:val="auto"/>
          <w:sz w:val="36"/>
          <w:szCs w:val="36"/>
          <w:lang w:val="en-US" w:eastAsia="zh-CN"/>
        </w:rPr>
      </w:pPr>
      <w:r>
        <w:rPr>
          <w:rFonts w:hint="eastAsia" w:ascii="黑体" w:hAnsi="黑体" w:eastAsia="黑体" w:cs="黑体"/>
          <w:color w:val="auto"/>
          <w:sz w:val="36"/>
          <w:szCs w:val="36"/>
          <w:lang w:val="en-US" w:eastAsia="zh-CN"/>
        </w:rPr>
        <w:br w:type="page"/>
      </w:r>
    </w:p>
    <w:p w14:paraId="0D220C98">
      <w:pPr>
        <w:pStyle w:val="2"/>
        <w:numPr>
          <w:ilvl w:val="-1"/>
          <w:numId w:val="0"/>
        </w:numPr>
        <w:bidi w:val="0"/>
        <w:rPr>
          <w:rFonts w:hint="eastAsia"/>
          <w:color w:val="auto"/>
          <w:lang w:val="en-US" w:eastAsia="zh-CN"/>
        </w:rPr>
      </w:pPr>
      <w:bookmarkStart w:id="34" w:name="_Toc3339"/>
      <w:bookmarkStart w:id="35" w:name="_Toc7026"/>
      <w:bookmarkStart w:id="36" w:name="_Toc557"/>
      <w:r>
        <w:rPr>
          <w:rFonts w:hint="eastAsia"/>
          <w:color w:val="auto"/>
          <w:lang w:val="en-US" w:eastAsia="zh-CN"/>
        </w:rPr>
        <w:t>第二章 总体要求</w:t>
      </w:r>
      <w:bookmarkEnd w:id="34"/>
      <w:bookmarkEnd w:id="35"/>
      <w:bookmarkEnd w:id="36"/>
    </w:p>
    <w:p w14:paraId="37CC0FD9">
      <w:pPr>
        <w:pStyle w:val="3"/>
        <w:bidi w:val="0"/>
        <w:rPr>
          <w:rFonts w:hint="eastAsia"/>
          <w:color w:val="auto"/>
          <w:lang w:val="en-US" w:eastAsia="zh-CN"/>
        </w:rPr>
      </w:pPr>
      <w:bookmarkStart w:id="37" w:name="_Toc5242"/>
      <w:bookmarkStart w:id="38" w:name="_Toc18693"/>
      <w:bookmarkStart w:id="39" w:name="_Toc12863"/>
      <w:r>
        <w:rPr>
          <w:rFonts w:hint="eastAsia"/>
          <w:color w:val="auto"/>
          <w:lang w:val="en-US" w:eastAsia="zh-CN"/>
        </w:rPr>
        <w:t>第一节 指导思想</w:t>
      </w:r>
      <w:bookmarkEnd w:id="37"/>
      <w:bookmarkEnd w:id="38"/>
      <w:bookmarkEnd w:id="39"/>
    </w:p>
    <w:p w14:paraId="390AF908">
      <w:pPr>
        <w:pStyle w:val="5"/>
        <w:bidi w:val="0"/>
        <w:rPr>
          <w:rFonts w:hint="default"/>
          <w:color w:val="auto"/>
          <w:lang w:val="en-US" w:eastAsia="zh-CN"/>
        </w:rPr>
      </w:pPr>
      <w:r>
        <w:rPr>
          <w:rFonts w:hint="default"/>
          <w:color w:val="auto"/>
          <w:lang w:val="en-US" w:eastAsia="zh-CN"/>
        </w:rPr>
        <w:t>坚持以习近平新时代中国特色社会主义思想为指导，深入贯彻党的二十大和二十届历次全会精神，全面落实习近平总书记关于</w:t>
      </w:r>
      <w:r>
        <w:rPr>
          <w:rFonts w:hint="eastAsia"/>
          <w:color w:val="auto"/>
          <w:lang w:val="en-US" w:eastAsia="zh-CN"/>
        </w:rPr>
        <w:t>“</w:t>
      </w:r>
      <w:r>
        <w:rPr>
          <w:rFonts w:hint="default"/>
          <w:color w:val="auto"/>
          <w:lang w:val="en-US" w:eastAsia="zh-CN"/>
        </w:rPr>
        <w:t>三农</w:t>
      </w:r>
      <w:r>
        <w:rPr>
          <w:rFonts w:hint="eastAsia"/>
          <w:color w:val="auto"/>
          <w:lang w:val="en-US" w:eastAsia="zh-CN"/>
        </w:rPr>
        <w:t>”</w:t>
      </w:r>
      <w:r>
        <w:rPr>
          <w:rFonts w:hint="default"/>
          <w:color w:val="auto"/>
          <w:lang w:val="en-US" w:eastAsia="zh-CN"/>
        </w:rPr>
        <w:t>工作的重要论述和视察广东系列重要讲话、重要指示精神，认真落实省委</w:t>
      </w:r>
      <w:r>
        <w:rPr>
          <w:rFonts w:hint="eastAsia"/>
          <w:color w:val="auto"/>
          <w:lang w:val="en-US" w:eastAsia="zh-CN"/>
        </w:rPr>
        <w:t>“</w:t>
      </w:r>
      <w:r>
        <w:rPr>
          <w:rFonts w:hint="default"/>
          <w:color w:val="auto"/>
          <w:lang w:val="en-US" w:eastAsia="zh-CN"/>
        </w:rPr>
        <w:t>1310</w:t>
      </w:r>
      <w:r>
        <w:rPr>
          <w:rFonts w:hint="eastAsia"/>
          <w:color w:val="auto"/>
          <w:lang w:val="en-US" w:eastAsia="zh-CN"/>
        </w:rPr>
        <w:t>”</w:t>
      </w:r>
      <w:r>
        <w:rPr>
          <w:rFonts w:hint="default"/>
          <w:color w:val="auto"/>
          <w:lang w:val="en-US" w:eastAsia="zh-CN"/>
        </w:rPr>
        <w:t>具体部署和市委工作要求，坚持稳中求进工作总基调，完整准确全面贯彻新发展理念，积极服务和融入新发展格局，以推动高质量发展为主题，以深化改革创新为根本动力，以满足人民日益增长的美好生活需要为根本目的。锚定</w:t>
      </w:r>
      <w:r>
        <w:rPr>
          <w:rFonts w:hint="eastAsia"/>
          <w:color w:val="auto"/>
          <w:lang w:val="en-US" w:eastAsia="zh-CN"/>
        </w:rPr>
        <w:t>“</w:t>
      </w:r>
      <w:r>
        <w:rPr>
          <w:rFonts w:hint="default"/>
          <w:color w:val="auto"/>
          <w:lang w:val="en-US" w:eastAsia="zh-CN"/>
        </w:rPr>
        <w:t>加快建设现代农业强县</w:t>
      </w:r>
      <w:r>
        <w:rPr>
          <w:rFonts w:hint="eastAsia"/>
          <w:color w:val="auto"/>
          <w:lang w:val="en-US" w:eastAsia="zh-CN"/>
        </w:rPr>
        <w:t>”</w:t>
      </w:r>
      <w:r>
        <w:rPr>
          <w:rFonts w:hint="default"/>
          <w:color w:val="auto"/>
          <w:lang w:val="en-US" w:eastAsia="zh-CN"/>
        </w:rPr>
        <w:t>目标，深学细用</w:t>
      </w:r>
      <w:r>
        <w:rPr>
          <w:rFonts w:hint="eastAsia"/>
          <w:color w:val="auto"/>
          <w:lang w:val="en-US" w:eastAsia="zh-CN"/>
        </w:rPr>
        <w:t>“</w:t>
      </w:r>
      <w:r>
        <w:rPr>
          <w:rFonts w:hint="default"/>
          <w:color w:val="auto"/>
          <w:lang w:val="en-US" w:eastAsia="zh-CN"/>
        </w:rPr>
        <w:t>千万工程</w:t>
      </w:r>
      <w:r>
        <w:rPr>
          <w:rFonts w:hint="eastAsia"/>
          <w:color w:val="auto"/>
          <w:lang w:val="en-US" w:eastAsia="zh-CN"/>
        </w:rPr>
        <w:t>”</w:t>
      </w:r>
      <w:r>
        <w:rPr>
          <w:rFonts w:hint="default"/>
          <w:color w:val="auto"/>
          <w:lang w:val="en-US" w:eastAsia="zh-CN"/>
        </w:rPr>
        <w:t>经验，把握苏区融湾先行区建设战略机遇，传承弘扬</w:t>
      </w:r>
      <w:r>
        <w:rPr>
          <w:rFonts w:hint="eastAsia"/>
          <w:color w:val="auto"/>
          <w:lang w:val="en-US" w:eastAsia="zh-CN"/>
        </w:rPr>
        <w:t>“</w:t>
      </w:r>
      <w:r>
        <w:rPr>
          <w:rFonts w:hint="default"/>
          <w:color w:val="auto"/>
          <w:lang w:val="en-US" w:eastAsia="zh-CN"/>
        </w:rPr>
        <w:t>硬打硬</w:t>
      </w:r>
      <w:r>
        <w:rPr>
          <w:rFonts w:hint="eastAsia"/>
          <w:color w:val="auto"/>
          <w:lang w:val="en-US" w:eastAsia="zh-CN"/>
        </w:rPr>
        <w:t>”</w:t>
      </w:r>
      <w:r>
        <w:rPr>
          <w:rFonts w:hint="default"/>
          <w:color w:val="auto"/>
          <w:lang w:val="en-US" w:eastAsia="zh-CN"/>
        </w:rPr>
        <w:t>五华精神，敢闯敢试、开拓创新。坚持以乡村全面振兴为总目标，以</w:t>
      </w:r>
      <w:r>
        <w:rPr>
          <w:rFonts w:hint="eastAsia"/>
          <w:color w:val="auto"/>
          <w:lang w:val="en-US" w:eastAsia="zh-CN"/>
        </w:rPr>
        <w:t>“</w:t>
      </w:r>
      <w:r>
        <w:rPr>
          <w:rFonts w:hint="default"/>
          <w:color w:val="auto"/>
          <w:lang w:val="en-US" w:eastAsia="zh-CN"/>
        </w:rPr>
        <w:t>百千万工程</w:t>
      </w:r>
      <w:r>
        <w:rPr>
          <w:rFonts w:hint="eastAsia"/>
          <w:color w:val="auto"/>
          <w:lang w:val="en-US" w:eastAsia="zh-CN"/>
        </w:rPr>
        <w:t>”</w:t>
      </w:r>
      <w:r>
        <w:rPr>
          <w:rFonts w:hint="default"/>
          <w:color w:val="auto"/>
          <w:lang w:val="en-US" w:eastAsia="zh-CN"/>
        </w:rPr>
        <w:t>为总抓手，牢牢守住保障粮食安全和不发生规模性返贫两条底线。以培育农业新质生产力为核心动力，以城乡深度融合发展为总路径，着力构建现代化农业产业体系、生产体系、经营体系，着力提升乡村建设和治理水平。全力创建</w:t>
      </w:r>
      <w:r>
        <w:rPr>
          <w:rFonts w:hint="eastAsia"/>
          <w:color w:val="auto"/>
          <w:lang w:val="en-US" w:eastAsia="zh-CN"/>
        </w:rPr>
        <w:t>“</w:t>
      </w:r>
      <w:r>
        <w:rPr>
          <w:rFonts w:hint="default"/>
          <w:color w:val="auto"/>
          <w:lang w:val="en-US" w:eastAsia="zh-CN"/>
        </w:rPr>
        <w:t>足球+</w:t>
      </w:r>
      <w:r>
        <w:rPr>
          <w:rFonts w:hint="eastAsia"/>
          <w:color w:val="auto"/>
          <w:lang w:val="en-US" w:eastAsia="zh-CN"/>
        </w:rPr>
        <w:t>”</w:t>
      </w:r>
      <w:r>
        <w:rPr>
          <w:rFonts w:hint="default"/>
          <w:color w:val="auto"/>
          <w:lang w:val="en-US" w:eastAsia="zh-CN"/>
        </w:rPr>
        <w:t>五镇联动片区组团示范样板，推动农业高质高效、乡村宜居宜业、农民富裕富足，加快将五华打造成为</w:t>
      </w:r>
      <w:r>
        <w:rPr>
          <w:rFonts w:hint="eastAsia"/>
          <w:color w:val="auto"/>
          <w:lang w:val="en-US" w:eastAsia="zh-CN"/>
        </w:rPr>
        <w:t>“</w:t>
      </w:r>
      <w:r>
        <w:rPr>
          <w:rFonts w:hint="default"/>
          <w:color w:val="auto"/>
          <w:lang w:val="en-US" w:eastAsia="zh-CN"/>
        </w:rPr>
        <w:t>融湾农业高质量发展先行区</w:t>
      </w:r>
      <w:r>
        <w:rPr>
          <w:rFonts w:hint="eastAsia"/>
          <w:color w:val="auto"/>
          <w:lang w:val="en-US" w:eastAsia="zh-CN"/>
        </w:rPr>
        <w:t>”</w:t>
      </w:r>
      <w:r>
        <w:rPr>
          <w:rFonts w:hint="default"/>
          <w:color w:val="auto"/>
          <w:lang w:val="en-US" w:eastAsia="zh-CN"/>
        </w:rPr>
        <w:t>和</w:t>
      </w:r>
      <w:r>
        <w:rPr>
          <w:rFonts w:hint="eastAsia"/>
          <w:color w:val="auto"/>
          <w:lang w:val="en-US" w:eastAsia="zh-CN"/>
        </w:rPr>
        <w:t>“</w:t>
      </w:r>
      <w:r>
        <w:rPr>
          <w:rFonts w:hint="default"/>
          <w:color w:val="auto"/>
          <w:lang w:val="en-US" w:eastAsia="zh-CN"/>
        </w:rPr>
        <w:t>特色农文旅融合发展示范区</w:t>
      </w:r>
      <w:r>
        <w:rPr>
          <w:rFonts w:hint="eastAsia"/>
          <w:color w:val="auto"/>
          <w:lang w:val="en-US" w:eastAsia="zh-CN"/>
        </w:rPr>
        <w:t>”</w:t>
      </w:r>
      <w:r>
        <w:rPr>
          <w:rFonts w:hint="default"/>
          <w:color w:val="auto"/>
          <w:lang w:val="en-US" w:eastAsia="zh-CN"/>
        </w:rPr>
        <w:t>，奋力谱写中国式现代化五华实践的</w:t>
      </w:r>
      <w:r>
        <w:rPr>
          <w:rFonts w:hint="eastAsia"/>
          <w:color w:val="auto"/>
          <w:lang w:val="en-US" w:eastAsia="zh-CN"/>
        </w:rPr>
        <w:t>“</w:t>
      </w:r>
      <w:r>
        <w:rPr>
          <w:rFonts w:hint="default"/>
          <w:color w:val="auto"/>
          <w:lang w:val="en-US" w:eastAsia="zh-CN"/>
        </w:rPr>
        <w:t>三农</w:t>
      </w:r>
      <w:r>
        <w:rPr>
          <w:rFonts w:hint="eastAsia"/>
          <w:color w:val="auto"/>
          <w:lang w:val="en-US" w:eastAsia="zh-CN"/>
        </w:rPr>
        <w:t>”</w:t>
      </w:r>
      <w:r>
        <w:rPr>
          <w:rFonts w:hint="default"/>
          <w:color w:val="auto"/>
          <w:lang w:val="en-US" w:eastAsia="zh-CN"/>
        </w:rPr>
        <w:t>新篇章。</w:t>
      </w:r>
    </w:p>
    <w:p w14:paraId="5C393DA4">
      <w:pPr>
        <w:pStyle w:val="3"/>
        <w:bidi w:val="0"/>
        <w:rPr>
          <w:rFonts w:hint="eastAsia"/>
          <w:color w:val="auto"/>
          <w:lang w:val="en-US" w:eastAsia="zh-CN"/>
        </w:rPr>
      </w:pPr>
      <w:bookmarkStart w:id="40" w:name="_Toc14313"/>
      <w:bookmarkStart w:id="41" w:name="_Toc14232"/>
      <w:bookmarkStart w:id="42" w:name="_Toc2810"/>
      <w:r>
        <w:rPr>
          <w:rFonts w:hint="eastAsia"/>
          <w:color w:val="auto"/>
          <w:lang w:val="en-US" w:eastAsia="zh-CN"/>
        </w:rPr>
        <w:t>第二节 基本原则</w:t>
      </w:r>
      <w:bookmarkEnd w:id="40"/>
      <w:bookmarkEnd w:id="41"/>
      <w:bookmarkEnd w:id="42"/>
    </w:p>
    <w:p w14:paraId="32E03002">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——坚持党的全面领导。</w:t>
      </w:r>
      <w:r>
        <w:rPr>
          <w:rFonts w:hint="eastAsia"/>
          <w:color w:val="auto"/>
          <w:rtl w:val="0"/>
          <w:lang w:val="en-US" w:eastAsia="zh-CN"/>
        </w:rPr>
        <w:t>坚定拥护“两个确立”、坚决做到“两个维护”，坚持和完善党对“三农”工作的全面领导，把党的领导贯穿农业农村现代化全过程各环节，为加快建设现代农业强县提供坚强政治保障。</w:t>
      </w:r>
    </w:p>
    <w:p w14:paraId="60482052">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——坚持安全底线。</w:t>
      </w:r>
      <w:r>
        <w:rPr>
          <w:rFonts w:hint="default"/>
          <w:color w:val="auto"/>
          <w:rtl w:val="0"/>
          <w:lang w:val="en-US" w:eastAsia="zh-CN"/>
        </w:rPr>
        <w:t>把保障粮食安全和重要农产品</w:t>
      </w:r>
      <w:r>
        <w:rPr>
          <w:rFonts w:hint="eastAsia"/>
          <w:color w:val="auto"/>
          <w:rtl w:val="0"/>
          <w:lang w:val="en-US" w:eastAsia="zh-CN"/>
        </w:rPr>
        <w:t>安全</w:t>
      </w:r>
      <w:r>
        <w:rPr>
          <w:rFonts w:hint="default"/>
          <w:color w:val="auto"/>
          <w:rtl w:val="0"/>
          <w:lang w:val="en-US" w:eastAsia="zh-CN"/>
        </w:rPr>
        <w:t>供给</w:t>
      </w:r>
      <w:r>
        <w:rPr>
          <w:rFonts w:hint="eastAsia"/>
          <w:color w:val="auto"/>
          <w:rtl w:val="0"/>
          <w:lang w:val="en-US" w:eastAsia="zh-CN"/>
        </w:rPr>
        <w:t>作为</w:t>
      </w:r>
      <w:r>
        <w:rPr>
          <w:rFonts w:hint="default"/>
          <w:color w:val="auto"/>
          <w:rtl w:val="0"/>
          <w:lang w:val="en-US" w:eastAsia="zh-CN"/>
        </w:rPr>
        <w:t>首要任务，严格落实耕地保护制度，持续提升农业抗风险能力，牢牢守住不发生规模性返贫底线，夯实农业农村发展根基。</w:t>
      </w:r>
    </w:p>
    <w:p w14:paraId="43E39F0A">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——坚持高质量发展。</w:t>
      </w:r>
      <w:r>
        <w:rPr>
          <w:rFonts w:hint="eastAsia"/>
          <w:color w:val="auto"/>
          <w:rtl w:val="0"/>
          <w:lang w:val="en-US" w:eastAsia="zh-CN"/>
        </w:rPr>
        <w:t>完整准确全面贯彻新发展理念，以农业新质生产力为引领，立足资源禀赋做强特色产业，推动农业向绿色化、智慧化、品牌化转型，促进产业结构优化升级，提升农业综合效益和竞争力。</w:t>
      </w:r>
    </w:p>
    <w:p w14:paraId="43F2732C">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——坚持改革创新与协调发展。</w:t>
      </w:r>
      <w:r>
        <w:rPr>
          <w:rFonts w:hint="eastAsia"/>
          <w:color w:val="auto"/>
          <w:rtl w:val="0"/>
          <w:lang w:val="en-US" w:eastAsia="zh-CN"/>
        </w:rPr>
        <w:t>深入实施“百千万工程”，统筹县镇村三级联动，深化农村关键领域改革，激发农民主体作用和基层创新活力，促进农业高质高效、乡村宜居宜业、农民富裕富足，弘扬“硬打硬”五华精神，增强农业农村发展内生动力。</w:t>
      </w:r>
    </w:p>
    <w:p w14:paraId="19BA0A10">
      <w:pPr>
        <w:pStyle w:val="3"/>
        <w:bidi w:val="0"/>
        <w:jc w:val="center"/>
        <w:rPr>
          <w:rFonts w:hint="eastAsia"/>
          <w:color w:val="auto"/>
          <w:lang w:val="en-US" w:eastAsia="zh-CN"/>
        </w:rPr>
      </w:pPr>
      <w:bookmarkStart w:id="43" w:name="_Toc6502"/>
      <w:bookmarkStart w:id="44" w:name="_Toc16971"/>
      <w:bookmarkStart w:id="45" w:name="_Toc8177"/>
      <w:r>
        <w:rPr>
          <w:rFonts w:hint="eastAsia"/>
          <w:color w:val="auto"/>
          <w:lang w:val="en-US" w:eastAsia="zh-CN"/>
        </w:rPr>
        <w:t>第三节 发展定位</w:t>
      </w:r>
      <w:bookmarkEnd w:id="43"/>
      <w:bookmarkEnd w:id="44"/>
      <w:bookmarkEnd w:id="45"/>
    </w:p>
    <w:p w14:paraId="5F0C75B9">
      <w:pPr>
        <w:pStyle w:val="5"/>
        <w:bidi w:val="0"/>
        <w:rPr>
          <w:rFonts w:hint="eastAsia" w:ascii="楷体_GB2312" w:hAnsi="楷体_GB2312" w:eastAsia="楷体_GB2312" w:cs="楷体_GB2312"/>
          <w:color w:val="auto"/>
          <w:rtl w:val="0"/>
          <w:lang w:val="en-US" w:eastAsia="zh-CN"/>
        </w:rPr>
      </w:pPr>
      <w:r>
        <w:rPr>
          <w:rFonts w:hint="eastAsia"/>
          <w:color w:val="auto"/>
          <w:rtl w:val="0"/>
          <w:lang w:val="en-US" w:eastAsia="zh-CN"/>
        </w:rPr>
        <w:t>综合考虑五华县资源禀赋、乡村振兴重要工作部署和未来发展实际需求，“十五五”时期农业农村发展定位为</w:t>
      </w:r>
      <w:r>
        <w:rPr>
          <w:rFonts w:hint="default"/>
          <w:color w:val="auto"/>
          <w:rtl w:val="0"/>
          <w:lang w:val="en-US" w:eastAsia="zh-CN"/>
        </w:rPr>
        <w:t>：</w:t>
      </w:r>
    </w:p>
    <w:p w14:paraId="684D06E3">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融湾农业高质量发展先行区。</w:t>
      </w:r>
      <w:r>
        <w:rPr>
          <w:rFonts w:hint="eastAsia"/>
          <w:color w:val="auto"/>
          <w:rtl w:val="0"/>
          <w:lang w:val="en-US" w:eastAsia="zh-CN"/>
        </w:rPr>
        <w:t>紧扣苏区融湾“最前哨”区位优势与全县“农业强县”目标，将对接大湾区“菜篮子”“米袋子”“果盘子”“茶罐子”作为核心功能导向。立足丝苗米（含菩米）、蔬菜、茶叶、渔业（含鱼生）、畜禽、林果等特色优势产业，全面推进品种培优、品质提升、品牌打造和标准化生产。主动衔接大湾区市场准入标准，强化农产品质量安全溯源体系与冷链物流网络建设，将五华建设成为面向大湾区的规模化、标准化、品牌化农业高质量发展先行区。</w:t>
      </w:r>
    </w:p>
    <w:p w14:paraId="2318F6E3">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特色农文旅融合发展示范区。</w:t>
      </w:r>
      <w:r>
        <w:rPr>
          <w:rFonts w:hint="eastAsia"/>
          <w:color w:val="auto"/>
          <w:rtl w:val="0"/>
          <w:lang w:val="en-US" w:eastAsia="zh-CN"/>
        </w:rPr>
        <w:t>以“百千万工程”为牵引，统筹城乡要素与和美乡村建设。深度挖掘客家原生态村居风貌、红色文化底蕴与现代城镇元素，依托特色农业产业本底，连线成片推进典型村片区培育。重点拓展农业的生态涵养、休闲体验、文化传承等多元功能，将“五华鱼生”“五华菩米”“足球文化”等特色IP与乡村旅游、精品民宿、研学康养深度融合。完善乡村基础设施与公共服务配套，健全“自治、法治、德治、数治”相融合的乡村治理体系，打造“以农兴旅、以旅促农、城乡共荣”的和美乡村样板，为全省山区县探索农文旅体商融合发展新路径。</w:t>
      </w:r>
    </w:p>
    <w:p w14:paraId="7F2DFAC3">
      <w:pPr>
        <w:pStyle w:val="3"/>
        <w:bidi w:val="0"/>
        <w:rPr>
          <w:rFonts w:hint="eastAsia"/>
          <w:color w:val="auto"/>
          <w:lang w:val="en-US" w:eastAsia="zh-CN"/>
        </w:rPr>
      </w:pPr>
      <w:bookmarkStart w:id="46" w:name="_Toc13719"/>
      <w:bookmarkStart w:id="47" w:name="_Toc8051"/>
      <w:bookmarkStart w:id="48" w:name="_Toc28954"/>
      <w:r>
        <w:rPr>
          <w:rFonts w:hint="eastAsia"/>
          <w:color w:val="auto"/>
          <w:lang w:val="en-US" w:eastAsia="zh-CN"/>
        </w:rPr>
        <w:t>第四节 发展思路</w:t>
      </w:r>
      <w:bookmarkEnd w:id="46"/>
      <w:bookmarkEnd w:id="47"/>
      <w:bookmarkEnd w:id="48"/>
    </w:p>
    <w:p w14:paraId="1025F835">
      <w:pPr>
        <w:pStyle w:val="5"/>
        <w:ind w:firstLineChars="200"/>
        <w:rPr>
          <w:rFonts w:hint="eastAsia"/>
          <w:color w:val="auto"/>
          <w:rtl w:val="0"/>
          <w:lang w:val="en-US" w:eastAsia="zh-CN"/>
        </w:rPr>
      </w:pPr>
      <w:r>
        <w:rPr>
          <w:rFonts w:hint="eastAsia"/>
          <w:color w:val="auto"/>
          <w:rtl w:val="0"/>
          <w:lang w:val="en-US" w:eastAsia="zh-CN"/>
        </w:rPr>
        <w:t>优化调整产业结构，强化链群发展导向，聚力做强丝苗米（含菩米）、蔬菜、茶叶、渔业（含鱼生）、畜禽、林果六大特色优势产业，推动特色产业集群发展。加强农产品精深加工和冷链物流体系建设，强化“五华优选”品牌体系打造，促进农业科技赋能、质量铸核、品牌增值全产业链高质量发展，以产业融湾、标准融湾、市场融湾推动农业价值链向高端跃升。</w:t>
      </w:r>
    </w:p>
    <w:p w14:paraId="1B23203A">
      <w:pPr>
        <w:pStyle w:val="5"/>
        <w:ind w:firstLineChars="200"/>
        <w:rPr>
          <w:rFonts w:hint="eastAsia"/>
          <w:color w:val="auto"/>
          <w:rtl w:val="0"/>
          <w:lang w:val="en-US" w:eastAsia="zh-CN"/>
        </w:rPr>
      </w:pPr>
      <w:r>
        <w:rPr>
          <w:rFonts w:hint="eastAsia"/>
          <w:color w:val="auto"/>
          <w:rtl w:val="0"/>
          <w:lang w:val="en-US" w:eastAsia="zh-CN"/>
        </w:rPr>
        <w:t>深入探索“足球+农业+文旅”融合发展新路径，全力创建“足球+”五镇联动片区组团示范样板，深度挖掘客家文化、红色资源内涵价值，大力发展农文旅体商新业态，积极培育低空经济、数字经济等新增长点，推动产业融合提质增效。</w:t>
      </w:r>
    </w:p>
    <w:p w14:paraId="6D33485D">
      <w:pPr>
        <w:pStyle w:val="5"/>
        <w:ind w:firstLineChars="200"/>
        <w:rPr>
          <w:rFonts w:hint="default"/>
          <w:color w:val="auto"/>
          <w:rtl w:val="0"/>
          <w:lang w:val="en-US" w:eastAsia="zh-CN"/>
        </w:rPr>
      </w:pPr>
      <w:r>
        <w:rPr>
          <w:rFonts w:hint="eastAsia"/>
          <w:color w:val="auto"/>
          <w:rtl w:val="0"/>
          <w:lang w:val="en-US" w:eastAsia="zh-CN"/>
        </w:rPr>
        <w:t>以链群联动、三产融合健全现代农业产业体系，以绿色高效、智慧赋能升级生产体系，以主体培育、联农带农完善经营体系，全面提升农业质量效益和综合竞争力。锚定“十五五”末全县现代农业产值突破百亿的总目标，构建“百亿产值、多点支撑”的现代农业强县格局，奋力为全市乃至全省农业农村现代化贡献五华经验。</w:t>
      </w:r>
    </w:p>
    <w:p w14:paraId="326EFB15">
      <w:pPr>
        <w:pStyle w:val="3"/>
        <w:bidi w:val="0"/>
        <w:rPr>
          <w:rFonts w:hint="eastAsia"/>
          <w:color w:val="auto"/>
          <w:lang w:val="en-US" w:eastAsia="zh-CN"/>
        </w:rPr>
      </w:pPr>
      <w:bookmarkStart w:id="49" w:name="_Toc8594"/>
      <w:bookmarkStart w:id="50" w:name="_Toc26564"/>
      <w:bookmarkStart w:id="51" w:name="_Toc32049"/>
      <w:r>
        <w:rPr>
          <w:rFonts w:hint="eastAsia"/>
          <w:color w:val="auto"/>
          <w:lang w:val="en-US" w:eastAsia="zh-CN"/>
        </w:rPr>
        <w:t>第五节 总体目标</w:t>
      </w:r>
      <w:bookmarkEnd w:id="49"/>
      <w:bookmarkEnd w:id="50"/>
      <w:bookmarkEnd w:id="51"/>
    </w:p>
    <w:p w14:paraId="5C937C79">
      <w:pPr>
        <w:pStyle w:val="5"/>
        <w:bidi w:val="0"/>
        <w:rPr>
          <w:rFonts w:hint="default"/>
          <w:color w:val="auto"/>
          <w:rtl w:val="0"/>
          <w:lang w:val="en-US" w:eastAsia="zh-CN"/>
        </w:rPr>
      </w:pPr>
      <w:r>
        <w:rPr>
          <w:rFonts w:hint="default"/>
          <w:color w:val="auto"/>
          <w:rtl w:val="0"/>
          <w:lang w:val="en-US" w:eastAsia="zh-CN"/>
        </w:rPr>
        <w:t>到2030年，五华县乡村全面振兴取得实质性进展，现代农业强县建设实现重大突破，</w:t>
      </w:r>
      <w:r>
        <w:rPr>
          <w:rFonts w:hint="eastAsia"/>
          <w:b/>
          <w:bCs/>
          <w:color w:val="auto"/>
          <w:rtl w:val="0"/>
          <w:lang w:val="en-US" w:eastAsia="zh-CN"/>
        </w:rPr>
        <w:t>“科技赋能、链群</w:t>
      </w:r>
      <w:r>
        <w:rPr>
          <w:rFonts w:hint="default"/>
          <w:b/>
          <w:bCs/>
          <w:color w:val="auto"/>
          <w:rtl w:val="0"/>
          <w:lang w:val="en-US" w:eastAsia="zh-CN"/>
        </w:rPr>
        <w:t>联动、城乡融合、绿色</w:t>
      </w:r>
      <w:r>
        <w:rPr>
          <w:rFonts w:hint="eastAsia"/>
          <w:b/>
          <w:bCs/>
          <w:color w:val="auto"/>
          <w:rtl w:val="0"/>
          <w:lang w:val="en-US" w:eastAsia="zh-CN"/>
        </w:rPr>
        <w:t>和美”</w:t>
      </w:r>
      <w:r>
        <w:rPr>
          <w:rFonts w:hint="eastAsia"/>
          <w:color w:val="auto"/>
          <w:rtl w:val="0"/>
          <w:lang w:val="en-US" w:eastAsia="zh-CN"/>
        </w:rPr>
        <w:t>的</w:t>
      </w:r>
      <w:r>
        <w:rPr>
          <w:rFonts w:hint="default"/>
          <w:color w:val="auto"/>
          <w:rtl w:val="0"/>
          <w:lang w:val="en-US" w:eastAsia="zh-CN"/>
        </w:rPr>
        <w:t>现代</w:t>
      </w:r>
      <w:r>
        <w:rPr>
          <w:rFonts w:hint="default"/>
          <w:color w:val="auto"/>
          <w:highlight w:val="none"/>
          <w:rtl w:val="0"/>
          <w:lang w:val="en-US" w:eastAsia="zh-CN"/>
        </w:rPr>
        <w:t>化</w:t>
      </w:r>
      <w:r>
        <w:rPr>
          <w:rFonts w:hint="eastAsia"/>
          <w:color w:val="auto"/>
          <w:highlight w:val="none"/>
          <w:rtl w:val="0"/>
          <w:lang w:val="en-US" w:eastAsia="zh-CN"/>
        </w:rPr>
        <w:t>农业农村</w:t>
      </w:r>
      <w:r>
        <w:rPr>
          <w:rFonts w:hint="default"/>
          <w:color w:val="auto"/>
          <w:highlight w:val="none"/>
          <w:rtl w:val="0"/>
          <w:lang w:val="en-US" w:eastAsia="zh-CN"/>
        </w:rPr>
        <w:t>体系走在全</w:t>
      </w:r>
      <w:r>
        <w:rPr>
          <w:rFonts w:hint="eastAsia"/>
          <w:color w:val="auto"/>
          <w:highlight w:val="none"/>
          <w:rtl w:val="0"/>
          <w:lang w:val="en-US" w:eastAsia="zh-CN"/>
        </w:rPr>
        <w:t>市</w:t>
      </w:r>
      <w:r>
        <w:rPr>
          <w:rFonts w:hint="default"/>
          <w:color w:val="auto"/>
          <w:highlight w:val="none"/>
          <w:rtl w:val="0"/>
          <w:lang w:val="en-US" w:eastAsia="zh-CN"/>
        </w:rPr>
        <w:t>前列。</w:t>
      </w:r>
      <w:r>
        <w:rPr>
          <w:rFonts w:hint="eastAsia"/>
          <w:color w:val="auto"/>
          <w:highlight w:val="none"/>
          <w:rtl w:val="0"/>
          <w:lang w:val="en-US" w:eastAsia="zh-CN"/>
        </w:rPr>
        <w:t>粮食安全保障更加有力，现代农业产业体系更加高质高效，和美乡村更加宜居宜业，精勤农民更加富裕富足，城乡融合发展更加绿美与共。</w:t>
      </w:r>
    </w:p>
    <w:p w14:paraId="7FECDBE6">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保供根基更加稳固牢靠。</w:t>
      </w:r>
      <w:r>
        <w:rPr>
          <w:rFonts w:hint="default"/>
          <w:color w:val="auto"/>
          <w:rtl w:val="0"/>
          <w:lang w:val="en-US" w:eastAsia="zh-CN"/>
        </w:rPr>
        <w:t>严格落实耕地保护制度，高质量推进高标准农田建设，挖掘</w:t>
      </w:r>
      <w:r>
        <w:rPr>
          <w:rFonts w:hint="eastAsia"/>
          <w:color w:val="auto"/>
          <w:rtl w:val="0"/>
          <w:lang w:val="en-US" w:eastAsia="zh-CN"/>
        </w:rPr>
        <w:t>“</w:t>
      </w:r>
      <w:r>
        <w:rPr>
          <w:rFonts w:hint="default"/>
          <w:color w:val="auto"/>
          <w:rtl w:val="0"/>
          <w:lang w:val="en-US" w:eastAsia="zh-CN"/>
        </w:rPr>
        <w:t>五良法</w:t>
      </w:r>
      <w:r>
        <w:rPr>
          <w:rFonts w:hint="eastAsia"/>
          <w:color w:val="auto"/>
          <w:rtl w:val="0"/>
          <w:lang w:val="en-US" w:eastAsia="zh-CN"/>
        </w:rPr>
        <w:t>”</w:t>
      </w:r>
      <w:r>
        <w:rPr>
          <w:rFonts w:hint="default"/>
          <w:color w:val="auto"/>
          <w:rtl w:val="0"/>
          <w:lang w:val="en-US" w:eastAsia="zh-CN"/>
        </w:rPr>
        <w:t>增产潜力，提升农机装备智能化水平。到2030年，全县耕地保有量保持在市定任务以上，高标准农田累计建成面积稳步增加</w:t>
      </w:r>
      <w:r>
        <w:rPr>
          <w:rFonts w:hint="eastAsia"/>
          <w:color w:val="auto"/>
          <w:rtl w:val="0"/>
          <w:lang w:val="en-US" w:eastAsia="zh-CN"/>
        </w:rPr>
        <w:t>；</w:t>
      </w:r>
      <w:r>
        <w:rPr>
          <w:rFonts w:hint="default"/>
          <w:color w:val="auto"/>
          <w:rtl w:val="0"/>
          <w:lang w:val="en-US" w:eastAsia="zh-CN"/>
        </w:rPr>
        <w:t>粮食产能稳定在35.22万吨，生猪出栏量达</w:t>
      </w:r>
      <w:r>
        <w:rPr>
          <w:rFonts w:hint="eastAsia"/>
          <w:color w:val="auto"/>
          <w:rtl w:val="0"/>
          <w:lang w:val="en-US" w:eastAsia="zh-CN"/>
        </w:rPr>
        <w:t>62.25</w:t>
      </w:r>
      <w:r>
        <w:rPr>
          <w:rFonts w:hint="default"/>
          <w:color w:val="auto"/>
          <w:rtl w:val="0"/>
          <w:lang w:val="en-US" w:eastAsia="zh-CN"/>
        </w:rPr>
        <w:t>万头以上，家禽出栏量稳步增长。主要农作物良种覆盖率达98%，水稻耕种收综合机械化率达79%，农作物病虫害绿色防控覆盖率达60%以上。</w:t>
      </w:r>
    </w:p>
    <w:p w14:paraId="66A65C4F">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现代农业更加高质高效。</w:t>
      </w:r>
      <w:r>
        <w:rPr>
          <w:rFonts w:hint="default"/>
          <w:color w:val="auto"/>
          <w:rtl w:val="0"/>
          <w:lang w:val="en-US" w:eastAsia="zh-CN"/>
        </w:rPr>
        <w:t>聚力做强丝苗米（含菩米）、蔬菜、茶叶、渔业（含鱼生）、畜禽、林果六大特色产业，推动全产业链升级和品牌增值。</w:t>
      </w:r>
      <w:r>
        <w:rPr>
          <w:rFonts w:hint="eastAsia"/>
          <w:color w:val="auto"/>
          <w:rtl w:val="0"/>
          <w:lang w:val="en-US" w:eastAsia="zh-CN"/>
        </w:rPr>
        <w:t>到</w:t>
      </w:r>
      <w:r>
        <w:rPr>
          <w:rFonts w:hint="default"/>
          <w:color w:val="auto"/>
          <w:rtl w:val="0"/>
          <w:lang w:val="en-US" w:eastAsia="zh-CN"/>
        </w:rPr>
        <w:t>2030年，农林牧渔业总产值突破108亿元，农业科技进步贡献率力争达到65%以上</w:t>
      </w:r>
      <w:r>
        <w:rPr>
          <w:rFonts w:hint="eastAsia"/>
          <w:color w:val="auto"/>
          <w:rtl w:val="0"/>
          <w:lang w:val="en-US" w:eastAsia="zh-CN"/>
        </w:rPr>
        <w:t>。五华菩米、坚果、茶叶、鱼生等特色产业的全产业链附加值显著提升，带动作用明显增强。</w:t>
      </w:r>
      <w:r>
        <w:rPr>
          <w:rFonts w:hint="default"/>
          <w:color w:val="auto"/>
          <w:rtl w:val="0"/>
          <w:lang w:val="en-US" w:eastAsia="zh-CN"/>
        </w:rPr>
        <w:t>力争</w:t>
      </w:r>
      <w:r>
        <w:rPr>
          <w:rFonts w:hint="eastAsia"/>
          <w:color w:val="auto"/>
          <w:rtl w:val="0"/>
          <w:lang w:val="en-US" w:eastAsia="zh-CN"/>
        </w:rPr>
        <w:t>“</w:t>
      </w:r>
      <w:r>
        <w:rPr>
          <w:rFonts w:hint="default"/>
          <w:color w:val="auto"/>
          <w:rtl w:val="0"/>
          <w:lang w:val="en-US" w:eastAsia="zh-CN"/>
        </w:rPr>
        <w:t>五华菩米</w:t>
      </w:r>
      <w:r>
        <w:rPr>
          <w:rFonts w:hint="eastAsia"/>
          <w:color w:val="auto"/>
          <w:rtl w:val="0"/>
          <w:lang w:val="en-US" w:eastAsia="zh-CN"/>
        </w:rPr>
        <w:t>”</w:t>
      </w:r>
      <w:r>
        <w:rPr>
          <w:rFonts w:hint="default"/>
          <w:color w:val="auto"/>
          <w:rtl w:val="0"/>
          <w:lang w:val="en-US" w:eastAsia="zh-CN"/>
        </w:rPr>
        <w:t>全产业链产值突破30亿元，</w:t>
      </w:r>
      <w:r>
        <w:rPr>
          <w:rFonts w:hint="eastAsia"/>
          <w:color w:val="auto"/>
          <w:rtl w:val="0"/>
          <w:lang w:val="en-US" w:eastAsia="zh-CN"/>
        </w:rPr>
        <w:t>“</w:t>
      </w:r>
      <w:r>
        <w:rPr>
          <w:rFonts w:hint="default"/>
          <w:color w:val="auto"/>
          <w:rtl w:val="0"/>
          <w:lang w:val="en-US" w:eastAsia="zh-CN"/>
        </w:rPr>
        <w:t>五华炒绿</w:t>
      </w:r>
      <w:r>
        <w:rPr>
          <w:rFonts w:hint="eastAsia"/>
          <w:color w:val="auto"/>
          <w:rtl w:val="0"/>
          <w:lang w:val="en-US" w:eastAsia="zh-CN"/>
        </w:rPr>
        <w:t>”</w:t>
      </w:r>
      <w:r>
        <w:rPr>
          <w:rFonts w:hint="default"/>
          <w:color w:val="auto"/>
          <w:rtl w:val="0"/>
          <w:lang w:val="en-US" w:eastAsia="zh-CN"/>
        </w:rPr>
        <w:t>全产业链产值突破20亿元，</w:t>
      </w:r>
      <w:r>
        <w:rPr>
          <w:rFonts w:hint="eastAsia"/>
          <w:color w:val="auto"/>
          <w:rtl w:val="0"/>
          <w:lang w:val="en-US" w:eastAsia="zh-CN"/>
        </w:rPr>
        <w:t>“</w:t>
      </w:r>
      <w:r>
        <w:rPr>
          <w:rFonts w:hint="default"/>
          <w:color w:val="auto"/>
          <w:rtl w:val="0"/>
          <w:lang w:val="en-US" w:eastAsia="zh-CN"/>
        </w:rPr>
        <w:t>五华鱼生</w:t>
      </w:r>
      <w:r>
        <w:rPr>
          <w:rFonts w:hint="eastAsia"/>
          <w:color w:val="auto"/>
          <w:rtl w:val="0"/>
          <w:lang w:val="en-US" w:eastAsia="zh-CN"/>
        </w:rPr>
        <w:t>”</w:t>
      </w:r>
      <w:r>
        <w:rPr>
          <w:rFonts w:hint="default"/>
          <w:color w:val="auto"/>
          <w:rtl w:val="0"/>
          <w:lang w:val="en-US" w:eastAsia="zh-CN"/>
        </w:rPr>
        <w:t>全产业链产值突破</w:t>
      </w:r>
      <w:r>
        <w:rPr>
          <w:rFonts w:hint="eastAsia"/>
          <w:color w:val="auto"/>
          <w:rtl w:val="0"/>
          <w:lang w:val="en-US" w:eastAsia="zh-CN"/>
        </w:rPr>
        <w:t>10</w:t>
      </w:r>
      <w:r>
        <w:rPr>
          <w:rFonts w:hint="default"/>
          <w:color w:val="auto"/>
          <w:rtl w:val="0"/>
          <w:lang w:val="en-US" w:eastAsia="zh-CN"/>
        </w:rPr>
        <w:t>亿元，</w:t>
      </w:r>
      <w:r>
        <w:rPr>
          <w:rFonts w:hint="eastAsia"/>
          <w:color w:val="auto"/>
          <w:rtl w:val="0"/>
          <w:lang w:val="en-US" w:eastAsia="zh-CN"/>
        </w:rPr>
        <w:t>“</w:t>
      </w:r>
      <w:r>
        <w:rPr>
          <w:rFonts w:hint="default"/>
          <w:color w:val="auto"/>
          <w:rtl w:val="0"/>
          <w:lang w:val="en-US" w:eastAsia="zh-CN"/>
        </w:rPr>
        <w:t>五华坚果</w:t>
      </w:r>
      <w:r>
        <w:rPr>
          <w:rFonts w:hint="eastAsia"/>
          <w:color w:val="auto"/>
          <w:rtl w:val="0"/>
          <w:lang w:val="en-US" w:eastAsia="zh-CN"/>
        </w:rPr>
        <w:t>”</w:t>
      </w:r>
      <w:r>
        <w:rPr>
          <w:rFonts w:hint="default"/>
          <w:color w:val="auto"/>
          <w:rtl w:val="0"/>
          <w:lang w:val="en-US" w:eastAsia="zh-CN"/>
        </w:rPr>
        <w:t>全产业链产值突破40亿元</w:t>
      </w:r>
      <w:r>
        <w:rPr>
          <w:rFonts w:hint="eastAsia"/>
          <w:color w:val="auto"/>
          <w:rtl w:val="0"/>
          <w:lang w:val="en-US" w:eastAsia="zh-CN"/>
        </w:rPr>
        <w:t>。</w:t>
      </w:r>
      <w:r>
        <w:rPr>
          <w:rFonts w:hint="default"/>
          <w:color w:val="auto"/>
          <w:rtl w:val="0"/>
          <w:lang w:val="en-US" w:eastAsia="zh-CN"/>
        </w:rPr>
        <w:t>创建国家现代农业产业园或省级</w:t>
      </w:r>
      <w:r>
        <w:rPr>
          <w:rFonts w:hint="eastAsia"/>
          <w:color w:val="auto"/>
          <w:rtl w:val="0"/>
          <w:lang w:val="en-US" w:eastAsia="zh-CN"/>
        </w:rPr>
        <w:t>“</w:t>
      </w:r>
      <w:r>
        <w:rPr>
          <w:rFonts w:hint="default"/>
          <w:color w:val="auto"/>
          <w:rtl w:val="0"/>
          <w:lang w:val="en-US" w:eastAsia="zh-CN"/>
        </w:rPr>
        <w:t>补改投</w:t>
      </w:r>
      <w:r>
        <w:rPr>
          <w:rFonts w:hint="eastAsia"/>
          <w:color w:val="auto"/>
          <w:rtl w:val="0"/>
          <w:lang w:val="en-US" w:eastAsia="zh-CN"/>
        </w:rPr>
        <w:t>”</w:t>
      </w:r>
      <w:r>
        <w:rPr>
          <w:rFonts w:hint="default"/>
          <w:color w:val="auto"/>
          <w:rtl w:val="0"/>
          <w:lang w:val="en-US" w:eastAsia="zh-CN"/>
        </w:rPr>
        <w:t>产业园1个、建成农业产业强镇1个</w:t>
      </w:r>
      <w:r>
        <w:rPr>
          <w:rFonts w:hint="eastAsia"/>
          <w:color w:val="auto"/>
          <w:rtl w:val="0"/>
          <w:lang w:val="en-US" w:eastAsia="zh-CN"/>
        </w:rPr>
        <w:t>。</w:t>
      </w:r>
    </w:p>
    <w:p w14:paraId="3D9409B5">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和美乡村更加宜居宜业。</w:t>
      </w:r>
      <w:r>
        <w:rPr>
          <w:rFonts w:hint="eastAsia"/>
          <w:color w:val="auto"/>
          <w:rtl w:val="0"/>
          <w:lang w:val="en-US" w:eastAsia="zh-CN"/>
        </w:rPr>
        <w:t>统筹推进人居环境整治、基础设施完善和公共服务提升，深化农房风貌管控和乡村绿化美化。到2030年，全县90%以上行政村达到美丽宜居村标准，加大典型镇村培育力度，重点打造五华“足球+”五镇联动片区组团，推动镇村片区化组团式发展落地见效；农村生活饮用水水质合格率保持100%，因地制宜选择生活污水治理模式，辖区自然村生活污水治理率达100%（含资源化利用），村域内实现“三基本”</w:t>
      </w:r>
      <w:r>
        <w:rPr>
          <w:rFonts w:hint="eastAsia" w:ascii="华文仿宋" w:hAnsi="华文仿宋" w:eastAsia="华文仿宋" w:cs="华文仿宋"/>
          <w:color w:val="auto"/>
          <w:vertAlign w:val="superscript"/>
          <w:rtl w:val="0"/>
          <w:lang w:val="en-US" w:eastAsia="zh-CN"/>
        </w:rPr>
        <w:t>[</w:t>
      </w:r>
      <w:r>
        <w:rPr>
          <w:rFonts w:hint="eastAsia" w:ascii="仿宋_GB2312" w:hAnsi="仿宋_GB2312" w:cs="仿宋_GB2312"/>
          <w:color w:val="auto"/>
          <w:vertAlign w:val="superscript"/>
          <w:rtl w:val="0"/>
          <w:lang w:val="en-US" w:eastAsia="zh-CN"/>
        </w:rPr>
        <w:t>1</w:t>
      </w:r>
      <w:r>
        <w:rPr>
          <w:rFonts w:hint="eastAsia" w:ascii="华文仿宋" w:hAnsi="华文仿宋" w:eastAsia="华文仿宋" w:cs="华文仿宋"/>
          <w:color w:val="auto"/>
          <w:vertAlign w:val="superscript"/>
          <w:rtl w:val="0"/>
          <w:lang w:val="en-US" w:eastAsia="zh-CN"/>
        </w:rPr>
        <w:t>]</w:t>
      </w:r>
      <w:r>
        <w:rPr>
          <w:rFonts w:hint="eastAsia"/>
          <w:color w:val="auto"/>
          <w:rtl w:val="0"/>
          <w:lang w:val="en-US" w:eastAsia="zh-CN"/>
        </w:rPr>
        <w:t>；县道三级及以上公路比例稳步提升；培育农文旅融合特色村10个以上，打造美丽乡村走廊3条、美丽农村路80公里以上、乡村精品酒店（民宿）10家以上。</w:t>
      </w:r>
    </w:p>
    <w:p w14:paraId="148657B9">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精勤农民更加富裕富足。</w:t>
      </w:r>
      <w:r>
        <w:rPr>
          <w:rFonts w:hint="eastAsia"/>
          <w:color w:val="auto"/>
          <w:rtl w:val="0"/>
          <w:lang w:val="en-US" w:eastAsia="zh-CN"/>
        </w:rPr>
        <w:t>拓宽农民增收渠道，强化联农带农机制，增强农村集体经济造血功能，牢牢守住不发生规模性返贫底线。到2030年，全县农村居民人均可支配收入与经济增长基本同步，新增农村职业技能培训1.5万人次以上；农村集体经济经营性收入增长持续稳定，脱贫人口收入稳定增长。</w:t>
      </w:r>
    </w:p>
    <w:p w14:paraId="1ADD270C">
      <w:pPr>
        <w:pStyle w:val="5"/>
        <w:bidi w:val="0"/>
        <w:rPr>
          <w:rFonts w:hint="eastAsia"/>
          <w:color w:val="auto"/>
          <w:rtl w:val="0"/>
          <w:lang w:val="en-US" w:eastAsia="zh-CN"/>
        </w:rPr>
      </w:pPr>
      <w:r>
        <w:rPr>
          <w:color w:val="auto"/>
          <w:sz w:val="32"/>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1054100</wp:posOffset>
                </wp:positionV>
                <wp:extent cx="3959225" cy="273050"/>
                <wp:effectExtent l="0" t="0" r="3175" b="12700"/>
                <wp:wrapNone/>
                <wp:docPr id="1" name="文本框 1"/>
                <wp:cNvGraphicFramePr/>
                <a:graphic xmlns:a="http://schemas.openxmlformats.org/drawingml/2006/main">
                  <a:graphicData uri="http://schemas.microsoft.com/office/word/2010/wordprocessingShape">
                    <wps:wsp>
                      <wps:cNvSpPr txBox="1"/>
                      <wps:spPr>
                        <a:xfrm>
                          <a:off x="1006475" y="9758045"/>
                          <a:ext cx="395922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3544890">
                            <w:pPr>
                              <w:pStyle w:val="11"/>
                              <w:rPr>
                                <w:rFonts w:hint="default" w:eastAsiaTheme="minorEastAsia"/>
                                <w:color w:val="FF0000"/>
                                <w:lang w:val="en-US" w:eastAsia="zh-CN"/>
                              </w:rPr>
                            </w:pPr>
                            <w:r>
                              <w:rPr>
                                <w:rFonts w:hint="eastAsia"/>
                                <w:color w:val="FF0000"/>
                                <w:lang w:eastAsia="zh-CN"/>
                              </w:rPr>
                              <w:t>注：三基本：基本看不到污水横流；基本闻不到臭味；基本听不到村民怨言。</w:t>
                            </w:r>
                          </w:p>
                          <w:p w14:paraId="2B814AB1">
                            <w:pPr>
                              <w:rPr>
                                <w:color w:val="FF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83pt;height:21.5pt;width:311.75pt;z-index:251659264;mso-width-relative:page;mso-height-relative:page;" fillcolor="#FFFFFF [3201]" filled="t" stroked="f" coordsize="21600,21600" o:gfxdata="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F8D6V1AAA&#10;AAoBAAAPAAAAAAAAAAEAIAAAACIAAABkcnMvZG93bnJldi54bWxQSwECFAAUAAAACACHTuJATPGb&#10;IVsCAACbBAAADgAAAAAAAAABACAAAAAjAQAAZHJzL2Uyb0RvYy54bWxQSwUGAAAAAAYABgBZAQAA&#10;8AUAAAAA&#10;">
                <v:fill on="t" focussize="0,0"/>
                <v:stroke on="f" weight="0.5pt"/>
                <v:imagedata o:title=""/>
                <o:lock v:ext="edit" aspectratio="f"/>
                <v:textbox>
                  <w:txbxContent>
                    <w:p w14:paraId="43544890">
                      <w:pPr>
                        <w:pStyle w:val="11"/>
                        <w:rPr>
                          <w:rFonts w:hint="default" w:eastAsiaTheme="minorEastAsia"/>
                          <w:color w:val="FF0000"/>
                          <w:lang w:val="en-US" w:eastAsia="zh-CN"/>
                        </w:rPr>
                      </w:pPr>
                      <w:r>
                        <w:rPr>
                          <w:rFonts w:hint="eastAsia"/>
                          <w:color w:val="FF0000"/>
                          <w:lang w:eastAsia="zh-CN"/>
                        </w:rPr>
                        <w:t>注：三基本：基本看不到污水横流；基本闻不到臭味；基本听不到村民怨言。</w:t>
                      </w:r>
                    </w:p>
                    <w:p w14:paraId="2B814AB1">
                      <w:pPr>
                        <w:rPr>
                          <w:color w:val="FF0000"/>
                        </w:rPr>
                      </w:pPr>
                    </w:p>
                  </w:txbxContent>
                </v:textbox>
              </v:shape>
            </w:pict>
          </mc:Fallback>
        </mc:AlternateContent>
      </w:r>
      <w:r>
        <w:rPr>
          <w:rFonts w:hint="eastAsia" w:ascii="楷体_GB2312" w:hAnsi="楷体_GB2312" w:eastAsia="楷体_GB2312" w:cs="楷体_GB2312"/>
          <w:color w:val="auto"/>
          <w:rtl w:val="0"/>
          <w:lang w:val="en-US" w:eastAsia="zh-CN"/>
        </w:rPr>
        <w:t>城乡融合更加绿美与共。</w:t>
      </w:r>
      <w:r>
        <w:rPr>
          <w:rFonts w:hint="eastAsia"/>
          <w:color w:val="auto"/>
          <w:rtl w:val="0"/>
          <w:lang w:val="en-US" w:eastAsia="zh-CN"/>
        </w:rPr>
        <w:t>推动城乡要素平等交换、双向流动，促进基本公共服务均等化，提升乡村治理效能。到2030年，城乡居民人均可支配收入比持续收窄，未来社区建设取得阶段性成效。</w:t>
      </w:r>
    </w:p>
    <w:p w14:paraId="1E09CE08">
      <w:pPr>
        <w:pStyle w:val="5"/>
        <w:bidi w:val="0"/>
        <w:rPr>
          <w:rFonts w:hint="default"/>
          <w:color w:val="auto"/>
          <w:rtl w:val="0"/>
          <w:lang w:val="en-US" w:eastAsia="zh-CN"/>
        </w:rPr>
      </w:pPr>
      <w:r>
        <w:rPr>
          <w:rFonts w:hint="default"/>
          <w:color w:val="auto"/>
          <w:rtl w:val="0"/>
          <w:lang w:val="en-US" w:eastAsia="zh-CN"/>
        </w:rPr>
        <w:t>展望2035年，五华乡村全面振兴走在梅州前列，</w:t>
      </w:r>
      <w:r>
        <w:rPr>
          <w:rFonts w:hint="eastAsia"/>
          <w:color w:val="auto"/>
          <w:rtl w:val="0"/>
          <w:lang w:val="en-US" w:eastAsia="zh-CN"/>
        </w:rPr>
        <w:t>“</w:t>
      </w:r>
      <w:r>
        <w:rPr>
          <w:rFonts w:hint="default"/>
          <w:color w:val="auto"/>
          <w:rtl w:val="0"/>
          <w:lang w:val="en-US" w:eastAsia="zh-CN"/>
        </w:rPr>
        <w:t>百千万工程</w:t>
      </w:r>
      <w:r>
        <w:rPr>
          <w:rFonts w:hint="eastAsia"/>
          <w:color w:val="auto"/>
          <w:rtl w:val="0"/>
          <w:lang w:val="en-US" w:eastAsia="zh-CN"/>
        </w:rPr>
        <w:t>”</w:t>
      </w:r>
      <w:r>
        <w:rPr>
          <w:rFonts w:hint="default"/>
          <w:color w:val="auto"/>
          <w:rtl w:val="0"/>
          <w:lang w:val="en-US" w:eastAsia="zh-CN"/>
        </w:rPr>
        <w:t>和融湾建设取得显著实效，与全国全省同步基本实现农业农村现代化。</w:t>
      </w:r>
    </w:p>
    <w:p w14:paraId="7DDB7CFD">
      <w:pPr>
        <w:pStyle w:val="8"/>
        <w:keepNext/>
        <w:bidi w:val="0"/>
        <w:rPr>
          <w:rFonts w:hint="default"/>
          <w:color w:val="auto"/>
          <w:lang w:val="en-US" w:eastAsia="zh-CN"/>
        </w:rPr>
      </w:pPr>
      <w:r>
        <w:rPr>
          <w:color w:val="auto"/>
        </w:rPr>
        <w:t xml:space="preserve">表 </w:t>
      </w:r>
      <w:r>
        <w:rPr>
          <w:color w:val="auto"/>
        </w:rPr>
        <w:fldChar w:fldCharType="begin"/>
      </w:r>
      <w:r>
        <w:rPr>
          <w:color w:val="auto"/>
        </w:rPr>
        <w:instrText xml:space="preserve"> SEQ 表 \* ARABIC </w:instrText>
      </w:r>
      <w:r>
        <w:rPr>
          <w:color w:val="auto"/>
        </w:rPr>
        <w:fldChar w:fldCharType="separate"/>
      </w:r>
      <w:r>
        <w:rPr>
          <w:color w:val="auto"/>
        </w:rPr>
        <w:t>3</w:t>
      </w:r>
      <w:r>
        <w:rPr>
          <w:color w:val="auto"/>
        </w:rPr>
        <w:fldChar w:fldCharType="end"/>
      </w:r>
      <w:r>
        <w:rPr>
          <w:rFonts w:hint="eastAsia"/>
          <w:color w:val="auto"/>
          <w:lang w:val="en-US" w:eastAsia="zh-CN"/>
        </w:rPr>
        <w:t xml:space="preserve">  </w:t>
      </w:r>
      <w:r>
        <w:rPr>
          <w:rFonts w:hint="eastAsia"/>
          <w:color w:val="auto"/>
          <w:rtl w:val="0"/>
          <w:lang w:val="en-US" w:eastAsia="zh-CN"/>
        </w:rPr>
        <w:t>五华县农业农村现代化“十五五”规划目标指标</w:t>
      </w:r>
    </w:p>
    <w:tbl>
      <w:tblPr>
        <w:tblStyle w:val="15"/>
        <w:tblW w:w="94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3"/>
        <w:gridCol w:w="527"/>
        <w:gridCol w:w="2635"/>
        <w:gridCol w:w="737"/>
        <w:gridCol w:w="1097"/>
        <w:gridCol w:w="1183"/>
        <w:gridCol w:w="1269"/>
        <w:gridCol w:w="847"/>
      </w:tblGrid>
      <w:tr w14:paraId="3032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BD972">
            <w:pPr>
              <w:keepNext w:val="0"/>
              <w:keepLines w:val="0"/>
              <w:widowControl/>
              <w:suppressLineNumbers w:val="0"/>
              <w:snapToGrid w:val="0"/>
              <w:ind w:left="0" w:leftChars="0" w:right="0" w:rightChars="0" w:firstLine="0" w:firstLineChars="0"/>
              <w:jc w:val="center"/>
              <w:textAlignment w:val="center"/>
              <w:rPr>
                <w:rFonts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8CF2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序号</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8D1B">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主要指标</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9F1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单位</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412B">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eastAsia" w:ascii="仿宋" w:hAnsi="仿宋" w:eastAsia="仿宋" w:cs="仿宋"/>
                <w:b/>
                <w:bCs/>
                <w:i w:val="0"/>
                <w:iCs w:val="0"/>
                <w:color w:val="auto"/>
                <w:kern w:val="0"/>
                <w:sz w:val="21"/>
                <w:szCs w:val="21"/>
                <w:u w:val="none"/>
                <w:lang w:val="en-US" w:eastAsia="zh-CN" w:bidi="ar"/>
              </w:rPr>
              <w:t>2025年</w:t>
            </w:r>
          </w:p>
          <w:p w14:paraId="64AD723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基期值</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539B">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eastAsia" w:ascii="仿宋" w:hAnsi="仿宋" w:eastAsia="仿宋" w:cs="仿宋"/>
                <w:b/>
                <w:bCs/>
                <w:i w:val="0"/>
                <w:iCs w:val="0"/>
                <w:color w:val="auto"/>
                <w:kern w:val="0"/>
                <w:sz w:val="21"/>
                <w:szCs w:val="21"/>
                <w:u w:val="none"/>
                <w:lang w:val="en-US" w:eastAsia="zh-CN" w:bidi="ar"/>
              </w:rPr>
              <w:t>2027年</w:t>
            </w:r>
          </w:p>
          <w:p w14:paraId="7D534A0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目标值</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3E8C">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eastAsia" w:ascii="仿宋" w:hAnsi="仿宋" w:eastAsia="仿宋" w:cs="仿宋"/>
                <w:b/>
                <w:bCs/>
                <w:i w:val="0"/>
                <w:iCs w:val="0"/>
                <w:color w:val="auto"/>
                <w:kern w:val="0"/>
                <w:sz w:val="21"/>
                <w:szCs w:val="21"/>
                <w:u w:val="none"/>
                <w:lang w:val="en-US" w:eastAsia="zh-CN" w:bidi="ar"/>
              </w:rPr>
              <w:t>2030年</w:t>
            </w:r>
          </w:p>
          <w:p w14:paraId="1C99413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目标值</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69C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eastAsia" w:ascii="仿宋" w:hAnsi="仿宋" w:eastAsia="仿宋" w:cs="仿宋"/>
                <w:b/>
                <w:bCs/>
                <w:i w:val="0"/>
                <w:iCs w:val="0"/>
                <w:color w:val="auto"/>
                <w:kern w:val="0"/>
                <w:sz w:val="21"/>
                <w:szCs w:val="21"/>
                <w:u w:val="none"/>
                <w:lang w:val="en-US" w:eastAsia="zh-CN" w:bidi="ar"/>
              </w:rPr>
              <w:t>指标</w:t>
            </w:r>
          </w:p>
          <w:p w14:paraId="355CC24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属性</w:t>
            </w:r>
          </w:p>
        </w:tc>
      </w:tr>
      <w:tr w14:paraId="70372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49AA7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保供根基</w:t>
            </w:r>
          </w:p>
          <w:p w14:paraId="29CA915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稳固牢靠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9664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DA0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耕地保有量</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DDC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万亩</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F8B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46.629</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86E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46.8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CBE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保持在市定任务以上</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0E1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约束性</w:t>
            </w:r>
          </w:p>
        </w:tc>
      </w:tr>
      <w:tr w14:paraId="1FEE2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849ED">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9A8B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226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高标准农田建设面积</w:t>
            </w:r>
          </w:p>
          <w:p w14:paraId="09760AD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（保有量）</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3BD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万亩</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890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34.29</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A04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37.29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58D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40.29</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AF0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约束性</w:t>
            </w:r>
          </w:p>
        </w:tc>
      </w:tr>
      <w:tr w14:paraId="4627F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37727">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BD66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D26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粮食综合生产能力</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ACB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万吨</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D1A8">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34.19</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6B8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F78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35.22</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688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约束性</w:t>
            </w:r>
          </w:p>
        </w:tc>
      </w:tr>
      <w:tr w14:paraId="437A9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5710B">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B7D4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2C5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生猪出栏量</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AD5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万头</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3816">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55.62</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9DEC">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BE9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58</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2CC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0714F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6B70B">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19047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8D2C">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主要农作物良种覆盖率</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27D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188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96.1</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D86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D5E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98</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A98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12E16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1DE9B">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3592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AAE8">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水稻耕种收综合机械化率</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1018">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54A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77.5</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677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78.3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BA8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79</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1B8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297AF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F47C1">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76920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EB4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农作物病虫害绿色防控覆盖率</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D3D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7D76">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58.8</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C28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59.5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752C">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8DC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773A2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1113" w:type="dxa"/>
            <w:vMerge w:val="restart"/>
            <w:tcBorders>
              <w:top w:val="single" w:color="000000" w:sz="4" w:space="0"/>
              <w:left w:val="single" w:color="000000" w:sz="4" w:space="0"/>
              <w:right w:val="single" w:color="000000" w:sz="4" w:space="0"/>
            </w:tcBorders>
            <w:shd w:val="clear" w:color="auto" w:fill="auto"/>
            <w:vAlign w:val="center"/>
          </w:tcPr>
          <w:p w14:paraId="3F3F3E5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现代农业</w:t>
            </w:r>
          </w:p>
          <w:p w14:paraId="7B9FA43C">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高质高效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E6F0B8">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17F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农林牧渔业总产值</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3CB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亿元</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45D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73.96</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BB9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F71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108</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67A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58049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113" w:type="dxa"/>
            <w:vMerge w:val="continue"/>
            <w:tcBorders>
              <w:left w:val="single" w:color="000000" w:sz="4" w:space="0"/>
              <w:right w:val="single" w:color="000000" w:sz="4" w:space="0"/>
            </w:tcBorders>
            <w:shd w:val="clear" w:color="auto" w:fill="auto"/>
            <w:vAlign w:val="center"/>
          </w:tcPr>
          <w:p w14:paraId="23C5CE84">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7F8A9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AB3B">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农业科技进步贡献率</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920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B29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1B4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BC3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≥65</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10E8">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74F70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1113" w:type="dxa"/>
            <w:vMerge w:val="continue"/>
            <w:tcBorders>
              <w:left w:val="single" w:color="000000" w:sz="4" w:space="0"/>
              <w:right w:val="single" w:color="000000" w:sz="4" w:space="0"/>
            </w:tcBorders>
            <w:shd w:val="clear" w:color="auto" w:fill="auto"/>
            <w:vAlign w:val="center"/>
          </w:tcPr>
          <w:p w14:paraId="60FD226F">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C8B628">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956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“五华菩米”全产业链产值</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749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亿元</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A45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2A8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ED4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F4D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0864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113" w:type="dxa"/>
            <w:vMerge w:val="continue"/>
            <w:tcBorders>
              <w:left w:val="single" w:color="000000" w:sz="4" w:space="0"/>
              <w:right w:val="single" w:color="000000" w:sz="4" w:space="0"/>
            </w:tcBorders>
            <w:shd w:val="clear" w:color="auto" w:fill="auto"/>
            <w:vAlign w:val="center"/>
          </w:tcPr>
          <w:p w14:paraId="23B49508">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48302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86F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“五华炒绿”全产业链产值</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F77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亿元</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ACD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444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8D6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D3B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54F6C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113" w:type="dxa"/>
            <w:vMerge w:val="continue"/>
            <w:tcBorders>
              <w:left w:val="single" w:color="000000" w:sz="4" w:space="0"/>
              <w:right w:val="single" w:color="000000" w:sz="4" w:space="0"/>
            </w:tcBorders>
            <w:shd w:val="clear" w:color="auto" w:fill="auto"/>
            <w:vAlign w:val="center"/>
          </w:tcPr>
          <w:p w14:paraId="1CAF479D">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0196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12</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75A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“五华鱼生”全产业链产值</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7858">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亿元</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DB5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D20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C4C4">
            <w:pPr>
              <w:keepNext w:val="0"/>
              <w:keepLines w:val="0"/>
              <w:widowControl/>
              <w:suppressLineNumbers w:val="0"/>
              <w:snapToGrid w:val="0"/>
              <w:ind w:left="0" w:leftChars="0" w:right="0" w:rightChars="0" w:firstLine="0" w:firstLineChars="0"/>
              <w:jc w:val="center"/>
              <w:textAlignment w:val="center"/>
              <w:rPr>
                <w:rFonts w:hint="default" w:ascii="仿宋" w:hAnsi="仿宋" w:eastAsia="仿宋" w:cs="仿宋"/>
                <w:i w:val="0"/>
                <w:iCs w:val="0"/>
                <w:color w:val="auto"/>
                <w:sz w:val="21"/>
                <w:szCs w:val="21"/>
                <w:u w:val="none"/>
                <w:lang w:val="en-US"/>
              </w:rPr>
            </w:pPr>
            <w:r>
              <w:rPr>
                <w:rFonts w:hint="eastAsia" w:ascii="仿宋" w:hAnsi="仿宋" w:eastAsia="仿宋" w:cs="仿宋"/>
                <w:i w:val="0"/>
                <w:iCs w:val="0"/>
                <w:color w:val="auto"/>
                <w:kern w:val="0"/>
                <w:sz w:val="21"/>
                <w:szCs w:val="21"/>
                <w:u w:val="none"/>
                <w:lang w:val="en-US" w:eastAsia="zh-CN" w:bidi="ar"/>
              </w:rPr>
              <w:t>10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51D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3F98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113" w:type="dxa"/>
            <w:vMerge w:val="continue"/>
            <w:tcBorders>
              <w:left w:val="single" w:color="000000" w:sz="4" w:space="0"/>
              <w:right w:val="single" w:color="000000" w:sz="4" w:space="0"/>
            </w:tcBorders>
            <w:shd w:val="clear" w:color="auto" w:fill="auto"/>
            <w:vAlign w:val="center"/>
          </w:tcPr>
          <w:p w14:paraId="3785C307">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697E8">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947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r>
              <w:rPr>
                <w:rFonts w:hint="eastAsia" w:ascii="仿宋" w:hAnsi="宋体" w:eastAsia="仿宋" w:cs="宋体"/>
                <w:i w:val="0"/>
                <w:iCs w:val="0"/>
                <w:color w:val="auto"/>
                <w:kern w:val="0"/>
                <w:sz w:val="21"/>
                <w:szCs w:val="21"/>
                <w:u w:val="none"/>
                <w:lang w:val="en-US" w:eastAsia="zh-CN" w:bidi="ar"/>
              </w:rPr>
              <w:t>五华坚果”全产业链产值</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162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亿元</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7E6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819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70A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537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06DC6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113" w:type="dxa"/>
            <w:vMerge w:val="continue"/>
            <w:tcBorders>
              <w:left w:val="single" w:color="000000" w:sz="4" w:space="0"/>
              <w:bottom w:val="nil"/>
              <w:right w:val="single" w:color="000000" w:sz="4" w:space="0"/>
            </w:tcBorders>
            <w:shd w:val="clear" w:color="auto" w:fill="auto"/>
            <w:vAlign w:val="center"/>
          </w:tcPr>
          <w:p w14:paraId="697BA0AB">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8EA88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100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国家现代农业产业园或省级“补改投”产业园培育</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E5C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个</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E91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7F6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5FC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8AB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45742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773CB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和美乡村</w:t>
            </w:r>
          </w:p>
          <w:p w14:paraId="4C8686A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宜居宜业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29CE44">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501C">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典型村片区培育</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606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个</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B95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A786">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49B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C76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15857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472AC">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65B56">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2DC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美丽宜居村达标率</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E23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E92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80</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B93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7D2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42E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1F10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54BDC">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5140B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404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农村生活饮用水水质</w:t>
            </w:r>
          </w:p>
          <w:p w14:paraId="5DADEBE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合格率</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816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0A3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EA4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B29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D87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7DE42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CD9A7">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DA8CA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18</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01AE">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农村生活污水治理率</w:t>
            </w:r>
          </w:p>
          <w:p w14:paraId="77BD33DC">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（含资源化利用）</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8559">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EAB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76</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BC1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F2BC">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CAE6">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r w14:paraId="6109B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7AD4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精勤农民</w:t>
            </w:r>
          </w:p>
          <w:p w14:paraId="4237821A">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富裕富足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5BF2A5">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FD1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农村居民人均可支配收入</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4EF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元</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41F3">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ADE6">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596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与经济增长基本同步</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E817">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约束性</w:t>
            </w:r>
          </w:p>
        </w:tc>
      </w:tr>
      <w:tr w14:paraId="0E8AE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BC615">
            <w:pPr>
              <w:snapToGrid w:val="0"/>
              <w:ind w:left="0" w:leftChars="0" w:right="0" w:rightChars="0" w:firstLine="0" w:firstLineChars="0"/>
              <w:jc w:val="center"/>
              <w:rPr>
                <w:rFonts w:hint="eastAsia" w:ascii="仿宋" w:hAnsi="仿宋" w:eastAsia="仿宋" w:cs="仿宋"/>
                <w:i w:val="0"/>
                <w:iCs w:val="0"/>
                <w:color w:val="auto"/>
                <w:sz w:val="21"/>
                <w:szCs w:val="21"/>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93F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w:t>
            </w:r>
          </w:p>
        </w:tc>
        <w:tc>
          <w:tcPr>
            <w:tcW w:w="2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F806">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农村职业技能培训人次</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4BFD">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万人</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468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17C0">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762F">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3582">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预期性</w:t>
            </w:r>
          </w:p>
        </w:tc>
      </w:tr>
    </w:tbl>
    <w:p w14:paraId="7CC63A59">
      <w:pPr>
        <w:pStyle w:val="5"/>
        <w:bidi w:val="0"/>
        <w:rPr>
          <w:rFonts w:hint="eastAsia"/>
          <w:color w:val="auto"/>
          <w:rtl w:val="0"/>
          <w:lang w:val="en-US" w:eastAsia="zh-CN"/>
        </w:rPr>
      </w:pPr>
    </w:p>
    <w:p w14:paraId="411ACBC8">
      <w:pPr>
        <w:bidi w:val="0"/>
        <w:rPr>
          <w:rFonts w:hint="eastAsia"/>
          <w:color w:val="auto"/>
          <w:lang w:val="en-US" w:eastAsia="zh-CN"/>
        </w:rPr>
      </w:pPr>
      <w:r>
        <w:rPr>
          <w:rFonts w:hint="eastAsia"/>
          <w:color w:val="auto"/>
          <w:lang w:val="en-US" w:eastAsia="zh-CN"/>
        </w:rPr>
        <w:br w:type="page"/>
      </w:r>
    </w:p>
    <w:p w14:paraId="7622F64F">
      <w:pPr>
        <w:pStyle w:val="2"/>
        <w:numPr>
          <w:ilvl w:val="0"/>
          <w:numId w:val="0"/>
        </w:numPr>
        <w:bidi w:val="0"/>
        <w:rPr>
          <w:rFonts w:hint="eastAsia"/>
          <w:color w:val="auto"/>
          <w:rtl w:val="0"/>
          <w:lang w:val="en-US" w:eastAsia="zh-CN"/>
        </w:rPr>
      </w:pPr>
      <w:bookmarkStart w:id="52" w:name="_Toc7330"/>
      <w:bookmarkStart w:id="53" w:name="_Toc12649"/>
      <w:bookmarkStart w:id="54" w:name="_Toc14893"/>
      <w:r>
        <w:rPr>
          <w:rFonts w:hint="eastAsia"/>
          <w:color w:val="auto"/>
          <w:rtl w:val="0"/>
          <w:lang w:val="en-US" w:eastAsia="zh-CN"/>
        </w:rPr>
        <w:t>第三章  城乡空间格局与区域协同发展</w:t>
      </w:r>
      <w:bookmarkEnd w:id="52"/>
      <w:bookmarkEnd w:id="53"/>
      <w:bookmarkEnd w:id="54"/>
    </w:p>
    <w:p w14:paraId="44A72310">
      <w:pPr>
        <w:pStyle w:val="3"/>
        <w:bidi w:val="0"/>
        <w:rPr>
          <w:rFonts w:hint="eastAsia"/>
          <w:color w:val="auto"/>
          <w:rtl w:val="0"/>
          <w:lang w:val="en-US" w:eastAsia="zh-CN"/>
        </w:rPr>
      </w:pPr>
      <w:bookmarkStart w:id="55" w:name="_Toc17876"/>
      <w:bookmarkStart w:id="56" w:name="_Toc26336"/>
      <w:bookmarkStart w:id="57" w:name="_Toc32652"/>
      <w:bookmarkStart w:id="58" w:name="_Toc11389"/>
      <w:r>
        <w:rPr>
          <w:rFonts w:hint="eastAsia"/>
          <w:color w:val="auto"/>
          <w:rtl w:val="0"/>
          <w:lang w:val="en-US" w:eastAsia="zh-CN"/>
        </w:rPr>
        <w:t>第一节 优化功能分区 构建新发展格局</w:t>
      </w:r>
      <w:bookmarkEnd w:id="55"/>
      <w:bookmarkEnd w:id="56"/>
    </w:p>
    <w:p w14:paraId="06CAE9D6">
      <w:pPr>
        <w:pStyle w:val="5"/>
        <w:bidi w:val="0"/>
        <w:rPr>
          <w:rFonts w:hint="eastAsia"/>
          <w:color w:val="auto"/>
          <w:rtl w:val="0"/>
          <w:lang w:val="en-US" w:eastAsia="zh-CN"/>
        </w:rPr>
      </w:pPr>
      <w:r>
        <w:rPr>
          <w:rFonts w:hint="eastAsia"/>
          <w:color w:val="auto"/>
          <w:rtl w:val="0"/>
          <w:lang w:val="en-US" w:eastAsia="zh-CN"/>
        </w:rPr>
        <w:t>“十五五”期间，五华县将立足资源禀赋和区位条件，进一步强化空间协同，突出功能特色，推动农文旅深度融合，构建“核心引领、分区协同、轴带联动”的农业农村发展新局面。</w:t>
      </w:r>
    </w:p>
    <w:p w14:paraId="40A8AA75">
      <w:pPr>
        <w:pStyle w:val="4"/>
        <w:bidi w:val="0"/>
        <w:rPr>
          <w:rFonts w:hint="default"/>
          <w:color w:val="auto"/>
          <w:rtl w:val="0"/>
          <w:lang w:val="en-US" w:eastAsia="zh-CN"/>
        </w:rPr>
      </w:pPr>
      <w:r>
        <w:rPr>
          <w:rFonts w:hint="eastAsia"/>
          <w:color w:val="auto"/>
          <w:rtl w:val="0"/>
          <w:lang w:val="en-US" w:eastAsia="zh-CN"/>
        </w:rPr>
        <w:t>一、塑造“一核”：打造全县农业产业引擎核心</w:t>
      </w:r>
    </w:p>
    <w:p w14:paraId="43951291">
      <w:pPr>
        <w:pStyle w:val="5"/>
        <w:bidi w:val="0"/>
        <w:rPr>
          <w:rFonts w:hint="eastAsia"/>
          <w:color w:val="auto"/>
          <w:rtl w:val="0"/>
          <w:lang w:val="en-US" w:eastAsia="zh-CN"/>
        </w:rPr>
      </w:pPr>
      <w:r>
        <w:rPr>
          <w:rFonts w:hint="eastAsia"/>
          <w:color w:val="auto"/>
          <w:rtl w:val="0"/>
          <w:lang w:val="en-US" w:eastAsia="zh-CN"/>
        </w:rPr>
        <w:t>以水寨镇为核心的县城中心城区，突出农业服务功能，强化农业科技创新、农技服务平台，加大科技支撑。着力建设全县农业综合服务中心、加工流通中心、品牌营销中心和科技创新中心，集聚龙头企业、研发机构、电商平台与现代服务业，打造区域性特色农业产业的“中枢大脑”和“产业心脏”。加快特色农业产业集群建设，重点开展农业产业社区、农产品精深加工基地、冷链物流园、综合交易市场等建设；做强做响“五华菩米”“五华鱼生”“五华坚果”等特色农产品品牌，提升农产品附加值和市场竞争力；打造“五华优选”区域公共品牌体系，完善冷链仓储、商贸物流和线上线下营销网络，带动全县资源要素高效流动和产业能级整体提升；发展智慧农业、设施农业，承接粤港澳大湾区市场需求；以县城为龙头，带动华城镇、安流镇两个县域副中心联动，形成“一主两副”城镇空间格局，辐射全域农业产业发展。</w:t>
      </w:r>
    </w:p>
    <w:p w14:paraId="117DB047">
      <w:pPr>
        <w:pStyle w:val="4"/>
        <w:bidi w:val="0"/>
        <w:rPr>
          <w:rFonts w:hint="eastAsia"/>
          <w:color w:val="auto"/>
          <w:rtl w:val="0"/>
          <w:lang w:val="en-US" w:eastAsia="zh-CN"/>
        </w:rPr>
      </w:pPr>
      <w:r>
        <w:rPr>
          <w:rFonts w:hint="eastAsia"/>
          <w:color w:val="auto"/>
          <w:rtl w:val="0"/>
          <w:lang w:val="en-US" w:eastAsia="zh-CN"/>
        </w:rPr>
        <w:t>二、协同“三区”：农业产业差异化发展</w:t>
      </w:r>
    </w:p>
    <w:p w14:paraId="1BA2F62C">
      <w:pPr>
        <w:pStyle w:val="5"/>
        <w:bidi w:val="0"/>
        <w:rPr>
          <w:rFonts w:hint="eastAsia"/>
          <w:color w:val="auto"/>
          <w:rtl w:val="0"/>
          <w:lang w:val="en-US" w:eastAsia="zh-CN"/>
        </w:rPr>
      </w:pPr>
      <w:r>
        <w:rPr>
          <w:rFonts w:hint="eastAsia"/>
          <w:color w:val="auto"/>
          <w:rtl w:val="0"/>
          <w:lang w:val="en-US" w:eastAsia="zh-CN"/>
        </w:rPr>
        <w:t>依托资源禀赋、区位条件和产业基础，协同互补优化区域布局，打造“南部茶旅融合区、中部产城服务区、北部特色产业区”三大功能板块，实现特色农业产业连片培育差异化发展。</w:t>
      </w:r>
    </w:p>
    <w:p w14:paraId="21F490C2">
      <w:pPr>
        <w:pStyle w:val="5"/>
        <w:bidi w:val="0"/>
        <w:rPr>
          <w:rFonts w:hint="eastAsia"/>
          <w:color w:val="auto"/>
          <w:rtl w:val="0"/>
          <w:lang w:val="en-US" w:eastAsia="zh-CN"/>
        </w:rPr>
      </w:pPr>
      <w:r>
        <w:rPr>
          <w:rFonts w:hint="eastAsia" w:ascii="楷体_GB2312" w:hAnsi="楷体_GB2312" w:eastAsia="楷体_GB2312" w:cs="楷体_GB2312"/>
          <w:b/>
          <w:bCs/>
          <w:color w:val="auto"/>
          <w:rtl w:val="0"/>
          <w:lang w:val="en-US" w:eastAsia="zh-CN"/>
        </w:rPr>
        <w:t>南部：天柱山茶文旅聚集区。</w:t>
      </w:r>
      <w:r>
        <w:rPr>
          <w:rFonts w:hint="eastAsia"/>
          <w:color w:val="auto"/>
          <w:rtl w:val="0"/>
          <w:lang w:val="en-US" w:eastAsia="zh-CN"/>
        </w:rPr>
        <w:t>以龙村、华阳、梅林、安流、棉洋为核心区域，立足南部山地生态禀赋与悠久茶叶种植传统，推动茶产业与文旅产业深度融合，打造特色鲜明、业态丰富的茶旅融合产业集群。</w:t>
      </w:r>
    </w:p>
    <w:p w14:paraId="3BFA4260">
      <w:pPr>
        <w:pStyle w:val="5"/>
        <w:bidi w:val="0"/>
        <w:rPr>
          <w:rFonts w:hint="eastAsia"/>
          <w:color w:val="auto"/>
          <w:rtl w:val="0"/>
          <w:lang w:val="en-US" w:eastAsia="zh-CN"/>
        </w:rPr>
      </w:pPr>
      <w:r>
        <w:rPr>
          <w:rFonts w:hint="eastAsia"/>
          <w:color w:val="auto"/>
          <w:rtl w:val="0"/>
          <w:lang w:val="en-US" w:eastAsia="zh-CN"/>
        </w:rPr>
        <w:t>聚焦茶产业提质增效，重点开展绿色生态茶园提档升级、标准化智慧茶园基地、茶文旅产业带等建设，完善茶叶种植、采摘、加工全链条标准化体系；强化品牌培育力度，重点打造以“五华炒绿”为龙头的七畲径茶、登云嶂茶等特色茶品牌，提升“五华炒绿”品牌知名度与市场竞争力。</w:t>
      </w:r>
    </w:p>
    <w:p w14:paraId="37211893">
      <w:pPr>
        <w:pStyle w:val="5"/>
        <w:bidi w:val="0"/>
        <w:rPr>
          <w:rFonts w:hint="eastAsia" w:ascii="Times New Roman" w:hAnsi="Times New Roman" w:eastAsia="FangSong_GB2312" w:cs="Times New Roman"/>
          <w:color w:val="auto"/>
          <w:kern w:val="2"/>
          <w:sz w:val="32"/>
          <w:szCs w:val="20"/>
          <w:rtl w:val="0"/>
          <w:lang w:val="en-US" w:eastAsia="zh-CN" w:bidi="ar-SA"/>
        </w:rPr>
      </w:pPr>
      <w:r>
        <w:rPr>
          <w:rFonts w:hint="eastAsia"/>
          <w:color w:val="auto"/>
          <w:rtl w:val="0"/>
          <w:lang w:val="en-US" w:eastAsia="zh-CN"/>
        </w:rPr>
        <w:t>资源融合推进茶旅集群发展，依托棉洋天柱山、松岗嶂生态茶园和七畲径林场的生态优势，龙村三市界生态休闲园、登云嶂茶旅园的茶旅基础，梅林、安流丹霞地貌景观、红色基因、客家民俗、休闲康养等元素深度融合，大力培育茶文旅体验、生态康养、红色研学、民宿体验等新业态，完善旅游配套设施，串联特色茶旅节点，构建全域茶文旅发展格局，打造辐射周边、具有核心竞争力的南部天柱山茶旅融合产业集群</w:t>
      </w:r>
      <w:r>
        <w:rPr>
          <w:rFonts w:hint="eastAsia" w:ascii="Times New Roman" w:hAnsi="Times New Roman" w:eastAsia="FangSong_GB2312" w:cs="Times New Roman"/>
          <w:color w:val="auto"/>
          <w:kern w:val="2"/>
          <w:sz w:val="32"/>
          <w:szCs w:val="20"/>
          <w:rtl w:val="0"/>
          <w:lang w:val="en-US" w:eastAsia="zh-CN" w:bidi="ar-SA"/>
        </w:rPr>
        <w:t>。</w:t>
      </w:r>
    </w:p>
    <w:p w14:paraId="612AC16D">
      <w:pPr>
        <w:pStyle w:val="5"/>
        <w:bidi w:val="0"/>
        <w:rPr>
          <w:rFonts w:hint="eastAsia"/>
          <w:color w:val="auto"/>
          <w:rtl w:val="0"/>
          <w:lang w:val="en-US" w:eastAsia="zh-CN"/>
        </w:rPr>
      </w:pPr>
      <w:r>
        <w:rPr>
          <w:rFonts w:hint="eastAsia" w:ascii="楷体_GB2312" w:hAnsi="楷体_GB2312" w:eastAsia="楷体_GB2312" w:cs="楷体_GB2312"/>
          <w:b/>
          <w:bCs/>
          <w:color w:val="auto"/>
          <w:rtl w:val="0"/>
          <w:lang w:val="en-US" w:eastAsia="zh-CN"/>
        </w:rPr>
        <w:t>中部：产城协同和美服务区。</w:t>
      </w:r>
      <w:r>
        <w:rPr>
          <w:rFonts w:hint="eastAsia"/>
          <w:color w:val="auto"/>
          <w:rtl w:val="0"/>
          <w:lang w:val="en-US" w:eastAsia="zh-CN"/>
        </w:rPr>
        <w:t>以县城水寨为核心，联动河东、横陂，辐射郭田、双华，坚持粮食、果蔬产业和美丽乡村建设深度融合，推动城乡空间和山水田园联动，打造宜居宜业、美美与共综合服务功能区，筑牢县域农业高质量发展核心支撑。</w:t>
      </w:r>
    </w:p>
    <w:p w14:paraId="0FE979CB">
      <w:pPr>
        <w:pStyle w:val="5"/>
        <w:bidi w:val="0"/>
        <w:rPr>
          <w:rFonts w:hint="eastAsia"/>
          <w:color w:val="auto"/>
          <w:rtl w:val="0"/>
          <w:lang w:val="en-US" w:eastAsia="zh-CN"/>
        </w:rPr>
      </w:pPr>
      <w:r>
        <w:rPr>
          <w:rFonts w:hint="eastAsia"/>
          <w:color w:val="auto"/>
          <w:rtl w:val="0"/>
          <w:lang w:val="en-US" w:eastAsia="zh-CN"/>
        </w:rPr>
        <w:t>着力培育壮大丝苗米、蔬菜和特色水果产业，充分挖掘五华菩米、五华鱼生和中国足球之乡特色IP品牌先发优势，延伸农产品加工链条，重点推动农业新质生产力赋能“五华菩米”“五华鱼生”“五华红薯”产业高质量发展，加大品牌培育力度，强化品牌助力作用，促进优势农业产业向科技化、品牌化、规模化转型，高标准建设稻米精深加工与消费体验区。</w:t>
      </w:r>
    </w:p>
    <w:p w14:paraId="7EC9EE9F">
      <w:pPr>
        <w:pStyle w:val="5"/>
        <w:bidi w:val="0"/>
        <w:rPr>
          <w:rFonts w:hint="eastAsia"/>
          <w:color w:val="auto"/>
          <w:rtl w:val="0"/>
          <w:lang w:val="en-US" w:eastAsia="zh-CN"/>
        </w:rPr>
      </w:pPr>
      <w:r>
        <w:rPr>
          <w:rFonts w:hint="eastAsia"/>
          <w:color w:val="auto"/>
          <w:rtl w:val="0"/>
          <w:lang w:val="en-US" w:eastAsia="zh-CN"/>
        </w:rPr>
        <w:t>依托水库水资源优势，大力发展赤眼鳟等鱼生专用特色水产养殖业，构建“五华鱼生”标准化原料安全供应体系，保障产品品质与市场口碑。培育壮大粉丝加工、高山红薯、蜂蜜、茶亭岗金柚、双华板栗等乡村特色产业，完善冷链物流和电商销售平台，打通农产品产销“最后一公里”。强化产城融合多元服务功能，整合农产品加工、商贸农批、美食文旅、特色IP品牌、电商物流等业态，打造多功能集成、多产业联动的综合服务区。</w:t>
      </w:r>
    </w:p>
    <w:p w14:paraId="5F741C01">
      <w:pPr>
        <w:pStyle w:val="5"/>
        <w:bidi w:val="0"/>
        <w:rPr>
          <w:rFonts w:hint="eastAsia"/>
          <w:color w:val="auto"/>
          <w:rtl w:val="0"/>
          <w:lang w:val="en-US" w:eastAsia="zh-CN"/>
        </w:rPr>
      </w:pPr>
      <w:r>
        <w:rPr>
          <w:rFonts w:hint="eastAsia" w:ascii="楷体_GB2312" w:hAnsi="楷体_GB2312" w:eastAsia="楷体_GB2312" w:cs="楷体_GB2312"/>
          <w:b/>
          <w:bCs/>
          <w:color w:val="auto"/>
          <w:rtl w:val="0"/>
          <w:lang w:val="en-US" w:eastAsia="zh-CN"/>
        </w:rPr>
        <w:t>北部：特色产业融合发展区。</w:t>
      </w:r>
      <w:r>
        <w:rPr>
          <w:rFonts w:hint="eastAsia"/>
          <w:color w:val="auto"/>
          <w:rtl w:val="0"/>
          <w:lang w:val="en-US" w:eastAsia="zh-CN"/>
        </w:rPr>
        <w:t>以转水、华城、岐岭、潭下、长布、周江六镇为核心区域，立足北部山地资源与产业基础，聚焦药材种植与特色果品两大核心，推动产业融合发展，打造“药材+康养+文旅”“果品+文化+旅游”的特色产业集群，筑牢县域北部产业发展根基。</w:t>
      </w:r>
    </w:p>
    <w:p w14:paraId="7A323A96">
      <w:pPr>
        <w:pStyle w:val="5"/>
        <w:bidi w:val="0"/>
        <w:rPr>
          <w:rFonts w:hint="eastAsia"/>
          <w:color w:val="auto"/>
          <w:rtl w:val="0"/>
          <w:lang w:val="en-US" w:eastAsia="zh-CN"/>
        </w:rPr>
      </w:pPr>
      <w:r>
        <w:rPr>
          <w:rFonts w:hint="eastAsia"/>
          <w:color w:val="auto"/>
          <w:rtl w:val="0"/>
          <w:lang w:val="en-US" w:eastAsia="zh-CN"/>
        </w:rPr>
        <w:t>立足牛大力、五指毛桃、灵芝等特色南药资源，重点构建“种植—加工—品牌”一体化发展体系，规范种植标准、提升加工水平、强化品牌培育，推动南药产业规模化、标准化、品牌化发展。深度联动康养旅游与客家文化，整合南药种植基地、加工园区与客家民俗资源，建设“药材+康养+文旅”融合发展区，推动南药产业与康养服务深度衔接。</w:t>
      </w:r>
    </w:p>
    <w:p w14:paraId="55656208">
      <w:pPr>
        <w:pStyle w:val="5"/>
        <w:bidi w:val="0"/>
        <w:rPr>
          <w:rFonts w:hint="eastAsia"/>
          <w:color w:val="auto"/>
          <w:rtl w:val="0"/>
          <w:lang w:val="en-US" w:eastAsia="zh-CN"/>
        </w:rPr>
      </w:pPr>
      <w:r>
        <w:rPr>
          <w:rFonts w:hint="eastAsia"/>
          <w:color w:val="auto"/>
          <w:rtl w:val="0"/>
          <w:lang w:val="en-US" w:eastAsia="zh-CN"/>
        </w:rPr>
        <w:t>依托北部热矿泥温泉、大眉山古驿道等优质资源，充分挖掘药养文化内涵，拓展药养结合、研学旅游、生态康养等新业态，完善康养配套设施，打造特色康养体验目的地。同时，强化百香果、果合柿、荔枝、鹰嘴桃等特色果品产业，加大品种改良与品质提升力度，推动果品品牌认证与精深加工，延伸果品产业链、提升附加值。潭下镇重点发展菩米加工，长布镇作为“五华坚果”重要种植基地，做大做强坚果产业。逐步壮大北部药材与特色水果产业集群，推动北部区域产业高质量发展。</w:t>
      </w:r>
    </w:p>
    <w:p w14:paraId="024921F8">
      <w:pPr>
        <w:pStyle w:val="4"/>
        <w:bidi w:val="0"/>
        <w:rPr>
          <w:rFonts w:hint="eastAsia"/>
          <w:color w:val="auto"/>
          <w:rtl w:val="0"/>
          <w:lang w:val="en-US" w:eastAsia="zh-CN"/>
        </w:rPr>
      </w:pPr>
      <w:r>
        <w:rPr>
          <w:rFonts w:hint="eastAsia"/>
          <w:color w:val="auto"/>
          <w:rtl w:val="0"/>
          <w:lang w:val="en-US" w:eastAsia="zh-CN"/>
        </w:rPr>
        <w:t>三、打造“一主二副”产业发展带：贯穿城乡的联动发展产业走廊</w:t>
      </w:r>
    </w:p>
    <w:p w14:paraId="1ED29B4A">
      <w:pPr>
        <w:pStyle w:val="5"/>
        <w:bidi w:val="0"/>
        <w:rPr>
          <w:rFonts w:hint="eastAsia"/>
          <w:color w:val="auto"/>
          <w:rtl w:val="0"/>
          <w:lang w:val="en-US" w:eastAsia="zh-CN"/>
        </w:rPr>
      </w:pPr>
      <w:r>
        <w:rPr>
          <w:rFonts w:hint="eastAsia"/>
          <w:color w:val="auto"/>
          <w:rtl w:val="0"/>
          <w:lang w:val="en-US" w:eastAsia="zh-CN"/>
        </w:rPr>
        <w:t>依托县域主干交通和琴江—五华河流域空间，统筹空间布局、产业资源要素配置，构建“一主二副”产业发展带，强化产业集聚、促进要素自由流动、深化空间整合联动，推动农业全链条提质升级，实现农文旅深度融合，打造贯穿城乡、辐射全域、特色鲜明的产业联动发展格局，为县域经济高质量发展注入强劲动力。</w:t>
      </w:r>
    </w:p>
    <w:p w14:paraId="6300DFAC">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主发展带（岐岭－华城－转水－县城－安流-梅林－龙村）。</w:t>
      </w:r>
      <w:r>
        <w:rPr>
          <w:rFonts w:hint="eastAsia"/>
          <w:color w:val="auto"/>
          <w:rtl w:val="0"/>
          <w:lang w:val="en-US" w:eastAsia="zh-CN"/>
        </w:rPr>
        <w:t>全县产业发展的核心主轴，串联县城功能核心区与南北各重要镇域节点，形成贯通南北、辐射全域的综合产业走廊。</w:t>
      </w:r>
    </w:p>
    <w:p w14:paraId="6B58F28E">
      <w:pPr>
        <w:pStyle w:val="5"/>
        <w:bidi w:val="0"/>
        <w:rPr>
          <w:rFonts w:hint="eastAsia"/>
          <w:color w:val="auto"/>
          <w:rtl w:val="0"/>
          <w:lang w:val="en-US" w:eastAsia="zh-CN"/>
        </w:rPr>
      </w:pPr>
      <w:r>
        <w:rPr>
          <w:rFonts w:hint="eastAsia"/>
          <w:color w:val="auto"/>
          <w:rtl w:val="0"/>
          <w:lang w:val="en-US" w:eastAsia="zh-CN"/>
        </w:rPr>
        <w:t>着力强化产业链条完整性，健全稻谷烘干、标准化仓储、精深加工与智慧流通体系，依托县城加工园区平台优势和品牌孵化能力，推动“五华菩米”实现标准化生产、规模化经营、品牌化发展，打造全县乃至区域内具有影响力的稻米产业高地。</w:t>
      </w:r>
    </w:p>
    <w:p w14:paraId="117335B4">
      <w:pPr>
        <w:pStyle w:val="5"/>
        <w:bidi w:val="0"/>
        <w:rPr>
          <w:rFonts w:hint="eastAsia"/>
          <w:color w:val="auto"/>
          <w:rtl w:val="0"/>
          <w:lang w:val="en-US" w:eastAsia="zh-CN"/>
        </w:rPr>
      </w:pPr>
      <w:r>
        <w:rPr>
          <w:rFonts w:hint="eastAsia"/>
          <w:color w:val="auto"/>
          <w:rtl w:val="0"/>
          <w:lang w:val="en-US" w:eastAsia="zh-CN"/>
        </w:rPr>
        <w:t>深度挖掘沿线镇域特色产业资源，推动产业跨界融合发展。依托岐岭酒业产业基础，培育壮大白酒酿造产业链，推动酒文化与文旅产业结合；借助转水文旅康养资源，重点发展文旅康养产业，打造集休闲度假、康养旅居、生态体验于一体的特色片区；深挖梅林镇红色文化底蕴，打造红色教育、红色研学、红色旅游精品线路；依托龙村茶旅融合资源，推动茶叶种植、加工与乡村旅游深度绑定，推动“粮—酒—茶—旅”多链联动，多业融合，形成贯通南北、辐射全域的综合产业走廊。</w:t>
      </w:r>
    </w:p>
    <w:p w14:paraId="4DFD473E">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副发展带一（华城—潭下—长布）。</w:t>
      </w:r>
      <w:r>
        <w:rPr>
          <w:rFonts w:hint="eastAsia"/>
          <w:color w:val="auto"/>
          <w:rtl w:val="0"/>
          <w:lang w:val="en-US" w:eastAsia="zh-CN"/>
        </w:rPr>
        <w:t>依托华城的粮食加工与果蔬基地、潭下的菩米和鹰嘴桃、长布的产业集群，重点打造“粮果加工+农旅体验”融合发展带。完善预冷分拣、冷链物流、展销节点，推动菩米加工与鹰嘴桃品牌化运营，培育“农产品节庆+休闲旅游+文化体验”相结合的新场景。通过乡村旅游线路、农耕文化展示、果园采摘活动等载体，推动产业链条延伸和消费场景扩容。</w:t>
      </w:r>
    </w:p>
    <w:p w14:paraId="1A74A62B">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副发展带二（长布—周江—安流—棉洋）。</w:t>
      </w:r>
      <w:r>
        <w:rPr>
          <w:rFonts w:hint="eastAsia"/>
          <w:color w:val="auto"/>
          <w:rtl w:val="0"/>
          <w:lang w:val="en-US" w:eastAsia="zh-CN"/>
        </w:rPr>
        <w:t>以五华坚果、茶叶、蔬菜、百香果等产业为基础，依托棉洋茶乡品牌、龙村茶旅园区的互促效应，打造“茶旅研学+加工集聚+数字电商”协同走廊。重点完善茶叶标准化基地和加工环节，推动品牌营销，结合电商直播平台开拓更大市场。通过茶文化体验馆、田园观光、农旅线路，将农产品转化为旅游消费品，形成南北呼应、东西贯通的产业互动带。</w:t>
      </w:r>
    </w:p>
    <w:p w14:paraId="3A66B6D0">
      <w:pPr>
        <w:pStyle w:val="3"/>
        <w:bidi w:val="0"/>
        <w:rPr>
          <w:rFonts w:hint="default"/>
          <w:color w:val="auto"/>
          <w:rtl w:val="0"/>
          <w:lang w:val="en-US" w:eastAsia="zh-CN"/>
        </w:rPr>
      </w:pPr>
      <w:bookmarkStart w:id="59" w:name="_Toc31810"/>
      <w:bookmarkStart w:id="60" w:name="_Toc24761"/>
      <w:r>
        <w:rPr>
          <w:rFonts w:hint="eastAsia"/>
          <w:color w:val="auto"/>
          <w:rtl w:val="0"/>
          <w:lang w:val="en-US" w:eastAsia="zh-CN"/>
        </w:rPr>
        <w:t xml:space="preserve">第二节 </w:t>
      </w:r>
      <w:bookmarkEnd w:id="59"/>
      <w:r>
        <w:rPr>
          <w:rFonts w:hint="eastAsia"/>
          <w:color w:val="auto"/>
          <w:rtl w:val="0"/>
          <w:lang w:val="en-US" w:eastAsia="zh-CN"/>
        </w:rPr>
        <w:t>推动协同发展 引领镇域产业聚集发展</w:t>
      </w:r>
      <w:bookmarkEnd w:id="60"/>
    </w:p>
    <w:p w14:paraId="2C633AD4">
      <w:pPr>
        <w:pStyle w:val="5"/>
        <w:bidi w:val="0"/>
        <w:rPr>
          <w:rFonts w:hint="eastAsia"/>
          <w:color w:val="auto"/>
          <w:rtl w:val="0"/>
          <w:lang w:val="en-US" w:eastAsia="zh-CN"/>
        </w:rPr>
      </w:pPr>
      <w:r>
        <w:rPr>
          <w:rFonts w:hint="eastAsia"/>
          <w:color w:val="auto"/>
          <w:rtl w:val="0"/>
          <w:lang w:val="en-US" w:eastAsia="zh-CN"/>
        </w:rPr>
        <w:t>坚持“整体谋划、统筹发展”的思路，以“三区”功能定位为引领，明确各镇村农业产业发展方向，强化镇域间产业协同、功能互补、资源共享，破除发展壁垒，形成镇域竞相发展、板块合力提升、全域协同共进的生动发展格局，推动镇域农业产业高质量聚集发展。</w:t>
      </w:r>
    </w:p>
    <w:p w14:paraId="1A225C09">
      <w:pPr>
        <w:pStyle w:val="4"/>
        <w:bidi w:val="0"/>
        <w:ind w:left="0" w:leftChars="0" w:firstLine="0" w:firstLineChars="0"/>
        <w:rPr>
          <w:rFonts w:hint="eastAsia"/>
          <w:color w:val="auto"/>
          <w:rtl w:val="0"/>
          <w:lang w:val="en-US" w:eastAsia="zh-CN"/>
        </w:rPr>
      </w:pPr>
      <w:r>
        <w:rPr>
          <w:rFonts w:hint="eastAsia"/>
          <w:color w:val="auto"/>
          <w:rtl w:val="0"/>
          <w:lang w:val="en-US" w:eastAsia="zh-CN"/>
        </w:rPr>
        <w:t>一、南部茶旅融合区：茶业主导，打造融合发展标杆</w:t>
      </w:r>
    </w:p>
    <w:p w14:paraId="296B1887">
      <w:pPr>
        <w:pStyle w:val="5"/>
        <w:bidi w:val="0"/>
        <w:rPr>
          <w:rFonts w:hint="eastAsia"/>
          <w:color w:val="auto"/>
          <w:rtl w:val="0"/>
          <w:lang w:val="en-US" w:eastAsia="zh-CN"/>
        </w:rPr>
      </w:pPr>
      <w:r>
        <w:rPr>
          <w:rFonts w:hint="eastAsia"/>
          <w:color w:val="auto"/>
          <w:rtl w:val="0"/>
          <w:lang w:val="en-US" w:eastAsia="zh-CN"/>
        </w:rPr>
        <w:t>以茶叶产业为核心，立足生态资源优势，全力建设集标准化生产、品牌培育、茶旅融合于一体的现代茶产业集群，推动茶叶产业提质增效，带动群众增收致富。</w:t>
      </w:r>
    </w:p>
    <w:p w14:paraId="5CDDA045">
      <w:pPr>
        <w:pStyle w:val="5"/>
        <w:bidi w:val="0"/>
        <w:rPr>
          <w:rFonts w:hint="eastAsia"/>
          <w:color w:val="auto"/>
          <w:rtl w:val="0"/>
          <w:lang w:val="en-US" w:eastAsia="zh-CN"/>
        </w:rPr>
      </w:pPr>
      <w:r>
        <w:rPr>
          <w:rFonts w:hint="eastAsia"/>
          <w:color w:val="auto"/>
          <w:rtl w:val="0"/>
          <w:lang w:val="en-US" w:eastAsia="zh-CN"/>
        </w:rPr>
        <w:t>棉洋镇：以“茶韵棉洋、客乡新貌”为发展方向，聚焦茶叶品牌提升与市场开拓，深耕茶叶标准化种植、精细化加工，打造粤东知名茶乡，推动茶产业向品牌化转型。</w:t>
      </w:r>
    </w:p>
    <w:p w14:paraId="23E386B9">
      <w:pPr>
        <w:pStyle w:val="5"/>
        <w:bidi w:val="0"/>
        <w:rPr>
          <w:rFonts w:hint="eastAsia"/>
          <w:color w:val="auto"/>
          <w:rtl w:val="0"/>
          <w:lang w:val="en-US" w:eastAsia="zh-CN"/>
        </w:rPr>
      </w:pPr>
      <w:r>
        <w:rPr>
          <w:rFonts w:hint="eastAsia"/>
          <w:color w:val="auto"/>
          <w:rtl w:val="0"/>
          <w:lang w:val="en-US" w:eastAsia="zh-CN"/>
        </w:rPr>
        <w:t>龙村镇：围绕“茶山云海、魅力龙村”定位，强化龙头企业示范带动作用，推动茶叶种植、加工与绿色能源产业深度融合，创新茶旅融合发展新模式，拓宽产业发展路径。</w:t>
      </w:r>
    </w:p>
    <w:p w14:paraId="5F260D6C">
      <w:pPr>
        <w:pStyle w:val="5"/>
        <w:bidi w:val="0"/>
        <w:rPr>
          <w:rFonts w:hint="eastAsia"/>
          <w:color w:val="auto"/>
          <w:rtl w:val="0"/>
          <w:lang w:val="en-US" w:eastAsia="zh-CN"/>
        </w:rPr>
      </w:pPr>
      <w:r>
        <w:rPr>
          <w:rFonts w:hint="eastAsia"/>
          <w:color w:val="auto"/>
          <w:rtl w:val="0"/>
          <w:lang w:val="en-US" w:eastAsia="zh-CN"/>
        </w:rPr>
        <w:t>双华镇：立足“红色热土、森林小镇”定位，发挥生态禀赋优势，协同发展茶叶与林下经济、红色文化等多元业态，实现茶产业引领、多业态融合的发展路径。</w:t>
      </w:r>
    </w:p>
    <w:p w14:paraId="150D162A">
      <w:pPr>
        <w:pStyle w:val="5"/>
        <w:bidi w:val="0"/>
        <w:rPr>
          <w:rFonts w:hint="eastAsia"/>
          <w:color w:val="auto"/>
          <w:rtl w:val="0"/>
          <w:lang w:val="en-US" w:eastAsia="zh-CN"/>
        </w:rPr>
      </w:pPr>
      <w:r>
        <w:rPr>
          <w:rFonts w:hint="eastAsia"/>
          <w:color w:val="auto"/>
          <w:rtl w:val="0"/>
          <w:lang w:val="en-US" w:eastAsia="zh-CN"/>
        </w:rPr>
        <w:t>梅林镇：立足“红色故土、幸福梅林”定位，深化红色文化与绿色生态资源结合，整合红色研学基地与生态茶园资源，打造集红色研学、生态采摘、休闲体验于一体的融合发展示范区。</w:t>
      </w:r>
    </w:p>
    <w:p w14:paraId="18B37E92">
      <w:pPr>
        <w:pStyle w:val="5"/>
        <w:bidi w:val="0"/>
        <w:rPr>
          <w:rFonts w:hint="eastAsia"/>
          <w:color w:val="auto"/>
          <w:rtl w:val="0"/>
          <w:lang w:val="en-US" w:eastAsia="zh-CN"/>
        </w:rPr>
      </w:pPr>
      <w:r>
        <w:rPr>
          <w:rFonts w:hint="eastAsia"/>
          <w:color w:val="auto"/>
          <w:rtl w:val="0"/>
          <w:lang w:val="en-US" w:eastAsia="zh-CN"/>
        </w:rPr>
        <w:t>华阳镇：依托“富硒胜地、宜居华阳”定位与独特富硒资源，重点发展特色康养农业与生态旅游，推动富硒茶叶、富硒农产品种植与康养体验、乡村旅游深度融合，打造特色康养旅游目的地。</w:t>
      </w:r>
    </w:p>
    <w:p w14:paraId="60E5C2BD">
      <w:pPr>
        <w:pStyle w:val="5"/>
        <w:bidi w:val="0"/>
        <w:rPr>
          <w:rFonts w:hint="eastAsia"/>
          <w:color w:val="auto"/>
          <w:rtl w:val="0"/>
          <w:lang w:val="en-US" w:eastAsia="zh-CN"/>
        </w:rPr>
      </w:pPr>
      <w:r>
        <w:rPr>
          <w:rFonts w:hint="eastAsia"/>
          <w:color w:val="auto"/>
          <w:rtl w:val="0"/>
          <w:lang w:val="en-US" w:eastAsia="zh-CN"/>
        </w:rPr>
        <w:t>安流镇：作为“三江荟萃、商贸安流”和县域副中心，充分发挥农产品加工、展销与区域流通枢纽功能，完善南部片区农业产业配套服务，辐射带动南部茶旅融合区高质量发展。</w:t>
      </w:r>
    </w:p>
    <w:p w14:paraId="64F8364A">
      <w:pPr>
        <w:pStyle w:val="4"/>
        <w:bidi w:val="0"/>
        <w:ind w:left="0" w:leftChars="0" w:firstLine="0" w:firstLineChars="0"/>
        <w:rPr>
          <w:rFonts w:hint="eastAsia"/>
          <w:color w:val="auto"/>
          <w:rtl w:val="0"/>
          <w:lang w:val="en-US" w:eastAsia="zh-CN"/>
        </w:rPr>
      </w:pPr>
      <w:r>
        <w:rPr>
          <w:rFonts w:hint="eastAsia"/>
          <w:color w:val="auto"/>
          <w:rtl w:val="0"/>
          <w:lang w:val="en-US" w:eastAsia="zh-CN"/>
        </w:rPr>
        <w:t>二、中部产城服务区：城乡联动，构建多元农业体系</w:t>
      </w:r>
    </w:p>
    <w:p w14:paraId="731BA6AF">
      <w:pPr>
        <w:pStyle w:val="5"/>
        <w:bidi w:val="0"/>
        <w:rPr>
          <w:rFonts w:hint="eastAsia"/>
          <w:color w:val="auto"/>
          <w:rtl w:val="0"/>
          <w:lang w:val="en-US" w:eastAsia="zh-CN"/>
        </w:rPr>
      </w:pPr>
      <w:r>
        <w:rPr>
          <w:rFonts w:hint="eastAsia"/>
          <w:color w:val="auto"/>
          <w:rtl w:val="0"/>
          <w:lang w:val="en-US" w:eastAsia="zh-CN"/>
        </w:rPr>
        <w:t>以保障县城供给、服务湾区市场为核心导向，构建粮、菜、鱼、果多元发展的综合农业板块，推动产城融合、农旅融合，实现农业提质、农民增收。</w:t>
      </w:r>
    </w:p>
    <w:p w14:paraId="462D984C">
      <w:pPr>
        <w:pStyle w:val="5"/>
        <w:bidi w:val="0"/>
        <w:rPr>
          <w:rFonts w:hint="eastAsia"/>
          <w:color w:val="auto"/>
          <w:rtl w:val="0"/>
          <w:lang w:val="en-US" w:eastAsia="zh-CN"/>
        </w:rPr>
      </w:pPr>
      <w:r>
        <w:rPr>
          <w:rFonts w:hint="eastAsia"/>
          <w:color w:val="auto"/>
          <w:rtl w:val="0"/>
          <w:lang w:val="en-US" w:eastAsia="zh-CN"/>
        </w:rPr>
        <w:t>水寨镇：立足“琴江明珠、大美水寨”定位，发挥县城核心区位优势，重点强化农产品精深加工、品牌孵化与商贸物流枢纽功能，搭建农产品产销对接平台，推动农业产业向价值链高端延伸。</w:t>
      </w:r>
    </w:p>
    <w:p w14:paraId="52049E88">
      <w:pPr>
        <w:pStyle w:val="5"/>
        <w:bidi w:val="0"/>
        <w:rPr>
          <w:rFonts w:hint="eastAsia"/>
          <w:color w:val="auto"/>
          <w:rtl w:val="0"/>
          <w:lang w:val="en-US" w:eastAsia="zh-CN"/>
        </w:rPr>
      </w:pPr>
      <w:r>
        <w:rPr>
          <w:rFonts w:hint="eastAsia"/>
          <w:color w:val="auto"/>
          <w:rtl w:val="0"/>
          <w:lang w:val="en-US" w:eastAsia="zh-CN"/>
        </w:rPr>
        <w:t>河东镇：围绕“工业新镇、绿色河东”发展方向，聚焦精品农业发展，大力发展设施农业、精品果蔬种植，打造面向县城和湾区市场的优质农产品供应基地。</w:t>
      </w:r>
    </w:p>
    <w:p w14:paraId="6EE57DEA">
      <w:pPr>
        <w:pStyle w:val="5"/>
        <w:bidi w:val="0"/>
        <w:rPr>
          <w:rFonts w:hint="eastAsia"/>
          <w:color w:val="auto"/>
          <w:rtl w:val="0"/>
          <w:lang w:val="en-US" w:eastAsia="zh-CN"/>
        </w:rPr>
      </w:pPr>
      <w:r>
        <w:rPr>
          <w:rFonts w:hint="eastAsia"/>
          <w:color w:val="auto"/>
          <w:rtl w:val="0"/>
          <w:lang w:val="en-US" w:eastAsia="zh-CN"/>
        </w:rPr>
        <w:t>横陂镇：依托“球王故里、美好横陂”的文体资源与优质水资源，聚焦特色水产养殖，着力建设“五华鱼生”标准化原料供应基地，推动水产养殖标准化、品牌化发展，深化“足球+农业”融合发展。</w:t>
      </w:r>
    </w:p>
    <w:p w14:paraId="64818317">
      <w:pPr>
        <w:pStyle w:val="5"/>
        <w:bidi w:val="0"/>
        <w:rPr>
          <w:rFonts w:hint="eastAsia"/>
          <w:color w:val="auto"/>
          <w:rtl w:val="0"/>
          <w:lang w:val="en-US" w:eastAsia="zh-CN"/>
        </w:rPr>
      </w:pPr>
      <w:r>
        <w:rPr>
          <w:rFonts w:hint="eastAsia"/>
          <w:color w:val="auto"/>
          <w:rtl w:val="0"/>
          <w:lang w:val="en-US" w:eastAsia="zh-CN"/>
        </w:rPr>
        <w:t>郭田镇：围绕“碧水绿韵，多彩郭田”定位，立足优良生态本底，重点培育特色农产品，发展休闲农业，打造农文旅融合发展名镇。</w:t>
      </w:r>
    </w:p>
    <w:p w14:paraId="61212C6E">
      <w:pPr>
        <w:pStyle w:val="4"/>
        <w:bidi w:val="0"/>
        <w:ind w:left="0" w:leftChars="0" w:firstLine="0" w:firstLineChars="0"/>
        <w:rPr>
          <w:rFonts w:hint="eastAsia"/>
          <w:color w:val="auto"/>
          <w:rtl w:val="0"/>
          <w:lang w:val="en-US" w:eastAsia="zh-CN"/>
        </w:rPr>
      </w:pPr>
      <w:r>
        <w:rPr>
          <w:rFonts w:hint="eastAsia"/>
          <w:color w:val="auto"/>
          <w:rtl w:val="0"/>
          <w:lang w:val="en-US" w:eastAsia="zh-CN"/>
        </w:rPr>
        <w:t>三、北部特色产业区：健康文旅，培育复合型新业态</w:t>
      </w:r>
    </w:p>
    <w:p w14:paraId="5A508298">
      <w:pPr>
        <w:pStyle w:val="5"/>
        <w:bidi w:val="0"/>
        <w:rPr>
          <w:rFonts w:hint="eastAsia"/>
          <w:color w:val="auto"/>
          <w:rtl w:val="0"/>
          <w:lang w:val="en-US" w:eastAsia="zh-CN"/>
        </w:rPr>
      </w:pPr>
      <w:r>
        <w:rPr>
          <w:rFonts w:hint="eastAsia"/>
          <w:color w:val="auto"/>
          <w:rtl w:val="0"/>
          <w:lang w:val="en-US" w:eastAsia="zh-CN"/>
        </w:rPr>
        <w:t>以健康产业和特色果品为核心，立足山地资源优势，着力培育“药材+康养+文旅”复合型新业态，推动粮果种植、道地药材培育与康养、文旅产业深度融合，打造北部特色产业聚集区。</w:t>
      </w:r>
    </w:p>
    <w:p w14:paraId="160F15F1">
      <w:pPr>
        <w:pStyle w:val="5"/>
        <w:bidi w:val="0"/>
        <w:rPr>
          <w:rFonts w:hint="eastAsia"/>
          <w:color w:val="auto"/>
          <w:rtl w:val="0"/>
          <w:lang w:val="en-US" w:eastAsia="zh-CN"/>
        </w:rPr>
      </w:pPr>
      <w:r>
        <w:rPr>
          <w:rFonts w:hint="eastAsia"/>
          <w:color w:val="auto"/>
          <w:rtl w:val="0"/>
          <w:lang w:val="en-US" w:eastAsia="zh-CN"/>
        </w:rPr>
        <w:t>华城镇：发挥“状元福地、古邑新城”门户功能，聚焦北部道地药材产业，建设道地药材加工集散中心，同时整合历史文化资源，实现药材产业与文旅产业协同发展。</w:t>
      </w:r>
    </w:p>
    <w:p w14:paraId="47B9D112">
      <w:pPr>
        <w:pStyle w:val="5"/>
        <w:bidi w:val="0"/>
        <w:rPr>
          <w:rFonts w:hint="eastAsia"/>
          <w:color w:val="auto"/>
          <w:rtl w:val="0"/>
          <w:lang w:val="en-US" w:eastAsia="zh-CN"/>
        </w:rPr>
      </w:pPr>
      <w:r>
        <w:rPr>
          <w:rFonts w:hint="eastAsia"/>
          <w:color w:val="auto"/>
          <w:rtl w:val="0"/>
          <w:lang w:val="en-US" w:eastAsia="zh-CN"/>
        </w:rPr>
        <w:t>转水镇：依托“益水神泥、和美转水”独特资源，聚焦“山、水、泥”综合开发，整合生态山水、特色泥资源与农业产业，推动农康旅深度融合，打造农旅融合发展样板。</w:t>
      </w:r>
    </w:p>
    <w:p w14:paraId="76614802">
      <w:pPr>
        <w:pStyle w:val="5"/>
        <w:bidi w:val="0"/>
        <w:rPr>
          <w:rFonts w:hint="eastAsia"/>
          <w:color w:val="auto"/>
          <w:rtl w:val="0"/>
          <w:lang w:val="en-US" w:eastAsia="zh-CN"/>
        </w:rPr>
      </w:pPr>
      <w:r>
        <w:rPr>
          <w:rFonts w:hint="eastAsia"/>
          <w:color w:val="auto"/>
          <w:rtl w:val="0"/>
          <w:lang w:val="en-US" w:eastAsia="zh-CN"/>
        </w:rPr>
        <w:t>岐岭镇：围绕“客家酒镇、古韵岐岭”定位，深化“酒+N”产业模式，推动酿酒产业与南药种植、文旅体验、乡村休闲联动发展，打造客家酿酒文化特色产业集群。</w:t>
      </w:r>
    </w:p>
    <w:p w14:paraId="6B539E9C">
      <w:pPr>
        <w:pStyle w:val="5"/>
        <w:bidi w:val="0"/>
        <w:rPr>
          <w:rFonts w:hint="eastAsia"/>
          <w:color w:val="auto"/>
          <w:rtl w:val="0"/>
          <w:lang w:val="en-US" w:eastAsia="zh-CN"/>
        </w:rPr>
      </w:pPr>
      <w:r>
        <w:rPr>
          <w:rFonts w:hint="eastAsia"/>
          <w:color w:val="auto"/>
          <w:rtl w:val="0"/>
          <w:lang w:val="en-US" w:eastAsia="zh-CN"/>
        </w:rPr>
        <w:t>潭下镇：立足“桃韵米香、秀美潭下”定位，大力发展智慧农业，搭建电商物流平台，重点培育菩米加工和鹰嘴桃等特色水果种植产业，建设成为特色农产品生产与电商物流重要节点。</w:t>
      </w:r>
    </w:p>
    <w:p w14:paraId="74DA9EA6">
      <w:pPr>
        <w:pStyle w:val="5"/>
        <w:bidi w:val="0"/>
        <w:rPr>
          <w:rFonts w:hint="eastAsia"/>
          <w:color w:val="auto"/>
          <w:rtl w:val="0"/>
          <w:lang w:val="en-US" w:eastAsia="zh-CN"/>
        </w:rPr>
      </w:pPr>
      <w:r>
        <w:rPr>
          <w:rFonts w:hint="eastAsia"/>
          <w:color w:val="auto"/>
          <w:rtl w:val="0"/>
          <w:lang w:val="en-US" w:eastAsia="zh-CN"/>
        </w:rPr>
        <w:t>长布镇：围绕“灵山秀水、长寿长布”定位，夯实大田柿花、茶叶、水果、药材、蔬菜等特色农业基础，做大做强坚果产业，推动特色农业与康养产业结合，打造长寿康养特色小镇。</w:t>
      </w:r>
    </w:p>
    <w:p w14:paraId="5E61F33A">
      <w:pPr>
        <w:pStyle w:val="5"/>
        <w:bidi w:val="0"/>
        <w:rPr>
          <w:rFonts w:hint="eastAsia"/>
          <w:color w:val="auto"/>
          <w:rtl w:val="0"/>
          <w:lang w:val="en-US" w:eastAsia="zh-CN"/>
        </w:rPr>
      </w:pPr>
      <w:r>
        <w:rPr>
          <w:rFonts w:hint="eastAsia"/>
          <w:color w:val="auto"/>
          <w:rtl w:val="0"/>
          <w:lang w:val="en-US" w:eastAsia="zh-CN"/>
        </w:rPr>
        <w:t>周江镇：擦亮“牙匠之乡、秀美周江”品牌，发挥承东启西的区位优势，推动农业与旅游融合，重点发展特色农业种植与乡村旅游，激活镇域产业发展活力。</w:t>
      </w:r>
    </w:p>
    <w:p w14:paraId="503AE6B7">
      <w:pPr>
        <w:pStyle w:val="3"/>
        <w:bidi w:val="0"/>
        <w:rPr>
          <w:rFonts w:hint="eastAsia"/>
          <w:color w:val="auto"/>
          <w:rtl w:val="0"/>
          <w:lang w:val="en-US" w:eastAsia="zh-CN"/>
        </w:rPr>
      </w:pPr>
      <w:bookmarkStart w:id="61" w:name="_Toc19192"/>
      <w:bookmarkStart w:id="62" w:name="_Toc28704"/>
      <w:r>
        <w:rPr>
          <w:rFonts w:hint="eastAsia"/>
          <w:color w:val="auto"/>
          <w:rtl w:val="0"/>
          <w:lang w:val="en-US" w:eastAsia="zh-CN"/>
        </w:rPr>
        <w:t xml:space="preserve">第三节 </w:t>
      </w:r>
      <w:bookmarkEnd w:id="61"/>
      <w:r>
        <w:rPr>
          <w:rFonts w:hint="eastAsia"/>
          <w:color w:val="auto"/>
          <w:rtl w:val="0"/>
          <w:lang w:val="en-US" w:eastAsia="zh-CN"/>
        </w:rPr>
        <w:t>增强内生动力 培育壮大区域经济实力</w:t>
      </w:r>
      <w:bookmarkEnd w:id="62"/>
    </w:p>
    <w:p w14:paraId="397743FB">
      <w:pPr>
        <w:pStyle w:val="5"/>
        <w:bidi w:val="0"/>
        <w:rPr>
          <w:rFonts w:hint="eastAsia"/>
          <w:color w:val="auto"/>
          <w:rtl w:val="0"/>
          <w:lang w:val="en-US" w:eastAsia="zh-CN"/>
        </w:rPr>
      </w:pPr>
      <w:r>
        <w:rPr>
          <w:rFonts w:hint="eastAsia"/>
          <w:color w:val="auto"/>
          <w:rtl w:val="0"/>
          <w:lang w:val="en-US" w:eastAsia="zh-CN"/>
        </w:rPr>
        <w:t>区域经济是农业农村现代化的承载平台和动力源泉。进入“十五五”时期，五华县将立足资源禀赋与产业基础，以集体经济提质为突破，以产业融合为方向，全面提升县域农业产业综合效益，推动镇域特色产业差异化发展，增强农村集体经济内生动力。通过县域、镇域与村级经济的联动提升，逐步形成链条完善、主体多元、功能互补的现代农业经济体系，为加快建设现代农业强县提供坚实支撑。</w:t>
      </w:r>
    </w:p>
    <w:p w14:paraId="1ACA58CA">
      <w:pPr>
        <w:pStyle w:val="4"/>
        <w:bidi w:val="0"/>
        <w:rPr>
          <w:rFonts w:hint="eastAsia"/>
          <w:color w:val="auto"/>
          <w:rtl w:val="0"/>
          <w:lang w:val="en-US" w:eastAsia="zh-CN"/>
        </w:rPr>
      </w:pPr>
      <w:r>
        <w:rPr>
          <w:rFonts w:hint="eastAsia"/>
          <w:color w:val="auto"/>
          <w:rtl w:val="0"/>
          <w:lang w:val="en-US" w:eastAsia="zh-CN"/>
        </w:rPr>
        <w:t>一、培育县域农业产业经济</w:t>
      </w:r>
    </w:p>
    <w:p w14:paraId="77CDC7AC">
      <w:pPr>
        <w:pStyle w:val="5"/>
        <w:bidi w:val="0"/>
        <w:rPr>
          <w:rFonts w:hint="eastAsia"/>
          <w:color w:val="auto"/>
          <w:rtl w:val="0"/>
          <w:lang w:val="en-US" w:eastAsia="zh-CN"/>
        </w:rPr>
      </w:pPr>
      <w:r>
        <w:rPr>
          <w:rFonts w:hint="eastAsia"/>
          <w:color w:val="auto"/>
          <w:rtl w:val="0"/>
          <w:lang w:val="en-US" w:eastAsia="zh-CN"/>
        </w:rPr>
        <w:t>坚持全链条思维，推动县域农业产业向规模化、标准化、品牌化、绿色化发展。聚焦丝苗米（含菩米）、蔬菜、茶叶、渔业（含鱼生）、畜禽、林果六大主导产业，实施全产业链提升工程。在生产端，推广高标准农田建设与良种良法应用，提升粮食稳产保供能力；在加工端，加快建设稻米精深加工、果蔬分选冷藏、畜禽屠宰加工等项目，推动农产品初加工、精深加工一体发展；在流通端，健全仓储保鲜、冷链物流和数字营销体系，建设县域农产品集散中心。</w:t>
      </w:r>
    </w:p>
    <w:p w14:paraId="79C1FF7E">
      <w:pPr>
        <w:pStyle w:val="5"/>
        <w:bidi w:val="0"/>
        <w:rPr>
          <w:rFonts w:hint="eastAsia"/>
          <w:color w:val="auto"/>
          <w:rtl w:val="0"/>
          <w:lang w:val="en-US" w:eastAsia="zh-CN"/>
        </w:rPr>
      </w:pPr>
      <w:r>
        <w:rPr>
          <w:rFonts w:hint="eastAsia"/>
          <w:color w:val="auto"/>
          <w:rtl w:val="0"/>
          <w:lang w:val="en-US" w:eastAsia="zh-CN"/>
        </w:rPr>
        <w:t>重点打造“五华菩米”“五华鱼生”“五华坚果”以及“五华壹号”构树系列产品。加快形成连通上下游的产业业态，联合科研机构、行业协会制定从品种、种养、采收到加工的全流程标准体系，建设高标准、绿色、有机的规模化种养基地和原料供应基地，确保原料品质可控、供应稳定。引进培育加工企业，研发生产精深加工新产品，将地方文化元素融入产品包装和设计，提升产品文化内涵和品牌辨识度。推进“五华鱼生”美食文化街区建设，打造集安全品鉴、文化体验、观光休闲、产业孵化于一体的特色消费场景，培育粤港澳大湾区鱼生美食文化地标。</w:t>
      </w:r>
    </w:p>
    <w:p w14:paraId="74987E45">
      <w:pPr>
        <w:pStyle w:val="4"/>
        <w:bidi w:val="0"/>
        <w:rPr>
          <w:rFonts w:hint="eastAsia"/>
          <w:color w:val="auto"/>
          <w:rtl w:val="0"/>
          <w:lang w:val="en-US" w:eastAsia="zh-CN"/>
        </w:rPr>
      </w:pPr>
      <w:r>
        <w:rPr>
          <w:rFonts w:hint="eastAsia"/>
          <w:color w:val="auto"/>
          <w:rtl w:val="0"/>
          <w:lang w:val="en-US" w:eastAsia="zh-CN"/>
        </w:rPr>
        <w:t>二、壮大镇域农业产业经济</w:t>
      </w:r>
    </w:p>
    <w:p w14:paraId="6CB0DD37">
      <w:pPr>
        <w:pStyle w:val="5"/>
        <w:bidi w:val="0"/>
        <w:rPr>
          <w:rFonts w:hint="eastAsia"/>
          <w:color w:val="auto"/>
          <w:rtl w:val="0"/>
          <w:lang w:val="en-US" w:eastAsia="zh-CN"/>
        </w:rPr>
      </w:pPr>
      <w:r>
        <w:rPr>
          <w:rFonts w:hint="eastAsia"/>
          <w:color w:val="auto"/>
          <w:rtl w:val="0"/>
          <w:lang w:val="en-US" w:eastAsia="zh-CN"/>
        </w:rPr>
        <w:t>坚持“错位发展、优势互补”原则，全面提升镇域产业特色化与协同化水平。依托南部茶旅融合区，打造茶叶核心带，推进茶旅融合示范园区建设；依托北部特色产业区，建设优质果品产区和药材种植基地，打造“果旅+药养”体验经济；依托中部产城服务区，重点发展农产品精深加工与商贸物流，强化对全县的服务辐射功能。发挥安流、华城两个县域副中心的辐射带动作用，强化农产品加工流通枢纽功能。</w:t>
      </w:r>
    </w:p>
    <w:p w14:paraId="09BC459B">
      <w:pPr>
        <w:pStyle w:val="5"/>
        <w:bidi w:val="0"/>
        <w:rPr>
          <w:rFonts w:hint="eastAsia"/>
          <w:color w:val="auto"/>
          <w:rtl w:val="0"/>
          <w:lang w:val="en-US" w:eastAsia="zh-CN"/>
        </w:rPr>
      </w:pPr>
      <w:r>
        <w:rPr>
          <w:rFonts w:hint="eastAsia"/>
          <w:color w:val="auto"/>
          <w:rtl w:val="0"/>
          <w:lang w:val="en-US" w:eastAsia="zh-CN"/>
        </w:rPr>
        <w:t>鼓励各镇建设乡村产业社区，推动土地、劳动力、资金等要素集聚，形成产业集群。大力实施“镇级品牌+村级特色”双品牌战略，培育“棉洋茶叶”“龙村茶叶”“双华板栗”“潭下鹰嘴桃”“潭下菩米”等区域名片，推动品牌梯次培育和联合推广。探索“镇域产业+文旅融合”新模式，依托各镇红色文化、田园景观、非遗美食等资源，开发农旅线路和体验产品，拓展镇域产业的多元功能和经济价值。统一品牌、统一标准、统一营销，形成联动效应，通过线上线下相结合、大力发展电商，开展直播电商和社群营销。</w:t>
      </w:r>
    </w:p>
    <w:p w14:paraId="04C5603B">
      <w:pPr>
        <w:pStyle w:val="4"/>
        <w:bidi w:val="0"/>
        <w:rPr>
          <w:rFonts w:hint="eastAsia"/>
          <w:color w:val="auto"/>
          <w:rtl w:val="0"/>
          <w:lang w:val="en-US" w:eastAsia="zh-CN"/>
        </w:rPr>
      </w:pPr>
      <w:r>
        <w:rPr>
          <w:rFonts w:hint="eastAsia"/>
          <w:color w:val="auto"/>
          <w:rtl w:val="0"/>
          <w:lang w:val="en-US" w:eastAsia="zh-CN"/>
        </w:rPr>
        <w:t>三、夯实农村集体经济支撑</w:t>
      </w:r>
    </w:p>
    <w:p w14:paraId="1F54F255">
      <w:pPr>
        <w:pStyle w:val="5"/>
        <w:bidi w:val="0"/>
        <w:rPr>
          <w:rFonts w:hint="eastAsia"/>
          <w:color w:val="auto"/>
          <w:rtl w:val="0"/>
          <w:lang w:val="en-US" w:eastAsia="zh-CN"/>
        </w:rPr>
      </w:pPr>
      <w:r>
        <w:rPr>
          <w:rFonts w:hint="eastAsia"/>
          <w:color w:val="auto"/>
          <w:rtl w:val="0"/>
          <w:lang w:val="en-US" w:eastAsia="zh-CN"/>
        </w:rPr>
        <w:t>农村集体经济是镇域经济的重要基础，也是增强乡村内生动力的关键抓手。坚持因地制宜、分类施策，以增强集体经济“造血”功能为核心，推动资源盘活、业态创新和运营能力提升。重点在闲置资产盘活、村企合作经营、农文旅融合项目、分布式清洁能源等方面探索可持续增收路径。通过镇域统筹、村级联动，逐步形成集体经济与镇域特色产业互促共进的发展格局。</w:t>
      </w:r>
    </w:p>
    <w:bookmarkEnd w:id="57"/>
    <w:bookmarkEnd w:id="58"/>
    <w:p w14:paraId="4642BFC3">
      <w:pPr>
        <w:bidi w:val="0"/>
        <w:rPr>
          <w:rFonts w:hint="eastAsia" w:ascii="微软雅黑" w:hAnsi="微软雅黑" w:eastAsia="微软雅黑" w:cs="微软雅黑"/>
          <w:color w:val="auto"/>
          <w:sz w:val="36"/>
          <w:szCs w:val="36"/>
          <w:rtl w:val="0"/>
          <w:lang w:val="en-US" w:eastAsia="zh-CN"/>
        </w:rPr>
      </w:pPr>
      <w:bookmarkStart w:id="63" w:name="_Toc31971"/>
      <w:r>
        <w:rPr>
          <w:rFonts w:hint="eastAsia" w:ascii="微软雅黑" w:hAnsi="微软雅黑" w:eastAsia="微软雅黑" w:cs="微软雅黑"/>
          <w:color w:val="auto"/>
          <w:sz w:val="36"/>
          <w:szCs w:val="36"/>
          <w:rtl w:val="0"/>
          <w:lang w:val="en-US" w:eastAsia="zh-CN"/>
        </w:rPr>
        <w:br w:type="page"/>
      </w:r>
    </w:p>
    <w:p w14:paraId="0DAF7FF4">
      <w:pPr>
        <w:pStyle w:val="2"/>
        <w:bidi w:val="0"/>
        <w:rPr>
          <w:rFonts w:hint="eastAsia"/>
          <w:color w:val="auto"/>
          <w:rtl w:val="0"/>
          <w:lang w:val="en-US" w:eastAsia="zh-CN"/>
        </w:rPr>
      </w:pPr>
      <w:bookmarkStart w:id="64" w:name="_Toc10244"/>
      <w:bookmarkStart w:id="65" w:name="_Toc8752"/>
      <w:r>
        <w:rPr>
          <w:rFonts w:hint="eastAsia"/>
          <w:color w:val="auto"/>
          <w:rtl w:val="0"/>
          <w:lang w:val="en-US" w:eastAsia="zh-CN"/>
        </w:rPr>
        <w:t>第四章  重点任务</w:t>
      </w:r>
      <w:bookmarkEnd w:id="63"/>
      <w:bookmarkEnd w:id="64"/>
      <w:bookmarkEnd w:id="65"/>
    </w:p>
    <w:p w14:paraId="28C9174F">
      <w:pPr>
        <w:pStyle w:val="3"/>
        <w:bidi w:val="0"/>
        <w:rPr>
          <w:rFonts w:hint="eastAsia"/>
          <w:color w:val="auto"/>
          <w:lang w:val="en-US" w:eastAsia="zh-CN"/>
        </w:rPr>
      </w:pPr>
      <w:bookmarkStart w:id="66" w:name="_Toc31204"/>
      <w:bookmarkStart w:id="67" w:name="_Toc30525"/>
      <w:bookmarkStart w:id="68" w:name="_Toc5983"/>
      <w:r>
        <w:rPr>
          <w:rFonts w:hint="eastAsia"/>
          <w:color w:val="auto"/>
          <w:rtl w:val="0"/>
          <w:lang w:val="en-US" w:eastAsia="zh-CN"/>
        </w:rPr>
        <w:t>第一节 夯实粮食安全根基 保障重要农产品供给</w:t>
      </w:r>
      <w:bookmarkEnd w:id="66"/>
      <w:bookmarkEnd w:id="67"/>
      <w:bookmarkEnd w:id="68"/>
    </w:p>
    <w:p w14:paraId="14B65042">
      <w:pPr>
        <w:pStyle w:val="5"/>
        <w:bidi w:val="0"/>
        <w:rPr>
          <w:rFonts w:hint="eastAsia"/>
          <w:color w:val="auto"/>
          <w:rtl w:val="0"/>
          <w:lang w:val="en-US" w:eastAsia="zh-CN"/>
        </w:rPr>
      </w:pPr>
      <w:r>
        <w:rPr>
          <w:rFonts w:hint="eastAsia"/>
          <w:color w:val="auto"/>
          <w:rtl w:val="0"/>
          <w:lang w:val="en-US" w:eastAsia="zh-CN"/>
        </w:rPr>
        <w:t>以提升耕地质量为基础，以巩固粮食产能为核心，加快构建更高层次、更高质量、更有效率、更可持续的粮食安全保障体系。</w:t>
      </w:r>
    </w:p>
    <w:p w14:paraId="2562C551">
      <w:pPr>
        <w:pStyle w:val="4"/>
        <w:bidi w:val="0"/>
        <w:rPr>
          <w:rFonts w:hint="eastAsia"/>
          <w:color w:val="auto"/>
          <w:lang w:val="en-US" w:eastAsia="zh-CN"/>
        </w:rPr>
      </w:pPr>
      <w:r>
        <w:rPr>
          <w:rFonts w:hint="eastAsia"/>
          <w:color w:val="auto"/>
          <w:rtl w:val="0"/>
          <w:lang w:val="en-US" w:eastAsia="zh-CN"/>
        </w:rPr>
        <w:t>一、提升耕地质量，筑牢稳产保供基础</w:t>
      </w:r>
    </w:p>
    <w:p w14:paraId="601536E1">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高质量推进高标准农田建设。</w:t>
      </w:r>
      <w:r>
        <w:rPr>
          <w:rFonts w:hint="eastAsia"/>
          <w:color w:val="auto"/>
          <w:rtl w:val="0"/>
          <w:lang w:val="en-US" w:eastAsia="zh-CN"/>
        </w:rPr>
        <w:t>坚持新建与改造并重、数量与质量并重、建设与管护并重，重点在安流、华城、横陂等镇打造整镇推进示范样板。加强农田水利“最后一公里”建设，系统推进灌排渠道、机耕路、生产桥涵等设施配套，提升农田防灾抗灾能力。建立健全建后管护长效机制，明确管护主体，压实管护责任，确保建成设施持续发挥效益。</w:t>
      </w:r>
      <w:r>
        <w:rPr>
          <w:rFonts w:hint="eastAsia" w:ascii="仿宋_GB2312" w:hAnsi="仿宋_GB2312" w:eastAsia="仿宋_GB2312" w:cs="仿宋_GB2312"/>
          <w:color w:val="auto"/>
          <w:rtl w:val="0"/>
          <w:lang w:val="en-US" w:eastAsia="zh-CN"/>
        </w:rPr>
        <w:t>力争到2030年，完成全县12万亩（新建6万亩、改造提升6万亩）高标准农田建设。</w:t>
      </w:r>
    </w:p>
    <w:p w14:paraId="3584C9B7">
      <w:pPr>
        <w:pStyle w:val="5"/>
        <w:bidi w:val="0"/>
        <w:rPr>
          <w:rFonts w:hint="eastAsia" w:ascii="仿宋_GB2312" w:hAnsi="仿宋_GB2312" w:eastAsia="仿宋_GB2312" w:cs="仿宋_GB2312"/>
          <w:color w:val="auto"/>
          <w:rtl w:val="0"/>
          <w:lang w:val="en-US" w:eastAsia="zh-CN"/>
        </w:rPr>
      </w:pPr>
      <w:r>
        <w:rPr>
          <w:rFonts w:hint="eastAsia" w:ascii="楷体_GB2312" w:hAnsi="楷体_GB2312" w:eastAsia="楷体_GB2312" w:cs="楷体_GB2312"/>
          <w:color w:val="auto"/>
          <w:rtl w:val="0"/>
          <w:lang w:val="en-US" w:eastAsia="zh-CN"/>
        </w:rPr>
        <w:t>推进全域土地综合整治。</w:t>
      </w:r>
      <w:r>
        <w:rPr>
          <w:rFonts w:hint="eastAsia" w:ascii="仿宋_GB2312" w:hAnsi="仿宋_GB2312" w:eastAsia="仿宋_GB2312" w:cs="仿宋_GB2312"/>
          <w:color w:val="auto"/>
          <w:rtl w:val="0"/>
          <w:lang w:val="en-US" w:eastAsia="zh-CN"/>
        </w:rPr>
        <w:t>加快推进“小块田变大块田”，通过土地出租、托管、入股等形式，规模化流转整合细碎化的农村土地，实现小田变大田，形成规模化经营、专业化管理的农业现代化生产方式。深入推进安流镇、华城镇等全域土地综合整治试点，逐步把具备条件建设的永久基本农田全部建成高标准农田。力争到2030年，实现承包地集中连片流转100亩以上逐步提高至70%以上。</w:t>
      </w:r>
    </w:p>
    <w:p w14:paraId="528231E2">
      <w:pPr>
        <w:pStyle w:val="4"/>
        <w:bidi w:val="0"/>
        <w:rPr>
          <w:rFonts w:hint="eastAsia"/>
          <w:color w:val="auto"/>
          <w:rtl w:val="0"/>
          <w:lang w:val="en-US" w:eastAsia="zh-CN"/>
        </w:rPr>
      </w:pPr>
      <w:r>
        <w:rPr>
          <w:rFonts w:hint="eastAsia"/>
          <w:color w:val="auto"/>
          <w:rtl w:val="0"/>
          <w:lang w:val="en-US" w:eastAsia="zh-CN"/>
        </w:rPr>
        <w:t>二、巩固粮食产能，稳定粮食供给</w:t>
      </w:r>
    </w:p>
    <w:p w14:paraId="15CA8283">
      <w:pPr>
        <w:pStyle w:val="5"/>
        <w:bidi w:val="0"/>
        <w:rPr>
          <w:rFonts w:hint="eastAsia" w:ascii="仿宋_GB2312" w:hAnsi="仿宋_GB2312" w:eastAsia="仿宋_GB2312" w:cs="仿宋_GB2312"/>
          <w:color w:val="auto"/>
          <w:rtl w:val="0"/>
          <w:lang w:val="en-US" w:eastAsia="zh-CN"/>
        </w:rPr>
      </w:pPr>
      <w:r>
        <w:rPr>
          <w:rFonts w:hint="eastAsia" w:ascii="楷体_GB2312" w:hAnsi="楷体_GB2312" w:eastAsia="楷体_GB2312" w:cs="楷体_GB2312"/>
          <w:color w:val="auto"/>
          <w:rtl w:val="0"/>
          <w:lang w:val="en-US" w:eastAsia="zh-CN"/>
        </w:rPr>
        <w:t>提升优质稻生产水平。</w:t>
      </w:r>
      <w:r>
        <w:rPr>
          <w:rFonts w:hint="eastAsia" w:ascii="仿宋_GB2312" w:hAnsi="仿宋_GB2312" w:eastAsia="仿宋_GB2312" w:cs="仿宋_GB2312"/>
          <w:color w:val="auto"/>
          <w:rtl w:val="0"/>
          <w:lang w:val="en-US" w:eastAsia="zh-CN"/>
        </w:rPr>
        <w:t>稳定优化粮食生产布局，巩固扩大优质水稻种植面积。以横陂镇、转水镇、安流镇等粮食主产区为重点，通过全域土地综合整治和高标准农田建设，打造一批粮食高产示范片。深入实施种业振兴行动，引进推广丰产性好、抗逆性强、米质优的水稻新品种。推广合理密植、测土配方施肥、无人机植保、绿色防控等高产高效技术，稳步提升粮食单产水平和产品品质。</w:t>
      </w:r>
    </w:p>
    <w:p w14:paraId="6F46C9F3">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发展粮食型轮作模式。</w:t>
      </w:r>
      <w:r>
        <w:rPr>
          <w:rFonts w:hint="eastAsia"/>
          <w:color w:val="auto"/>
          <w:rtl w:val="0"/>
          <w:lang w:val="en-US" w:eastAsia="zh-CN"/>
        </w:rPr>
        <w:t>在稳定粮食种植面积基础上，因地制宜推广“稻—稻—薯”“稻—稻—菜”“稻—药”等高效轮作模式，扩大马铃薯、红薯等粮食品种种植。稳定蔬菜种植面积，保障本地“菜篮子”产品自给率。</w:t>
      </w:r>
    </w:p>
    <w:p w14:paraId="5002D48E">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落实粮食生产扶持政策。</w:t>
      </w:r>
      <w:r>
        <w:rPr>
          <w:rFonts w:hint="eastAsia"/>
          <w:color w:val="auto"/>
          <w:rtl w:val="0"/>
          <w:lang w:val="en-US" w:eastAsia="zh-CN"/>
        </w:rPr>
        <w:t>全面落实国家和省强农惠农富农政策，健全种粮农民收益保障机制。优化耕地地力保护补贴、农机购置与应用补贴等政策，探索建立粮食生产全成本保险和种植收入保险制度，提高农民抵御自然和市场双重风险能力。加大对粮食生产功能区、种粮大户、家庭农场、农民合作社等新型经营主体支持力度，在信贷、技术、用地、人才等方面予以倾斜。发挥供销系统等社会化服务组织作用，为小农户提供耕、种、管、收、加、销全过程服务，调动和保护农民种粮积极性。</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1933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7D747F08">
            <w:pPr>
              <w:pStyle w:val="8"/>
              <w:bidi w:val="0"/>
              <w:rPr>
                <w:rFonts w:hint="eastAsia" w:ascii="仿宋" w:hAnsi="仿宋" w:eastAsia="仿宋" w:cs="仿宋"/>
                <w:b/>
                <w:bCs/>
                <w:color w:val="auto"/>
                <w:kern w:val="2"/>
                <w:szCs w:val="24"/>
                <w:shd w:val="clear" w:color="auto" w:fill="auto"/>
                <w:lang w:val="en-US" w:eastAsia="zh-CN" w:bidi="ar-SA"/>
              </w:rPr>
            </w:pPr>
            <w:r>
              <w:rPr>
                <w:rFonts w:hint="eastAsia"/>
                <w:color w:val="auto"/>
                <w:lang w:val="en-US" w:eastAsia="zh-CN"/>
              </w:rPr>
              <w:t>专栏1  新时期粮食安全保障工程</w:t>
            </w:r>
          </w:p>
        </w:tc>
      </w:tr>
      <w:tr w14:paraId="0F68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000" w:type="pct"/>
            <w:noWrap w:val="0"/>
            <w:vAlign w:val="top"/>
          </w:tcPr>
          <w:p w14:paraId="5BA629CB">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color w:val="auto"/>
                <w:sz w:val="28"/>
                <w:szCs w:val="36"/>
                <w:lang w:val="en-US" w:eastAsia="zh-CN"/>
              </w:rPr>
            </w:pPr>
            <w:r>
              <w:rPr>
                <w:rFonts w:hint="eastAsia" w:ascii="仿宋_GB2312" w:hAnsi="仿宋_GB2312" w:eastAsia="仿宋_GB2312" w:cs="仿宋_GB2312"/>
                <w:b/>
                <w:bCs/>
                <w:color w:val="auto"/>
                <w:sz w:val="28"/>
                <w:szCs w:val="36"/>
                <w:lang w:val="en-US" w:eastAsia="zh-CN"/>
              </w:rPr>
              <w:t>全域土地综合整治。</w:t>
            </w:r>
            <w:r>
              <w:rPr>
                <w:rFonts w:hint="eastAsia" w:ascii="仿宋_GB2312" w:hAnsi="仿宋_GB2312" w:eastAsia="仿宋_GB2312" w:cs="仿宋_GB2312"/>
                <w:color w:val="auto"/>
                <w:sz w:val="28"/>
                <w:szCs w:val="36"/>
                <w:lang w:val="en-US" w:eastAsia="zh-CN"/>
              </w:rPr>
              <w:t>加快推进安流、华城、河东土地综合整治项目实施与验收，推动其余乡镇土地综合整治方案尽快落地。在全县范围内系统推进全域土地综合整治，完成农用地整治8万亩（含“小田并大田”1.2万亩）。</w:t>
            </w:r>
          </w:p>
          <w:p w14:paraId="31FD2330">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color w:val="auto"/>
                <w:sz w:val="28"/>
                <w:szCs w:val="36"/>
                <w:lang w:val="en-US" w:eastAsia="zh-CN"/>
              </w:rPr>
            </w:pPr>
            <w:r>
              <w:rPr>
                <w:rFonts w:hint="eastAsia" w:ascii="仿宋_GB2312" w:hAnsi="仿宋_GB2312" w:eastAsia="仿宋_GB2312" w:cs="仿宋_GB2312"/>
                <w:b/>
                <w:bCs/>
                <w:color w:val="auto"/>
                <w:sz w:val="28"/>
                <w:szCs w:val="36"/>
                <w:lang w:val="en-US" w:eastAsia="zh-CN"/>
              </w:rPr>
              <w:t>高标准农田建设。</w:t>
            </w:r>
            <w:r>
              <w:rPr>
                <w:rFonts w:hint="eastAsia" w:ascii="仿宋_GB2312" w:hAnsi="仿宋_GB2312" w:eastAsia="仿宋_GB2312" w:cs="仿宋_GB2312"/>
                <w:color w:val="auto"/>
                <w:sz w:val="28"/>
                <w:szCs w:val="36"/>
                <w:lang w:val="en-US" w:eastAsia="zh-CN"/>
              </w:rPr>
              <w:t>重点在安流、华城、横陂等镇打造整镇推进示范样板，新建和改造提升高标准农田12万亩。</w:t>
            </w:r>
          </w:p>
          <w:p w14:paraId="31C5697A">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color w:val="auto"/>
                <w:szCs w:val="24"/>
                <w:lang w:val="en-US" w:eastAsia="zh-CN"/>
              </w:rPr>
            </w:pPr>
            <w:r>
              <w:rPr>
                <w:rFonts w:hint="eastAsia" w:ascii="仿宋_GB2312" w:hAnsi="仿宋_GB2312" w:eastAsia="仿宋_GB2312" w:cs="仿宋_GB2312"/>
                <w:b/>
                <w:bCs/>
                <w:color w:val="auto"/>
                <w:sz w:val="28"/>
                <w:szCs w:val="36"/>
                <w:lang w:val="en-US" w:eastAsia="zh-CN"/>
              </w:rPr>
              <w:t>粮食产能巩固提升行动</w:t>
            </w:r>
            <w:r>
              <w:rPr>
                <w:rFonts w:hint="eastAsia" w:ascii="仿宋_GB2312" w:hAnsi="仿宋_GB2312" w:eastAsia="仿宋_GB2312" w:cs="仿宋_GB2312"/>
                <w:color w:val="auto"/>
                <w:sz w:val="28"/>
                <w:szCs w:val="36"/>
                <w:lang w:val="en-US" w:eastAsia="zh-CN"/>
              </w:rPr>
              <w:t>。聚焦水稻、马铃薯、玉米等核心粮食作物，实施良种推广与单产提升计划。在横陂、转水、安流、周江等主要粮食产区，高标准打造5个以上连片面积超千亩的粮食高产示范片。支持和培育一批具备烘干、加工、仓储能力的经营主体，在重点镇培育建立区域性农业机械社会化服务中心，提升粮食生产全程机械化、智能化水平。</w:t>
            </w:r>
          </w:p>
        </w:tc>
      </w:tr>
    </w:tbl>
    <w:p w14:paraId="72F0CE13">
      <w:pPr>
        <w:pStyle w:val="5"/>
        <w:bidi w:val="0"/>
        <w:rPr>
          <w:rFonts w:hint="eastAsia"/>
          <w:color w:val="auto"/>
          <w:rtl w:val="0"/>
          <w:lang w:val="en-US" w:eastAsia="zh-CN"/>
        </w:rPr>
      </w:pPr>
      <w:bookmarkStart w:id="69" w:name="_Toc30008"/>
    </w:p>
    <w:p w14:paraId="350EFD7E">
      <w:pPr>
        <w:pStyle w:val="3"/>
        <w:bidi w:val="0"/>
        <w:rPr>
          <w:rFonts w:hint="eastAsia"/>
          <w:color w:val="auto"/>
          <w:rtl w:val="0"/>
          <w:lang w:val="en-US" w:eastAsia="zh-CN"/>
        </w:rPr>
      </w:pPr>
      <w:bookmarkStart w:id="70" w:name="_Toc26959"/>
      <w:bookmarkStart w:id="71" w:name="_Toc3179"/>
      <w:r>
        <w:rPr>
          <w:rFonts w:hint="eastAsia"/>
          <w:color w:val="auto"/>
          <w:rtl w:val="0"/>
          <w:lang w:val="en-US" w:eastAsia="zh-CN"/>
        </w:rPr>
        <w:t>第二节 壮大特色优势产业 提升农业综合效益</w:t>
      </w:r>
      <w:bookmarkEnd w:id="70"/>
    </w:p>
    <w:p w14:paraId="6F751254">
      <w:pPr>
        <w:pStyle w:val="5"/>
        <w:bidi w:val="0"/>
        <w:rPr>
          <w:rFonts w:hint="eastAsia"/>
          <w:color w:val="auto"/>
          <w:rtl w:val="0"/>
          <w:lang w:val="en-US" w:eastAsia="zh-CN"/>
        </w:rPr>
      </w:pPr>
      <w:r>
        <w:rPr>
          <w:rFonts w:hint="eastAsia"/>
          <w:color w:val="auto"/>
          <w:rtl w:val="0"/>
          <w:lang w:val="en-US" w:eastAsia="zh-CN"/>
        </w:rPr>
        <w:t>立足农业资源禀赋与产业基础，全力构建“3+3+1+N”现代特色农业产业体系，即做强五华菩米、五华坚果、五华茶叶三大农业产业，打响五华鱼生、五华红薯、大田柿花三大特色产品，提升“五华壹号”一个优势品牌，培育N个镇域特色产业。以“强链条、提品质、树品牌”为主线，推动县域农业产业从“规模上限”向“质量效益”转型，着力建设现代农业强县。</w:t>
      </w:r>
    </w:p>
    <w:p w14:paraId="4A256B7F">
      <w:pPr>
        <w:pStyle w:val="4"/>
        <w:bidi w:val="0"/>
        <w:rPr>
          <w:rFonts w:hint="eastAsia"/>
          <w:color w:val="auto"/>
          <w:rtl w:val="0"/>
          <w:lang w:val="en-US" w:eastAsia="zh-CN"/>
        </w:rPr>
      </w:pPr>
      <w:r>
        <w:rPr>
          <w:rFonts w:hint="eastAsia"/>
          <w:color w:val="auto"/>
          <w:rtl w:val="0"/>
          <w:lang w:val="en-US" w:eastAsia="zh-CN"/>
        </w:rPr>
        <w:t>一、做强三个农业产业</w:t>
      </w:r>
    </w:p>
    <w:p w14:paraId="2580F111">
      <w:pPr>
        <w:pStyle w:val="5"/>
        <w:bidi w:val="0"/>
        <w:rPr>
          <w:rFonts w:hint="eastAsia"/>
          <w:color w:val="auto"/>
          <w:rtl w:val="0"/>
          <w:lang w:val="en-US" w:eastAsia="zh-CN"/>
        </w:rPr>
      </w:pPr>
      <w:r>
        <w:rPr>
          <w:rFonts w:hint="eastAsia"/>
          <w:color w:val="auto"/>
          <w:rtl w:val="0"/>
          <w:lang w:val="en-US" w:eastAsia="zh-CN"/>
        </w:rPr>
        <w:t>聚焦五华菩米、五华坚果、五华茶叶三大优势品类，实施全产业链提升工程。在生产端，推广标准化种植，建设规模化示范基地，稳步扩大产业规模。在加工端，引进和培育龙头企业，补齐初加工和精深加工设施短板，开发多元化、功能化产品，延伸产业链条。在流通端，完善仓储物流和冷链配送体系，强化品牌营销和市场拓展。推动三大产业从初级种养向“种养+加工+流通+品牌”一体化升级，打造具有区域影响力的农业产业集群。</w:t>
      </w:r>
    </w:p>
    <w:p w14:paraId="545DBFE3">
      <w:pPr>
        <w:pStyle w:val="4"/>
        <w:numPr>
          <w:ilvl w:val="0"/>
          <w:numId w:val="3"/>
        </w:numPr>
        <w:rPr>
          <w:rFonts w:hint="eastAsia"/>
          <w:color w:val="auto"/>
          <w:rtl w:val="0"/>
          <w:lang w:val="en-US" w:eastAsia="zh-CN"/>
        </w:rPr>
      </w:pPr>
      <w:r>
        <w:rPr>
          <w:rFonts w:hint="eastAsia"/>
          <w:color w:val="auto"/>
          <w:rtl w:val="0"/>
          <w:lang w:val="en-US" w:eastAsia="zh-CN"/>
        </w:rPr>
        <w:t>打响三个特色产品</w:t>
      </w:r>
    </w:p>
    <w:p w14:paraId="5364931C">
      <w:pPr>
        <w:pStyle w:val="5"/>
        <w:bidi w:val="0"/>
        <w:rPr>
          <w:rFonts w:hint="eastAsia"/>
          <w:color w:val="auto"/>
          <w:rtl w:val="0"/>
          <w:lang w:val="en-US" w:eastAsia="zh-CN"/>
        </w:rPr>
      </w:pPr>
      <w:r>
        <w:rPr>
          <w:rFonts w:hint="eastAsia"/>
          <w:color w:val="auto"/>
          <w:rtl w:val="0"/>
          <w:lang w:val="en-US" w:eastAsia="zh-CN"/>
        </w:rPr>
        <w:t>聚焦五华鱼生、五华红薯、大田柿花三大地方特色产品，突出品质提升和品牌塑造。支持鱼生上游养殖标准化、无菌化发展，推动配料本地化供应链建设和预制化产品开发。稳步扩大红薯种植规模，健全产后分选、贮藏保鲜和产业链延伸机制，推动产品食品化创新。深化村企合作扩大柿花种植规模，开发多品类深加工产品，拓展农旅融合体验场景。通过标准制定、品质管控和宣传推广，提升三大特色产品的市场辨识度和品牌溢价能力。</w:t>
      </w:r>
    </w:p>
    <w:p w14:paraId="115ECC56">
      <w:pPr>
        <w:pStyle w:val="4"/>
        <w:numPr>
          <w:ilvl w:val="0"/>
          <w:numId w:val="3"/>
        </w:numPr>
        <w:rPr>
          <w:rFonts w:hint="eastAsia"/>
          <w:color w:val="auto"/>
          <w:rtl w:val="0"/>
          <w:lang w:val="en-US" w:eastAsia="zh-CN"/>
        </w:rPr>
      </w:pPr>
      <w:r>
        <w:rPr>
          <w:rFonts w:hint="eastAsia"/>
          <w:color w:val="auto"/>
          <w:rtl w:val="0"/>
          <w:lang w:val="en-US" w:eastAsia="zh-CN"/>
        </w:rPr>
        <w:t>提升一个优势品牌</w:t>
      </w:r>
    </w:p>
    <w:p w14:paraId="6F80CB33">
      <w:pPr>
        <w:pStyle w:val="5"/>
        <w:bidi w:val="0"/>
        <w:rPr>
          <w:rFonts w:hint="default"/>
          <w:color w:val="auto"/>
          <w:rtl w:val="0"/>
          <w:lang w:val="en-US" w:eastAsia="zh-CN"/>
        </w:rPr>
      </w:pPr>
      <w:r>
        <w:rPr>
          <w:rFonts w:hint="default"/>
          <w:color w:val="auto"/>
          <w:rtl w:val="0"/>
          <w:lang w:val="en-US" w:eastAsia="zh-CN"/>
        </w:rPr>
        <w:t>以健康品质、风味特色为核心，持续做强“五华壹号”区域公用品牌。全面推行品牌统一、标准统一、供应链统一、溯源统一管理，构建农户、加工企业、餐饮商户紧密联结的产业共同体。纵深推进畜禽养殖及特色种植、农副产品精深加工、农食品研发、冷链物流配送全链条一体化发展，着力树立原生态、高品质、无公害的健康产品形象，擦亮五华特色农业健康品牌。</w:t>
      </w:r>
    </w:p>
    <w:p w14:paraId="6BAD410E">
      <w:pPr>
        <w:pStyle w:val="4"/>
        <w:numPr>
          <w:ilvl w:val="0"/>
          <w:numId w:val="3"/>
        </w:numPr>
        <w:rPr>
          <w:rFonts w:hint="eastAsia"/>
          <w:color w:val="auto"/>
          <w:rtl w:val="0"/>
          <w:lang w:val="en-US" w:eastAsia="zh-CN"/>
        </w:rPr>
      </w:pPr>
      <w:r>
        <w:rPr>
          <w:rFonts w:hint="eastAsia"/>
          <w:color w:val="auto"/>
          <w:rtl w:val="0"/>
          <w:lang w:val="en-US" w:eastAsia="zh-CN"/>
        </w:rPr>
        <w:t>培育N个镇域特色</w:t>
      </w:r>
    </w:p>
    <w:p w14:paraId="5DB1305C">
      <w:pPr>
        <w:pStyle w:val="5"/>
        <w:bidi w:val="0"/>
        <w:rPr>
          <w:rFonts w:hint="eastAsia"/>
          <w:color w:val="auto"/>
          <w:rtl w:val="0"/>
          <w:lang w:val="en-US" w:eastAsia="zh-CN"/>
        </w:rPr>
      </w:pPr>
      <w:r>
        <w:rPr>
          <w:rFonts w:hint="eastAsia"/>
          <w:color w:val="auto"/>
          <w:rtl w:val="0"/>
          <w:lang w:val="en-US" w:eastAsia="zh-CN"/>
        </w:rPr>
        <w:t>深化“一村一品、一镇一业”发展模式，立足各镇资源禀赋，因地制宜培育壮大南药、油茶、桑芽菜、金柚、板栗、鹰嘴桃等特色种养产业。支持林下经济发展，培育食用菌、药用动植物等新特色。强化政策扶持与技术指导，完善产销对接机制，推动特色产业规模化种植、规范化管理、品牌化运营。依托农村电商产业园区，推广“订单农业+直播带货”模式，推动县域土特产品向品牌产品升级，形成“镇域有特色、产业有亮点、村社有支撑”的全域农业特色发展格局。</w:t>
      </w:r>
    </w:p>
    <w:p w14:paraId="6E8F64C0">
      <w:pPr>
        <w:pStyle w:val="4"/>
        <w:numPr>
          <w:ilvl w:val="0"/>
          <w:numId w:val="3"/>
        </w:numPr>
        <w:rPr>
          <w:rFonts w:hint="eastAsia"/>
          <w:color w:val="auto"/>
          <w:rtl w:val="0"/>
          <w:lang w:val="en-US" w:eastAsia="zh-CN"/>
        </w:rPr>
      </w:pPr>
      <w:r>
        <w:rPr>
          <w:rFonts w:hint="eastAsia"/>
          <w:color w:val="auto"/>
          <w:rtl w:val="0"/>
          <w:lang w:val="en-US" w:eastAsia="zh-CN"/>
        </w:rPr>
        <w:t>推进优势产业协同发展</w:t>
      </w:r>
    </w:p>
    <w:p w14:paraId="2A808A9D">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做优柚果产业。</w:t>
      </w:r>
      <w:r>
        <w:rPr>
          <w:rFonts w:hint="eastAsia"/>
          <w:color w:val="auto"/>
          <w:rtl w:val="0"/>
          <w:lang w:val="en-US" w:eastAsia="zh-CN"/>
        </w:rPr>
        <w:t>推进梅州柚标准化种植和品质提升，开展老旧柚园改造和品种优化。发展柚子精深加工，开发柚汁、柚皮苷、柚子精油等产品，推动全果利用。培育“柚子+”农文旅融合新业态，打造柚园观光、采摘体验等消费场景。</w:t>
      </w:r>
    </w:p>
    <w:p w14:paraId="6249F392">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提升蔬菜产业。</w:t>
      </w:r>
      <w:r>
        <w:rPr>
          <w:rFonts w:hint="eastAsia"/>
          <w:color w:val="auto"/>
          <w:rtl w:val="0"/>
          <w:lang w:val="en-US" w:eastAsia="zh-CN"/>
        </w:rPr>
        <w:t>依托省级蔬菜产业园和粤港澳大湾区“菜篮子”基地，推进蔬菜标准化、设施化生产。发展净菜加工、预制菜等业态，完善冷链物流体系，保障大湾区市场供应。</w:t>
      </w:r>
    </w:p>
    <w:p w14:paraId="59B6B4FB">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稳定发展畜禽产业。</w:t>
      </w:r>
      <w:r>
        <w:rPr>
          <w:rFonts w:hint="eastAsia"/>
          <w:color w:val="auto"/>
          <w:rtl w:val="0"/>
          <w:lang w:val="en-US" w:eastAsia="zh-CN"/>
        </w:rPr>
        <w:t>稳定生猪基础产能，做强五华土鸡、黑山羊等特色家禽产业。推进标准化规模化养殖，完善良种繁育体系。发展肉制品精深加工，开发腊肉、腊肠、预制菜等产品，延伸产业链条。推进畜禽粪污资源化利用，促进种养循环。</w:t>
      </w:r>
    </w:p>
    <w:p w14:paraId="1EA71012">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做强做优生态渔业。</w:t>
      </w:r>
      <w:r>
        <w:rPr>
          <w:rFonts w:hint="eastAsia"/>
          <w:color w:val="auto"/>
          <w:rtl w:val="0"/>
          <w:lang w:val="en-US" w:eastAsia="zh-CN"/>
        </w:rPr>
        <w:t>依托大型水库优质大水面资源，高标准发展生态渔业。大力推广五华鱼生原料鱼网箱养殖+大水面生态鲢鳙养殖模式，实现经济效益与生态效益双丰收。</w:t>
      </w:r>
    </w:p>
    <w:p w14:paraId="13B1914F">
      <w:pPr>
        <w:pStyle w:val="4"/>
        <w:numPr>
          <w:ilvl w:val="0"/>
          <w:numId w:val="3"/>
        </w:numPr>
        <w:rPr>
          <w:rFonts w:hint="eastAsia"/>
          <w:color w:val="auto"/>
          <w:rtl w:val="0"/>
          <w:lang w:val="en-US" w:eastAsia="zh-CN"/>
        </w:rPr>
      </w:pPr>
      <w:r>
        <w:rPr>
          <w:rFonts w:hint="eastAsia"/>
          <w:color w:val="auto"/>
          <w:rtl w:val="0"/>
          <w:lang w:val="en-US" w:eastAsia="zh-CN"/>
        </w:rPr>
        <w:t>深化品牌建设与产业融合</w:t>
      </w:r>
    </w:p>
    <w:p w14:paraId="63411CF1">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构建“五华优选”品牌矩阵。</w:t>
      </w:r>
      <w:r>
        <w:rPr>
          <w:rFonts w:hint="eastAsia"/>
          <w:color w:val="auto"/>
          <w:rtl w:val="0"/>
          <w:lang w:val="en-US" w:eastAsia="zh-CN"/>
        </w:rPr>
        <w:t>以茶叶、菩米、酱油、坚果、长乐烧、“五华壹号”为牵引，持续加强龙头企业、农业经营主体培育，鼓励企业申报“二品一标”，打造“五华菩米”“五华鱼生”“五华坚果”“五华红薯”“五华炒绿”等一批有影响力的区域公用品牌、企业品牌和产品品牌。强化源头认证，积极申请地理标志保护产品、绿色食品、全国名特优新农产品、“粤字号”农业品牌等认证，提升产品附加值和市场信任度。建立品牌授权使用和退出机制，制定准入评价体系、标准体系和溯源监管体系，形成“区域公用品牌+企业品牌+产品品牌”三级联动格局。</w:t>
      </w:r>
    </w:p>
    <w:p w14:paraId="30FD8D5C">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创新农产品市场营销。</w:t>
      </w:r>
      <w:r>
        <w:rPr>
          <w:rFonts w:hint="eastAsia"/>
          <w:color w:val="auto"/>
          <w:rtl w:val="0"/>
          <w:lang w:val="en-US" w:eastAsia="zh-CN"/>
        </w:rPr>
        <w:t>多层次多渠道多方式开展“五华优选”区域公共品牌宣传推介，持续深化赋能“足球+”消费场景，不定期举办农产品展销会、电商直播、品牌推介活动等，提高品牌知名度和美誉度。建设“五华优选”数字化运营平台和线下旗舰展销中心，对接粤港澳大湾区核心商超和主流电商平台。培育本土电商营销团队，发展直播电商、社群营销等新业态，推动特色农产品走向全省、全国市场。</w:t>
      </w:r>
    </w:p>
    <w:p w14:paraId="75B224D3">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培育“农业+”新业态。</w:t>
      </w:r>
      <w:r>
        <w:rPr>
          <w:rFonts w:hint="eastAsia"/>
          <w:color w:val="auto"/>
          <w:rtl w:val="0"/>
          <w:lang w:val="en-US" w:eastAsia="zh-CN"/>
        </w:rPr>
        <w:t>依托中超赛事平台，深化“足球+农业+文旅”融合发展，开发“球票+农特产”“赛事+美食”等消费场景。以岐岭酒文化、华城状元文化、长布生态康养、龙村茶旅融合、柚园观光采摘为重点，打造差异化主题旅游线路。发展研学旅行、劳动教育、精品民宿、共享农场等新业态，推进乡村产业社区建设，打造集生产、加工、体验、消费于一体的产业融合载体。</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105F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3BAAB5B3">
            <w:pPr>
              <w:pStyle w:val="8"/>
              <w:bidi w:val="0"/>
              <w:rPr>
                <w:rFonts w:hint="default" w:ascii="仿宋_GB2312" w:hAnsi="仿宋_GB2312" w:eastAsia="仿宋_GB2312" w:cs="仿宋_GB2312"/>
                <w:b/>
                <w:bCs/>
                <w:color w:val="auto"/>
                <w:kern w:val="2"/>
                <w:sz w:val="32"/>
                <w:szCs w:val="32"/>
                <w:shd w:val="clear" w:color="auto" w:fill="auto"/>
                <w:lang w:val="en-US" w:eastAsia="zh-CN" w:bidi="ar-SA"/>
              </w:rPr>
            </w:pPr>
            <w:r>
              <w:rPr>
                <w:rFonts w:hint="eastAsia" w:ascii="仿宋_GB2312" w:hAnsi="仿宋_GB2312" w:eastAsia="仿宋_GB2312" w:cs="仿宋_GB2312"/>
                <w:color w:val="auto"/>
                <w:sz w:val="32"/>
                <w:szCs w:val="32"/>
                <w:lang w:val="en-US" w:eastAsia="zh-CN"/>
              </w:rPr>
              <w:t>专栏2 五华特色产业全链条升级工程</w:t>
            </w:r>
          </w:p>
        </w:tc>
      </w:tr>
      <w:tr w14:paraId="61EC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78134D63">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三个农业产业发展工程</w:t>
            </w:r>
          </w:p>
          <w:p w14:paraId="40221B9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五华菩米精深加工工程。提质升级五华菩米精深加工，健全菩米初始品质甄选标准，规范全流程品质管控，加快推进菩米加工厂房建设、菩米加工厂房及仓储中心建设等重点项目落地见效，延伸菩米深加工链条，研发即食菩米、菩米代餐、菩米糕点、菩米米粉、控糖功能性食品等多元化产品。力争到2030年，五华菩米产值达到30亿元。</w:t>
            </w:r>
          </w:p>
          <w:p w14:paraId="07FE408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五华坚果培育发展工程。扩大五华坚果种植规模，强化推广力度，深化村企产业合作，引导广大农户积极参与坚果种植，聚力打造“百亩千株万元”五华坚果特色种植区。科学谋划布局坚果精深加工及展销一体化项目，统筹布局标准化加工基地、产品展销中心、线上线下营销网点，推动坚果产业链条延伸，开发坚果零食、坚果礼盒、坚果烘焙原料、复合坚果制品等特色产品。力争到2030年，五华坚果产值达到40亿元。</w:t>
            </w:r>
          </w:p>
          <w:p w14:paraId="2EA8953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default"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五华茶叶发展工程。聚焦五华茶叶产业提质升级，补齐初加工设施短板，完善标准化茶叶初加工厂房、清洁化加工生产线、萎凋槽、杀青机、揉捻机、烘干设备等配套设施。配套建设茶叶分拣、仓储、简易包装等设施，推动茶叶初加工规范化、精细化发展。力争到2030年，五华茶叶产值达到20亿元。</w:t>
            </w:r>
          </w:p>
          <w:p w14:paraId="4527B94C">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三个特色产品培育工程</w:t>
            </w:r>
          </w:p>
          <w:p w14:paraId="2DF35FC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五华鱼生”特产培育工程。支持上游渔业养殖高品质化，支持生态养殖、绿色循环养殖。加强鱼生配料本地化供应链建设，引导农户与食品佐料加工企业合作，推动鱼生配料标准化套装研发与生产。支持五华鱼生“预制化”发展，加强区域冷链快速配送等新技术、新场景应用，扩大五华鱼生加工预制产品市场。加强五华鱼生品鉴推广，加快鱼生美食一条街建设项目建设，通过赛事、旅游、活动等渠道推广五华鱼生消费场景。力争到2030年，五华鱼生产值达到10亿元。</w:t>
            </w:r>
          </w:p>
          <w:p w14:paraId="4D1B2E7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五华红薯”特产培育工程。支持保持品质基础上扩大五华红薯种植规模，强化农户技术培训，健全产后分选、贮藏保鲜、产业链延伸配套机制，稳步提升五华红薯品质、产量与品牌效益。支持红薯食品化产品创新，力争打造“五华红薯”特产系列。</w:t>
            </w:r>
          </w:p>
          <w:p w14:paraId="2D682C6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大田柿花”特产培育工程。强化推广力度，深化村企产业合作，以收益提升农户种植意愿，进一步扩大大田柿花规模。支持大田柿花与食品加工企业合作，开发大田柿花多品类产品。推动大田柿花开展采摘、体验初加工等农旅融合活动，扩大大田柿花影响力。</w:t>
            </w:r>
          </w:p>
          <w:p w14:paraId="7C6DF4C9">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优势品牌建设工程</w:t>
            </w:r>
          </w:p>
          <w:p w14:paraId="0D6A033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养殖建链行动。支持“五华壹号”加强种养基础规模建设，按照原生态、高品质、无公害的健康产品核心理念，改造和新建一批标准化、智能化生猪养殖基地，配套粪污资源化利用设施，积极推动华城、安流、华阳三个镇生猪定点屠宰场迁建项目及华运肉猪养殖二期生产基地建设，有序布局“养殖+粪污处理+有机肥生产+种植/渔业养殖”全链条示范项目，力争实现养殖场粪污资源化利用率达95%以上。</w:t>
            </w:r>
          </w:p>
          <w:p w14:paraId="602D252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加工延链行动。持续加强冷链物流中心配套设施建设，培育和引进畜牧深加工企业，突破传统屠宰模式，延伸腌制品、休闲零食、预制菜等深加工链条，积极开发畜禽深加工产品品类，提升产品附加值。</w:t>
            </w:r>
          </w:p>
          <w:p w14:paraId="66AC120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数字融链行动。推广养殖数字化监测系统，搭建“养殖－加工－物流－销售”数字平台，提升数字化智能化赋能养殖产业高质量发展。</w:t>
            </w:r>
          </w:p>
          <w:p w14:paraId="31B0B936">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b/>
                <w:bCs/>
                <w:color w:val="auto"/>
                <w:sz w:val="21"/>
                <w:szCs w:val="21"/>
                <w:lang w:val="en-US" w:eastAsia="zh-CN"/>
              </w:rPr>
            </w:pPr>
            <w:r>
              <w:rPr>
                <w:rFonts w:hint="eastAsia" w:ascii="仿宋_GB2312" w:hAnsi="仿宋_GB2312" w:eastAsia="仿宋_GB2312" w:cs="仿宋_GB2312"/>
                <w:b/>
                <w:bCs/>
                <w:color w:val="auto"/>
                <w:sz w:val="28"/>
                <w:szCs w:val="36"/>
                <w:lang w:val="en-US" w:eastAsia="zh-CN"/>
              </w:rPr>
              <w:t>N个镇域特色产业培育工程</w:t>
            </w:r>
          </w:p>
          <w:p w14:paraId="2DD948B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基地建链行动。深化“一村一品、一镇一业”，引导每个镇重点培育1—2个特色产业，推动南药、油茶、桑芽菜等规模化种植，鼓励农户、合作社积极运用生态优势，建立林下经济示范区，加快岐岭镇罗经村菌菇种植加工项目建设等项目建设，因地制宜有序发展食用菌、药用菌等林下经济新业态，夯实产业链上游基础。</w:t>
            </w:r>
          </w:p>
          <w:p w14:paraId="3E03A2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val="0"/>
                <w:bCs w:val="0"/>
                <w:color w:val="auto"/>
                <w:sz w:val="28"/>
                <w:szCs w:val="36"/>
                <w:lang w:val="en-US" w:eastAsia="zh-CN"/>
              </w:rPr>
              <w:t>技术补链行动。积极与大湾区科研院所共建特色产业技术服务平台，开展品种改良、绿色种植技术、初加工技术攻关，补齐产业链技术短板。</w:t>
            </w:r>
          </w:p>
          <w:p w14:paraId="6711F60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auto"/>
                <w:sz w:val="21"/>
                <w:szCs w:val="21"/>
                <w:lang w:val="en-US" w:eastAsia="zh-CN"/>
              </w:rPr>
            </w:pPr>
            <w:r>
              <w:rPr>
                <w:rFonts w:hint="eastAsia" w:ascii="仿宋_GB2312" w:hAnsi="仿宋_GB2312" w:eastAsia="仿宋_GB2312" w:cs="仿宋_GB2312"/>
                <w:b w:val="0"/>
                <w:bCs w:val="0"/>
                <w:color w:val="auto"/>
                <w:sz w:val="28"/>
                <w:szCs w:val="36"/>
                <w:lang w:val="en-US" w:eastAsia="zh-CN"/>
              </w:rPr>
              <w:t>产销强链行动。依托五华农村电商产业园区，布局镇域特色产品展销节点，引进培育优质电商主体，常态化开展电商技能培训，提升农业经营主体自产自销能力。引导种植大户、农村能人转型电商从业者，推广“订单农业+直播带货”模式，推动县域土特产品向网红产品、品牌产品升级，构建“线上线下融合、产销精准对接”的营销体系。</w:t>
            </w:r>
          </w:p>
        </w:tc>
      </w:tr>
    </w:tbl>
    <w:p w14:paraId="5CAC8DBA">
      <w:pPr>
        <w:pStyle w:val="5"/>
        <w:bidi w:val="0"/>
        <w:rPr>
          <w:rFonts w:hint="eastAsia"/>
          <w:color w:val="auto"/>
          <w:rtl w:val="0"/>
          <w:lang w:val="en-US" w:eastAsia="zh-CN"/>
        </w:rPr>
      </w:pPr>
    </w:p>
    <w:p w14:paraId="20066524">
      <w:pPr>
        <w:pStyle w:val="3"/>
        <w:bidi w:val="0"/>
        <w:rPr>
          <w:rFonts w:hint="default"/>
          <w:color w:val="auto"/>
          <w:rtl w:val="0"/>
          <w:lang w:val="en-US" w:eastAsia="zh-CN"/>
        </w:rPr>
      </w:pPr>
      <w:bookmarkStart w:id="72" w:name="_Toc26259"/>
      <w:r>
        <w:rPr>
          <w:rFonts w:hint="eastAsia"/>
          <w:color w:val="auto"/>
          <w:rtl w:val="0"/>
          <w:lang w:val="en-US" w:eastAsia="zh-CN"/>
        </w:rPr>
        <w:t>第三节 强化农业科技创新 培育新质生产力</w:t>
      </w:r>
      <w:bookmarkEnd w:id="69"/>
      <w:bookmarkEnd w:id="71"/>
      <w:bookmarkEnd w:id="72"/>
    </w:p>
    <w:p w14:paraId="3C33C5CE">
      <w:pPr>
        <w:pStyle w:val="5"/>
        <w:bidi w:val="0"/>
        <w:rPr>
          <w:rFonts w:hint="default"/>
          <w:color w:val="auto"/>
          <w:rtl w:val="0"/>
          <w:lang w:val="en-US" w:eastAsia="zh-CN"/>
        </w:rPr>
      </w:pPr>
      <w:r>
        <w:rPr>
          <w:rFonts w:hint="default"/>
          <w:color w:val="auto"/>
          <w:rtl w:val="0"/>
          <w:lang w:val="en-US" w:eastAsia="zh-CN"/>
        </w:rPr>
        <w:t>坚持科技兴农，将科技创新作为引领农业现代化的核心动力。围绕特色优势产业发展需求，建强创新平台、强化技术攻关、加快成果转化、推广智慧应用，加快培育农业新质生产力，为五华农业农村现代化提供坚实科技支撑。</w:t>
      </w:r>
    </w:p>
    <w:p w14:paraId="25F3457D">
      <w:pPr>
        <w:pStyle w:val="4"/>
        <w:bidi w:val="0"/>
        <w:rPr>
          <w:rFonts w:hint="default"/>
          <w:color w:val="auto"/>
          <w:rtl w:val="0"/>
          <w:lang w:val="en-US" w:eastAsia="zh-CN"/>
        </w:rPr>
      </w:pPr>
      <w:r>
        <w:rPr>
          <w:rFonts w:hint="default"/>
          <w:color w:val="auto"/>
          <w:rtl w:val="0"/>
          <w:lang w:val="en-US" w:eastAsia="zh-CN"/>
        </w:rPr>
        <w:t>一、加强种业创新，夯实产业源头基础</w:t>
      </w:r>
    </w:p>
    <w:p w14:paraId="0440B931">
      <w:pPr>
        <w:pStyle w:val="5"/>
        <w:bidi w:val="0"/>
        <w:rPr>
          <w:rFonts w:hint="default"/>
          <w:color w:val="auto"/>
          <w:rtl w:val="0"/>
          <w:lang w:val="en-US" w:eastAsia="zh-CN"/>
        </w:rPr>
      </w:pPr>
      <w:r>
        <w:rPr>
          <w:rFonts w:hint="eastAsia"/>
          <w:color w:val="auto"/>
          <w:rtl w:val="0"/>
          <w:lang w:val="en-US" w:eastAsia="zh-CN"/>
        </w:rPr>
        <w:t>推进水稻良种选育推广，重点引进丰产性好、抗逆性强、米质优的水稻新品种，建设良种繁育基地，保障优质稻种供应。围绕五华鱼生（赤眼鳟）、河东三黄鸡、龙村三红柚、长布大田柿花等地方特色品种，开展种质资源普查、收集和保护，对优良地方品种进行提纯复壮。规划建设地方特色种质资源库（圃），支持有条件的经营主体建设标准化种苗繁育基地，为特色产业发展提供优质种源保障</w:t>
      </w:r>
      <w:r>
        <w:rPr>
          <w:rFonts w:hint="default"/>
          <w:color w:val="auto"/>
          <w:rtl w:val="0"/>
          <w:lang w:val="en-US" w:eastAsia="zh-CN"/>
        </w:rPr>
        <w:t>。</w:t>
      </w:r>
    </w:p>
    <w:p w14:paraId="5902DD10">
      <w:pPr>
        <w:pStyle w:val="4"/>
        <w:bidi w:val="0"/>
        <w:rPr>
          <w:rFonts w:hint="default"/>
          <w:color w:val="auto"/>
          <w:rtl w:val="0"/>
          <w:lang w:val="en-US" w:eastAsia="zh-CN"/>
        </w:rPr>
      </w:pPr>
      <w:r>
        <w:rPr>
          <w:rFonts w:hint="default"/>
          <w:color w:val="auto"/>
          <w:rtl w:val="0"/>
          <w:lang w:val="en-US" w:eastAsia="zh-CN"/>
        </w:rPr>
        <w:t>二、强化技术攻关，破解产业发展瓶颈</w:t>
      </w:r>
    </w:p>
    <w:p w14:paraId="1273E00B">
      <w:pPr>
        <w:pStyle w:val="5"/>
        <w:bidi w:val="0"/>
        <w:rPr>
          <w:rFonts w:hint="default"/>
          <w:color w:val="auto"/>
          <w:rtl w:val="0"/>
          <w:lang w:val="en-US" w:eastAsia="zh-CN"/>
        </w:rPr>
      </w:pPr>
      <w:r>
        <w:rPr>
          <w:rFonts w:hint="eastAsia"/>
          <w:color w:val="auto"/>
          <w:rtl w:val="0"/>
          <w:lang w:val="en-US" w:eastAsia="zh-CN"/>
        </w:rPr>
        <w:t>构建产学研协同创新体系，深化与省农科院、华南理工大学等科研院校合作，围绕茶叶精深加工、柚果综合利用、腐竹标准化生产、山地适用农机等关键共性技术，设立“揭榜挂帅”项目，面向社会征集技术解决方案。鼓励龙头企业建设技术研发中心，支持重点企业通过技术中心升级突破关键技术，提升自主创新能力。依托省级现代农业产业园，布局建设一批工程技术研究中心、企业技术中心，推动规上企业研发机构全覆盖</w:t>
      </w:r>
      <w:r>
        <w:rPr>
          <w:rFonts w:hint="default"/>
          <w:color w:val="auto"/>
          <w:rtl w:val="0"/>
          <w:lang w:val="en-US" w:eastAsia="zh-CN"/>
        </w:rPr>
        <w:t>。</w:t>
      </w:r>
    </w:p>
    <w:p w14:paraId="07A68B85">
      <w:pPr>
        <w:pStyle w:val="4"/>
        <w:bidi w:val="0"/>
        <w:rPr>
          <w:rFonts w:hint="default"/>
          <w:color w:val="auto"/>
          <w:rtl w:val="0"/>
          <w:lang w:val="en-US" w:eastAsia="zh-CN"/>
        </w:rPr>
      </w:pPr>
      <w:r>
        <w:rPr>
          <w:rFonts w:hint="default"/>
          <w:color w:val="auto"/>
          <w:rtl w:val="0"/>
          <w:lang w:val="en-US" w:eastAsia="zh-CN"/>
        </w:rPr>
        <w:t>三、健全转化机制，加速科技成果应用</w:t>
      </w:r>
    </w:p>
    <w:p w14:paraId="107CD22F">
      <w:pPr>
        <w:pStyle w:val="5"/>
        <w:bidi w:val="0"/>
        <w:rPr>
          <w:rFonts w:hint="default"/>
          <w:color w:val="auto"/>
          <w:rtl w:val="0"/>
          <w:lang w:val="en-US" w:eastAsia="zh-CN"/>
        </w:rPr>
      </w:pPr>
      <w:r>
        <w:rPr>
          <w:rFonts w:hint="eastAsia"/>
          <w:color w:val="auto"/>
          <w:rtl w:val="0"/>
          <w:lang w:val="en-US" w:eastAsia="zh-CN"/>
        </w:rPr>
        <w:t>建立“政产学研用”协同创新机制，完善科技成果转化体系。建设农业科技示范基地，开展新品种、新技术、新装备的集成示范和推广应用。完善“专家+示范基地+科技示范户+普通农户”技术推广模式，建强镇级农技推广服务站，培育一批“土专家”“田秀才”。鼓励科研人员、技术专家深入田间地头开展技术指导服务，打通科技成果下乡进村通道</w:t>
      </w:r>
      <w:r>
        <w:rPr>
          <w:rFonts w:hint="default"/>
          <w:color w:val="auto"/>
          <w:rtl w:val="0"/>
          <w:lang w:val="en-US" w:eastAsia="zh-CN"/>
        </w:rPr>
        <w:t>。</w:t>
      </w:r>
    </w:p>
    <w:p w14:paraId="0B5E5FDA">
      <w:pPr>
        <w:pStyle w:val="4"/>
        <w:bidi w:val="0"/>
        <w:rPr>
          <w:rFonts w:hint="default"/>
          <w:color w:val="auto"/>
          <w:rtl w:val="0"/>
          <w:lang w:val="en-US" w:eastAsia="zh-CN"/>
        </w:rPr>
      </w:pPr>
      <w:r>
        <w:rPr>
          <w:rFonts w:hint="default"/>
          <w:color w:val="auto"/>
          <w:rtl w:val="0"/>
          <w:lang w:val="en-US" w:eastAsia="zh-CN"/>
        </w:rPr>
        <w:t>四、提升装备水平，赋能产业提质增效</w:t>
      </w:r>
    </w:p>
    <w:p w14:paraId="50AB6228">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补齐冷链物流设施短板。</w:t>
      </w:r>
      <w:r>
        <w:rPr>
          <w:rFonts w:hint="default"/>
          <w:color w:val="auto"/>
          <w:rtl w:val="0"/>
          <w:lang w:val="en-US" w:eastAsia="zh-CN"/>
        </w:rPr>
        <w:t>围绕蔬菜、水果、畜禽、水产等鲜活农产品主产区，规划建设一批集预冷、分级、包装、仓储、加工于一体的产地仓储加工物流中心。通过</w:t>
      </w:r>
      <w:r>
        <w:rPr>
          <w:rFonts w:hint="eastAsia"/>
          <w:color w:val="auto"/>
          <w:rtl w:val="0"/>
          <w:lang w:val="en-US" w:eastAsia="zh-CN"/>
        </w:rPr>
        <w:t>“</w:t>
      </w:r>
      <w:r>
        <w:rPr>
          <w:rFonts w:hint="default"/>
          <w:color w:val="auto"/>
          <w:rtl w:val="0"/>
          <w:lang w:val="en-US" w:eastAsia="zh-CN"/>
        </w:rPr>
        <w:t>补改投</w:t>
      </w:r>
      <w:r>
        <w:rPr>
          <w:rFonts w:hint="eastAsia"/>
          <w:color w:val="auto"/>
          <w:rtl w:val="0"/>
          <w:lang w:val="en-US" w:eastAsia="zh-CN"/>
        </w:rPr>
        <w:t>”</w:t>
      </w:r>
      <w:r>
        <w:rPr>
          <w:rFonts w:hint="default"/>
          <w:color w:val="auto"/>
          <w:rtl w:val="0"/>
          <w:lang w:val="en-US" w:eastAsia="zh-CN"/>
        </w:rPr>
        <w:t>等方式撬动社会资本参与，构建覆盖全县、衔接顺畅的冷链物流网络，降低农产品产后损耗，提升商品化处理能力。</w:t>
      </w:r>
    </w:p>
    <w:p w14:paraId="02F323E3">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推广适用农机装备。</w:t>
      </w:r>
      <w:r>
        <w:rPr>
          <w:rFonts w:hint="default"/>
          <w:color w:val="auto"/>
          <w:rtl w:val="0"/>
          <w:lang w:val="en-US" w:eastAsia="zh-CN"/>
        </w:rPr>
        <w:t>针对丘陵山区特点，引进推广小型、轻便、多功能的适用农机装备，解决山地果园、茶园</w:t>
      </w:r>
      <w:r>
        <w:rPr>
          <w:rFonts w:hint="eastAsia"/>
          <w:color w:val="auto"/>
          <w:rtl w:val="0"/>
          <w:lang w:val="en-US" w:eastAsia="zh-CN"/>
        </w:rPr>
        <w:t>“</w:t>
      </w:r>
      <w:r>
        <w:rPr>
          <w:rFonts w:hint="default"/>
          <w:color w:val="auto"/>
          <w:rtl w:val="0"/>
          <w:lang w:val="en-US" w:eastAsia="zh-CN"/>
        </w:rPr>
        <w:t>无机可用</w:t>
      </w:r>
      <w:r>
        <w:rPr>
          <w:rFonts w:hint="eastAsia"/>
          <w:color w:val="auto"/>
          <w:rtl w:val="0"/>
          <w:lang w:val="en-US" w:eastAsia="zh-CN"/>
        </w:rPr>
        <w:t>”</w:t>
      </w:r>
      <w:r>
        <w:rPr>
          <w:rFonts w:hint="default"/>
          <w:color w:val="auto"/>
          <w:rtl w:val="0"/>
          <w:lang w:val="en-US" w:eastAsia="zh-CN"/>
        </w:rPr>
        <w:t>问题。示范推广柚果无损分拣、茶叶自动化加工、腐竹标准化生产等专用设备，提升特色产业机械化水平。</w:t>
      </w:r>
    </w:p>
    <w:p w14:paraId="03ACA8F8">
      <w:pPr>
        <w:pStyle w:val="4"/>
        <w:bidi w:val="0"/>
        <w:rPr>
          <w:rFonts w:hint="default"/>
          <w:color w:val="auto"/>
          <w:rtl w:val="0"/>
          <w:lang w:val="en-US" w:eastAsia="zh-CN"/>
        </w:rPr>
      </w:pPr>
      <w:r>
        <w:rPr>
          <w:rFonts w:hint="default"/>
          <w:color w:val="auto"/>
          <w:rtl w:val="0"/>
          <w:lang w:val="en-US" w:eastAsia="zh-CN"/>
        </w:rPr>
        <w:t>五、发展数字农业，培育智慧农业新形态</w:t>
      </w:r>
    </w:p>
    <w:p w14:paraId="3D01E77F">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建设智慧农业示范基地。</w:t>
      </w:r>
      <w:r>
        <w:rPr>
          <w:rFonts w:hint="default"/>
          <w:color w:val="auto"/>
          <w:rtl w:val="0"/>
          <w:lang w:val="en-US" w:eastAsia="zh-CN"/>
        </w:rPr>
        <w:t>以</w:t>
      </w:r>
      <w:r>
        <w:rPr>
          <w:rFonts w:hint="eastAsia"/>
          <w:color w:val="auto"/>
          <w:rtl w:val="0"/>
          <w:lang w:val="en-US" w:eastAsia="zh-CN"/>
        </w:rPr>
        <w:t>“</w:t>
      </w:r>
      <w:r>
        <w:rPr>
          <w:rFonts w:hint="default"/>
          <w:color w:val="auto"/>
          <w:rtl w:val="0"/>
          <w:lang w:val="en-US" w:eastAsia="zh-CN"/>
        </w:rPr>
        <w:t>数智水寨</w:t>
      </w:r>
      <w:r>
        <w:rPr>
          <w:rFonts w:hint="eastAsia"/>
          <w:color w:val="auto"/>
          <w:rtl w:val="0"/>
          <w:lang w:val="en-US" w:eastAsia="zh-CN"/>
        </w:rPr>
        <w:t>”“</w:t>
      </w:r>
      <w:r>
        <w:rPr>
          <w:rFonts w:hint="default"/>
          <w:color w:val="auto"/>
          <w:rtl w:val="0"/>
          <w:lang w:val="en-US" w:eastAsia="zh-CN"/>
        </w:rPr>
        <w:t>数字郭田</w:t>
      </w:r>
      <w:r>
        <w:rPr>
          <w:rFonts w:hint="eastAsia"/>
          <w:color w:val="auto"/>
          <w:rtl w:val="0"/>
          <w:lang w:val="en-US" w:eastAsia="zh-CN"/>
        </w:rPr>
        <w:t>”</w:t>
      </w:r>
      <w:r>
        <w:rPr>
          <w:rFonts w:hint="default"/>
          <w:color w:val="auto"/>
          <w:rtl w:val="0"/>
          <w:lang w:val="en-US" w:eastAsia="zh-CN"/>
        </w:rPr>
        <w:t>为样板，在茶叶、柚果、蔬菜、水产等领域打造一批智慧农业示范园。推广智能温控系统应用经验，集成应用水肥一体化、环境智能调控、病虫害智能监测预警、无人机精准作业等技术，实现生产过程精准化、智能化管理。</w:t>
      </w:r>
    </w:p>
    <w:p w14:paraId="7DA278D4">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拓展数字技术应用场景。</w:t>
      </w:r>
      <w:r>
        <w:rPr>
          <w:rFonts w:hint="default"/>
          <w:color w:val="auto"/>
          <w:rtl w:val="0"/>
          <w:lang w:val="en-US" w:eastAsia="zh-CN"/>
        </w:rPr>
        <w:t>推进5G、物联网、大数据、人工智能与现代农业深度融合，建设县级数字乡村平台，整合农业生产、市场、科技、人才等数据资源。在茶叶、柚果等重点产业建设数字化车间。拓展无人机在植保、施肥、巡田等领域的应用，发展</w:t>
      </w:r>
      <w:r>
        <w:rPr>
          <w:rFonts w:hint="eastAsia"/>
          <w:color w:val="auto"/>
          <w:rtl w:val="0"/>
          <w:lang w:val="en-US" w:eastAsia="zh-CN"/>
        </w:rPr>
        <w:t>“</w:t>
      </w:r>
      <w:r>
        <w:rPr>
          <w:rFonts w:hint="default"/>
          <w:color w:val="auto"/>
          <w:rtl w:val="0"/>
          <w:lang w:val="en-US" w:eastAsia="zh-CN"/>
        </w:rPr>
        <w:t>低空+农业</w:t>
      </w:r>
      <w:r>
        <w:rPr>
          <w:rFonts w:hint="eastAsia"/>
          <w:color w:val="auto"/>
          <w:rtl w:val="0"/>
          <w:lang w:val="en-US" w:eastAsia="zh-CN"/>
        </w:rPr>
        <w:t>”</w:t>
      </w:r>
      <w:r>
        <w:rPr>
          <w:rFonts w:hint="default"/>
          <w:color w:val="auto"/>
          <w:rtl w:val="0"/>
          <w:lang w:val="en-US" w:eastAsia="zh-CN"/>
        </w:rPr>
        <w:t>新业态，提升农业生产效率和智能化水平。</w:t>
      </w:r>
    </w:p>
    <w:p w14:paraId="7A0456FD">
      <w:pPr>
        <w:pStyle w:val="4"/>
        <w:bidi w:val="0"/>
        <w:rPr>
          <w:rFonts w:hint="default"/>
          <w:color w:val="auto"/>
          <w:rtl w:val="0"/>
          <w:lang w:val="en-US" w:eastAsia="zh-CN"/>
        </w:rPr>
      </w:pPr>
      <w:r>
        <w:rPr>
          <w:rFonts w:hint="eastAsia"/>
          <w:color w:val="auto"/>
          <w:rtl w:val="0"/>
          <w:lang w:val="en-US" w:eastAsia="zh-CN"/>
        </w:rPr>
        <w:t>六</w:t>
      </w:r>
      <w:r>
        <w:rPr>
          <w:rFonts w:hint="default"/>
          <w:color w:val="auto"/>
          <w:rtl w:val="0"/>
          <w:lang w:val="en-US" w:eastAsia="zh-CN"/>
        </w:rPr>
        <w:t>、推广绿色技术，促进农业可持续发展</w:t>
      </w:r>
    </w:p>
    <w:p w14:paraId="6E1BAEE4">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推广渔业绿色生态养殖模式。</w:t>
      </w:r>
      <w:r>
        <w:rPr>
          <w:rFonts w:hint="default"/>
          <w:color w:val="auto"/>
          <w:rtl w:val="0"/>
          <w:lang w:val="en-US" w:eastAsia="zh-CN"/>
        </w:rPr>
        <w:t>重点发展赤眼鳟、草鱼等鱼生原料鱼的生态养殖，实现经济效益与生态效益双丰收。发展林下经济，推广林下种植南药、菌菇和林下养殖等复合经营模式，提高土地综合效益。推进畜禽粪污资源化利用，促进种养循环，构建绿色农业生态系统。</w:t>
      </w:r>
    </w:p>
    <w:p w14:paraId="3A938448">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推广应用绿色生产技术。</w:t>
      </w:r>
      <w:r>
        <w:rPr>
          <w:rFonts w:hint="default"/>
          <w:color w:val="auto"/>
          <w:rtl w:val="0"/>
          <w:lang w:val="en-US" w:eastAsia="zh-CN"/>
        </w:rPr>
        <w:t>推广测土配方施肥、有机肥替代化肥、病虫害绿色防控等技术，减少化肥农药使用量。加强农业面源污染治理，推进农作物秸秆、废旧农膜资源化利用。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5278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722046BD">
            <w:pPr>
              <w:pStyle w:val="8"/>
              <w:bidi w:val="0"/>
              <w:rPr>
                <w:rFonts w:hint="eastAsia" w:ascii="仿宋" w:hAnsi="仿宋" w:eastAsia="仿宋" w:cs="仿宋"/>
                <w:b/>
                <w:bCs/>
                <w:color w:val="auto"/>
                <w:kern w:val="2"/>
                <w:sz w:val="21"/>
                <w:szCs w:val="21"/>
                <w:shd w:val="clear" w:color="auto" w:fill="auto"/>
                <w:lang w:val="en-US" w:eastAsia="zh-CN" w:bidi="ar-SA"/>
              </w:rPr>
            </w:pPr>
            <w:r>
              <w:rPr>
                <w:rFonts w:hint="eastAsia" w:ascii="仿宋_GB2312" w:hAnsi="仿宋_GB2312" w:eastAsia="仿宋_GB2312" w:cs="仿宋_GB2312"/>
                <w:color w:val="auto"/>
                <w:sz w:val="32"/>
                <w:szCs w:val="32"/>
                <w:lang w:val="en-US" w:eastAsia="zh-CN"/>
              </w:rPr>
              <w:t>专栏3  农业新质生产力培育工程</w:t>
            </w:r>
          </w:p>
        </w:tc>
      </w:tr>
      <w:tr w14:paraId="2378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03FEA314">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特色种质资源保护与利用行动。</w:t>
            </w:r>
            <w:r>
              <w:rPr>
                <w:rFonts w:hint="eastAsia" w:ascii="仿宋_GB2312" w:hAnsi="仿宋_GB2312" w:eastAsia="仿宋_GB2312" w:cs="仿宋_GB2312"/>
                <w:b w:val="0"/>
                <w:bCs w:val="0"/>
                <w:color w:val="auto"/>
                <w:sz w:val="28"/>
                <w:szCs w:val="36"/>
                <w:lang w:val="en-US" w:eastAsia="zh-CN"/>
              </w:rPr>
              <w:t>规划建设五华地方特色农产品种质资源圃，重点对五华土鸡、特色柚果、大田柿花等进行提纯复壮和活体保种。建设标准化鱼苗繁育基地，重点攻克“五华鱼生”原料鱼赤眼鳟的人工繁育技术，从源头解决产业发展的瓶颈。</w:t>
            </w:r>
          </w:p>
          <w:p w14:paraId="6D3917CA">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农产品加工及冷链物流设施补短板行动。</w:t>
            </w:r>
            <w:r>
              <w:rPr>
                <w:rFonts w:hint="eastAsia" w:ascii="仿宋_GB2312" w:hAnsi="仿宋_GB2312" w:eastAsia="仿宋_GB2312" w:cs="仿宋_GB2312"/>
                <w:b w:val="0"/>
                <w:bCs w:val="0"/>
                <w:color w:val="auto"/>
                <w:sz w:val="28"/>
                <w:szCs w:val="36"/>
                <w:lang w:val="en-US" w:eastAsia="zh-CN"/>
              </w:rPr>
              <w:t>采取“集中建设”和“分点布局”相结合的方式，规划建设镇级农产品加工及仓储物流中心，重点布局在华城、长布、双华、郭田等加工需求迫切的乡镇。构建覆盖全县、衔接顺畅的冷链物流网络，降低农产品产后损耗。</w:t>
            </w:r>
          </w:p>
          <w:p w14:paraId="73186AEA">
            <w:pPr>
              <w:keepNext w:val="0"/>
              <w:keepLines w:val="0"/>
              <w:pageBreakBefore w:val="0"/>
              <w:widowControl w:val="0"/>
              <w:numPr>
                <w:ilvl w:val="0"/>
                <w:numId w:val="5"/>
              </w:numPr>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color w:val="auto"/>
                <w:kern w:val="2"/>
                <w:sz w:val="21"/>
                <w:szCs w:val="21"/>
                <w:shd w:val="clear" w:color="auto" w:fill="auto"/>
                <w:lang w:val="en-US" w:eastAsia="zh-CN" w:bidi="ar-SA"/>
              </w:rPr>
            </w:pPr>
            <w:r>
              <w:rPr>
                <w:rFonts w:hint="eastAsia" w:ascii="仿宋_GB2312" w:hAnsi="仿宋_GB2312" w:eastAsia="仿宋_GB2312" w:cs="仿宋_GB2312"/>
                <w:b/>
                <w:bCs/>
                <w:color w:val="auto"/>
                <w:sz w:val="28"/>
                <w:szCs w:val="36"/>
                <w:lang w:val="en-US" w:eastAsia="zh-CN"/>
              </w:rPr>
              <w:t>智慧农业示范基地建设行动。</w:t>
            </w:r>
            <w:r>
              <w:rPr>
                <w:rFonts w:hint="eastAsia" w:ascii="仿宋_GB2312" w:hAnsi="仿宋_GB2312" w:eastAsia="仿宋_GB2312" w:cs="仿宋_GB2312"/>
                <w:b w:val="0"/>
                <w:bCs w:val="0"/>
                <w:color w:val="auto"/>
                <w:sz w:val="28"/>
                <w:szCs w:val="36"/>
                <w:lang w:val="en-US" w:eastAsia="zh-CN"/>
              </w:rPr>
              <w:t>重点支持和推广华阳镇智能气雾栽培技术，在全县范围内围绕茶叶、柚果、蔬菜、水产等优势产业，创建智慧农业示范园，集成推广水肥一体化、物联网监控、智能装备等技术。</w:t>
            </w:r>
          </w:p>
        </w:tc>
      </w:tr>
    </w:tbl>
    <w:p w14:paraId="1FB24842">
      <w:pPr>
        <w:pStyle w:val="5"/>
        <w:bidi w:val="0"/>
        <w:rPr>
          <w:rFonts w:hint="eastAsia"/>
          <w:color w:val="auto"/>
          <w:rtl w:val="0"/>
          <w:lang w:val="en-US" w:eastAsia="zh-CN"/>
        </w:rPr>
      </w:pPr>
      <w:bookmarkStart w:id="73" w:name="_Toc16487"/>
    </w:p>
    <w:bookmarkEnd w:id="73"/>
    <w:p w14:paraId="46BB55F5">
      <w:pPr>
        <w:pStyle w:val="3"/>
        <w:numPr>
          <w:ilvl w:val="0"/>
          <w:numId w:val="0"/>
        </w:numPr>
        <w:bidi w:val="0"/>
        <w:rPr>
          <w:rFonts w:hint="eastAsia"/>
          <w:color w:val="auto"/>
          <w:rtl w:val="0"/>
          <w:lang w:val="en-US" w:eastAsia="zh-CN"/>
        </w:rPr>
      </w:pPr>
      <w:bookmarkStart w:id="74" w:name="_Toc23627"/>
      <w:bookmarkStart w:id="75" w:name="_Toc10955"/>
      <w:bookmarkStart w:id="76" w:name="_Toc22560"/>
      <w:r>
        <w:rPr>
          <w:rFonts w:hint="eastAsia"/>
          <w:color w:val="auto"/>
          <w:rtl w:val="0"/>
          <w:lang w:val="en-US" w:eastAsia="zh-CN"/>
        </w:rPr>
        <w:t>第四节 强化产业融通 主动服务全县现代产业体系</w:t>
      </w:r>
      <w:bookmarkEnd w:id="74"/>
    </w:p>
    <w:p w14:paraId="36A4968D">
      <w:pPr>
        <w:pStyle w:val="5"/>
        <w:bidi w:val="0"/>
        <w:rPr>
          <w:rFonts w:hint="eastAsia"/>
          <w:color w:val="auto"/>
          <w:rtl w:val="0"/>
          <w:lang w:val="en-US" w:eastAsia="zh-CN"/>
        </w:rPr>
      </w:pPr>
      <w:r>
        <w:rPr>
          <w:rFonts w:hint="eastAsia"/>
          <w:color w:val="auto"/>
          <w:rtl w:val="0"/>
          <w:lang w:val="en-US" w:eastAsia="zh-CN"/>
        </w:rPr>
        <w:t>立足五华县“2231”现代化产业体系建设全局，充分发挥农业农村的资源优势与产业基础，推动农业与全县主导产业、特色产业、新兴产业深度融通、协同发展，形成一二三产业深度融合、互为支撑的产业生态。</w:t>
      </w:r>
    </w:p>
    <w:p w14:paraId="4ACA7F0E">
      <w:pPr>
        <w:pStyle w:val="4"/>
        <w:bidi w:val="0"/>
        <w:rPr>
          <w:rFonts w:hint="eastAsia"/>
          <w:color w:val="auto"/>
          <w:rtl w:val="0"/>
          <w:lang w:val="en-US" w:eastAsia="zh-CN"/>
        </w:rPr>
      </w:pPr>
      <w:r>
        <w:rPr>
          <w:rFonts w:hint="eastAsia"/>
          <w:color w:val="auto"/>
          <w:rtl w:val="0"/>
          <w:lang w:val="en-US" w:eastAsia="zh-CN"/>
        </w:rPr>
        <w:t>一、支撑现代农业与食品产业发展壮大</w:t>
      </w:r>
    </w:p>
    <w:p w14:paraId="72FC4743">
      <w:pPr>
        <w:pStyle w:val="5"/>
        <w:bidi w:val="0"/>
        <w:rPr>
          <w:rFonts w:hint="eastAsia"/>
          <w:color w:val="auto"/>
          <w:rtl w:val="0"/>
          <w:lang w:val="en-US" w:eastAsia="zh-CN"/>
        </w:rPr>
      </w:pPr>
      <w:r>
        <w:rPr>
          <w:rFonts w:hint="eastAsia"/>
          <w:color w:val="auto"/>
          <w:rtl w:val="0"/>
          <w:lang w:val="en-US" w:eastAsia="zh-CN"/>
        </w:rPr>
        <w:t>紧密对接全县现代农业与食品特色产业发展方向，以六大特色优势产业为核心，为食品饮料加工提供标准化、规模化、高品质的初级农产品。</w:t>
      </w:r>
    </w:p>
    <w:p w14:paraId="4A70BC2A">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服务粮油主食加工。</w:t>
      </w:r>
      <w:r>
        <w:rPr>
          <w:rFonts w:hint="eastAsia"/>
          <w:color w:val="auto"/>
          <w:rtl w:val="0"/>
          <w:lang w:val="en-US" w:eastAsia="zh-CN"/>
        </w:rPr>
        <w:t>依托丝苗米（含菩米）、高山红薯等种植基地，为粮食精深加工、菩米健康食品、粉丝制品等提供稳定原料保障。</w:t>
      </w:r>
    </w:p>
    <w:p w14:paraId="300554BD">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服务特色饮品酿造。</w:t>
      </w:r>
      <w:r>
        <w:rPr>
          <w:rFonts w:hint="eastAsia"/>
          <w:color w:val="auto"/>
          <w:rtl w:val="0"/>
          <w:lang w:val="en-US" w:eastAsia="zh-CN"/>
        </w:rPr>
        <w:t>依托优质茶叶、南药、金柚等资源，对接长乐烧、康奇力等龙头企业，支撑茶饮料、保健酒、果汁饮品等产品开发。着力改变茶叶等农产品以原料外流为主的现状，推动本地精深加工转化率显著提升。</w:t>
      </w:r>
    </w:p>
    <w:p w14:paraId="1D252373">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服务预制菜与肉制品加工。</w:t>
      </w:r>
      <w:r>
        <w:rPr>
          <w:rFonts w:hint="eastAsia"/>
          <w:color w:val="auto"/>
          <w:rtl w:val="0"/>
          <w:lang w:val="en-US" w:eastAsia="zh-CN"/>
        </w:rPr>
        <w:t>依托生猪、家禽、特色水产（赤眼鳟）的规模化养殖，为腊味、盐焗食品、冷链鱼生等客家特色预制菜提供安全可靠的食材供应。</w:t>
      </w:r>
    </w:p>
    <w:p w14:paraId="003EFC1B">
      <w:pPr>
        <w:pStyle w:val="4"/>
        <w:bidi w:val="0"/>
        <w:rPr>
          <w:rFonts w:hint="default"/>
          <w:color w:val="auto"/>
          <w:rtl w:val="0"/>
          <w:lang w:val="en-US" w:eastAsia="zh-CN"/>
        </w:rPr>
      </w:pPr>
      <w:r>
        <w:rPr>
          <w:rFonts w:hint="eastAsia"/>
          <w:color w:val="auto"/>
          <w:rtl w:val="0"/>
          <w:lang w:val="en-US" w:eastAsia="zh-CN"/>
        </w:rPr>
        <w:t>二、融入循环经济与低空经济新赛道</w:t>
      </w:r>
    </w:p>
    <w:p w14:paraId="1DA4CC81">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融入循环经济体系。</w:t>
      </w:r>
      <w:r>
        <w:rPr>
          <w:rFonts w:hint="eastAsia"/>
          <w:color w:val="auto"/>
          <w:rtl w:val="0"/>
          <w:lang w:val="en-US" w:eastAsia="zh-CN"/>
        </w:rPr>
        <w:t>在安流等镇推广“猪—沼—果（茶/菜）”等种养循环模式，建设畜禽粪污资源化利用中心，将农业废弃物转化为有机肥、生物质能源，衔接安流生态产业园的循环经济产业链。</w:t>
      </w:r>
    </w:p>
    <w:p w14:paraId="7516080B">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拓展低空经济应用。</w:t>
      </w:r>
      <w:r>
        <w:rPr>
          <w:rFonts w:hint="eastAsia"/>
          <w:color w:val="auto"/>
          <w:rtl w:val="0"/>
          <w:lang w:val="en-US" w:eastAsia="zh-CN"/>
        </w:rPr>
        <w:t>在南部茶旅融合区、中部粮食主产区，率先示范推广无人机植保、无人机施肥、无人机巡田等智慧作业场景，培育“低空+农业”的新质生产力实践样板，为全县低空经济产业发展提供广阔市场。</w:t>
      </w:r>
    </w:p>
    <w:p w14:paraId="35BC505C">
      <w:pPr>
        <w:pStyle w:val="4"/>
        <w:bidi w:val="0"/>
        <w:rPr>
          <w:rFonts w:hint="eastAsia"/>
          <w:color w:val="auto"/>
          <w:rtl w:val="0"/>
          <w:lang w:val="en-US" w:eastAsia="zh-CN"/>
        </w:rPr>
      </w:pPr>
      <w:r>
        <w:rPr>
          <w:rFonts w:hint="eastAsia"/>
          <w:color w:val="auto"/>
          <w:rtl w:val="0"/>
          <w:lang w:val="en-US" w:eastAsia="zh-CN"/>
        </w:rPr>
        <w:t>三、赋能口腔健康与文旅康养新业态</w:t>
      </w:r>
    </w:p>
    <w:p w14:paraId="3D2C475D">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支撑口腔健康特色产业。</w:t>
      </w:r>
      <w:r>
        <w:rPr>
          <w:rFonts w:hint="eastAsia"/>
          <w:color w:val="auto"/>
          <w:rtl w:val="0"/>
          <w:lang w:val="en-US" w:eastAsia="zh-CN"/>
        </w:rPr>
        <w:t>依托南药（牛大力、五指毛桃等）种植基地，对接口腔健康与生物医药产业需求，发展具有消炎、镇痛功效的中药材提取物，探索“药食同源”功能性食品开发。</w:t>
      </w:r>
    </w:p>
    <w:p w14:paraId="542A31E4">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丰富康养旅游体验。</w:t>
      </w:r>
      <w:r>
        <w:rPr>
          <w:rFonts w:hint="eastAsia"/>
          <w:color w:val="auto"/>
          <w:rtl w:val="0"/>
          <w:lang w:val="en-US" w:eastAsia="zh-CN"/>
        </w:rPr>
        <w:t>将茶旅、果旅、药旅线路纳入全县“足球+文旅”精品线路，开发茶园康养、果园采摘、南药膳食等体验产品，延长游客停留时间，提升文旅消费附加值。</w:t>
      </w:r>
    </w:p>
    <w:p w14:paraId="5F788C5D">
      <w:pPr>
        <w:pStyle w:val="3"/>
        <w:bidi w:val="0"/>
        <w:rPr>
          <w:rFonts w:hint="eastAsia"/>
          <w:color w:val="auto"/>
          <w:rtl w:val="0"/>
          <w:lang w:val="en-US" w:eastAsia="zh-CN"/>
        </w:rPr>
      </w:pPr>
      <w:bookmarkStart w:id="77" w:name="_Toc15046"/>
      <w:r>
        <w:rPr>
          <w:rFonts w:hint="eastAsia"/>
          <w:color w:val="auto"/>
          <w:rtl w:val="0"/>
          <w:lang w:val="en-US" w:eastAsia="zh-CN"/>
        </w:rPr>
        <w:t>第五节 完善农业经营体系 拓宽农民增收致富渠道</w:t>
      </w:r>
      <w:bookmarkEnd w:id="75"/>
      <w:bookmarkEnd w:id="76"/>
      <w:bookmarkEnd w:id="77"/>
    </w:p>
    <w:p w14:paraId="5BA19EE0">
      <w:pPr>
        <w:pStyle w:val="5"/>
        <w:bidi w:val="0"/>
        <w:rPr>
          <w:rFonts w:hint="eastAsia"/>
          <w:color w:val="auto"/>
          <w:rtl w:val="0"/>
          <w:lang w:val="en-US" w:eastAsia="zh-CN"/>
        </w:rPr>
      </w:pPr>
      <w:r>
        <w:rPr>
          <w:rFonts w:hint="eastAsia"/>
          <w:color w:val="auto"/>
          <w:rtl w:val="0"/>
          <w:lang w:val="en-US" w:eastAsia="zh-CN"/>
        </w:rPr>
        <w:t>围绕“农民增收”中心任务，培育壮大新型农业经营主体，健全联农带农机制，完善社会化服务，发展壮大新型农村集体经济，巩固拓展脱贫攻坚成果，让农民更多分享产业发展红利。</w:t>
      </w:r>
    </w:p>
    <w:p w14:paraId="0521E453">
      <w:pPr>
        <w:pStyle w:val="4"/>
        <w:bidi w:val="0"/>
        <w:rPr>
          <w:rFonts w:hint="eastAsia"/>
          <w:color w:val="auto"/>
          <w:rtl w:val="0"/>
          <w:lang w:val="en-US" w:eastAsia="zh-CN"/>
        </w:rPr>
      </w:pPr>
      <w:r>
        <w:rPr>
          <w:rFonts w:hint="eastAsia"/>
          <w:color w:val="auto"/>
          <w:rtl w:val="0"/>
          <w:lang w:val="en-US" w:eastAsia="zh-CN"/>
        </w:rPr>
        <w:t>一、培育壮大新型农业经营主体</w:t>
      </w:r>
    </w:p>
    <w:p w14:paraId="3904217F">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培育壮大农业龙头企业。</w:t>
      </w:r>
      <w:r>
        <w:rPr>
          <w:rFonts w:hint="eastAsia"/>
          <w:color w:val="auto"/>
          <w:rtl w:val="0"/>
          <w:lang w:val="en-US" w:eastAsia="zh-CN"/>
        </w:rPr>
        <w:t>建立县级重点农业龙头企业培育库，实行动态管理和精准扶持，重点扶持产业链关键环节、市场竞争力强、联农带农作用显著的龙头企业。引导龙头企业加大科技研发和品牌建设投入，向产业链两端延伸，提升核心竞争力。</w:t>
      </w:r>
    </w:p>
    <w:p w14:paraId="0D934ED5">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规范提升农民合作社与家庭农场。</w:t>
      </w:r>
      <w:r>
        <w:rPr>
          <w:rFonts w:hint="eastAsia"/>
          <w:color w:val="auto"/>
          <w:rtl w:val="0"/>
          <w:lang w:val="en-US" w:eastAsia="zh-CN"/>
        </w:rPr>
        <w:t>培育家庭农场、专业合作社等新型农业经营主体和社会化服务组织，实施农民合作社质量提升行动，完善内部治理结构，鼓励合作社在特色产业领域开展联合与合作，组建联合社，增强市场谈判和抗风险能力。实施家庭农场培育计划，支持有长期务农意愿的农户发展成为规模适度、生产集约、管理先进的家庭农场。</w:t>
      </w:r>
    </w:p>
    <w:p w14:paraId="3BA7AC2A">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组建农业产业化联合体。</w:t>
      </w:r>
      <w:r>
        <w:rPr>
          <w:rFonts w:hint="eastAsia"/>
          <w:color w:val="auto"/>
          <w:rtl w:val="0"/>
          <w:lang w:val="en-US" w:eastAsia="zh-CN"/>
        </w:rPr>
        <w:t>支持龙头企业牵头，与农民合作社、家庭农场、小农户组建农业产业化联合体，通过“公司+合作社+基地+农户”等模式，形成分工明确、优势互补、风险共担、利益共享的稳定共同体。</w:t>
      </w:r>
    </w:p>
    <w:p w14:paraId="41A9384F">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创新乡村产业运营模式。</w:t>
      </w:r>
      <w:r>
        <w:rPr>
          <w:rFonts w:hint="eastAsia"/>
          <w:color w:val="auto"/>
          <w:rtl w:val="0"/>
          <w:lang w:val="en-US" w:eastAsia="zh-CN"/>
        </w:rPr>
        <w:t>推广“产业村长”和“农村职业经理人”制度，面向社会选聘优秀人才参与乡村产业运营，为重点村和重点产业发展注入专业力量。推进乡村工匠培育工程，加强农村乡土人才培养。</w:t>
      </w:r>
    </w:p>
    <w:p w14:paraId="4185315D">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引导乡贤资源参与乡村产业。</w:t>
      </w:r>
      <w:r>
        <w:rPr>
          <w:rFonts w:hint="eastAsia"/>
          <w:color w:val="auto"/>
          <w:rtl w:val="0"/>
          <w:lang w:val="en-US" w:eastAsia="zh-CN"/>
        </w:rPr>
        <w:t>持续开展“推动乡贤投资兴业共建家乡”行动，深入挖掘乡贤资源，建立县、镇两级乡贤人才信息库和常态化联络服务机制。围绕特色产业、文旅康养、基础设施等领域策划优质项目，形成“乡贤回归兴业项目库”。通过乡贤恳谈会、项目推介会、成立乡贤理事会等方式，引导乡贤以直接投资、技术入股等形式参与家乡建设，从“输血式”帮扶向“造血式”合作转变，激活乡村内生发展动力。</w:t>
      </w:r>
    </w:p>
    <w:p w14:paraId="08BD403F">
      <w:pPr>
        <w:pStyle w:val="4"/>
        <w:bidi w:val="0"/>
        <w:rPr>
          <w:rFonts w:hint="eastAsia"/>
          <w:color w:val="auto"/>
          <w:rtl w:val="0"/>
          <w:lang w:val="en-US" w:eastAsia="zh-CN"/>
        </w:rPr>
      </w:pPr>
      <w:r>
        <w:rPr>
          <w:rFonts w:hint="eastAsia"/>
          <w:color w:val="auto"/>
          <w:rtl w:val="0"/>
          <w:lang w:val="en-US" w:eastAsia="zh-CN"/>
        </w:rPr>
        <w:t>二、拓宽农民增收渠道</w:t>
      </w:r>
    </w:p>
    <w:p w14:paraId="66F52C30">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健全农民收入稳定增长机制。</w:t>
      </w:r>
      <w:r>
        <w:rPr>
          <w:rFonts w:hint="eastAsia"/>
          <w:color w:val="auto"/>
          <w:rtl w:val="0"/>
          <w:lang w:val="en-US" w:eastAsia="zh-CN"/>
        </w:rPr>
        <w:t>拓宽农民增收渠道，统筹提高工资性、经营性、财产性和转移性收入。建立农产品优质正向激励机制，推广“订单收购+分红”“入股+保底收益+按股分红”等多种紧密利益联结方式，让农户参与全产业链发展并提高收益水平</w:t>
      </w:r>
    </w:p>
    <w:p w14:paraId="41A53B41">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健全紧密型联农带农机制。</w:t>
      </w:r>
      <w:r>
        <w:rPr>
          <w:rFonts w:hint="eastAsia"/>
          <w:color w:val="auto"/>
          <w:rtl w:val="0"/>
          <w:lang w:val="en-US" w:eastAsia="zh-CN"/>
        </w:rPr>
        <w:t>鼓励龙头企业与农户建立稳定购销关系和利益共同体。积极探索“资源变资产、资金变股金、农民变股东”改革路径，鼓励农民以土地经营权、劳动力、技术等要素作价入股经营主体，分享全产业链增值收益。</w:t>
      </w:r>
    </w:p>
    <w:p w14:paraId="05FA554E">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大力发展乡村振兴车间。</w:t>
      </w:r>
      <w:r>
        <w:rPr>
          <w:rFonts w:hint="eastAsia"/>
          <w:color w:val="auto"/>
          <w:rtl w:val="0"/>
          <w:lang w:val="en-US" w:eastAsia="zh-CN"/>
        </w:rPr>
        <w:t>依托农产品加工、乡村旅游、电商物流等劳动密集型产业，布局建设“乡村振兴车间”，创造更多“家门口”就业岗位，持续增加农民工资性收入。</w:t>
      </w:r>
    </w:p>
    <w:p w14:paraId="4B4DCB73">
      <w:pPr>
        <w:pStyle w:val="4"/>
        <w:bidi w:val="0"/>
        <w:rPr>
          <w:rFonts w:hint="eastAsia"/>
          <w:color w:val="auto"/>
          <w:rtl w:val="0"/>
          <w:lang w:val="en-US" w:eastAsia="zh-CN"/>
        </w:rPr>
      </w:pPr>
      <w:r>
        <w:rPr>
          <w:rFonts w:hint="eastAsia"/>
          <w:color w:val="auto"/>
          <w:rtl w:val="0"/>
          <w:lang w:val="en-US" w:eastAsia="zh-CN"/>
        </w:rPr>
        <w:t>三、健全农业社会化服务体系</w:t>
      </w:r>
    </w:p>
    <w:p w14:paraId="6AD989BC">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构建社会化服务主体网络。</w:t>
      </w:r>
      <w:r>
        <w:rPr>
          <w:rFonts w:hint="default"/>
          <w:color w:val="auto"/>
          <w:rtl w:val="0"/>
          <w:lang w:val="en-US" w:eastAsia="zh-CN"/>
        </w:rPr>
        <w:t>支持有条件的龙头企业、农民合作社、供销社等主体，发展成为区域性农业生产综合服务中心，面向小农户提供代耕代种、代管代收、统防统治、烘干仓储等生产托管服务，促进小农户与现代农业有机衔接。</w:t>
      </w:r>
    </w:p>
    <w:p w14:paraId="37D58878">
      <w:pPr>
        <w:pStyle w:val="5"/>
        <w:bidi w:val="0"/>
        <w:rPr>
          <w:rFonts w:hint="default"/>
          <w:color w:val="auto"/>
          <w:rtl w:val="0"/>
          <w:lang w:val="en-US" w:eastAsia="zh-CN"/>
        </w:rPr>
      </w:pPr>
      <w:r>
        <w:rPr>
          <w:rFonts w:hint="eastAsia" w:ascii="楷体_GB2312" w:hAnsi="楷体_GB2312" w:eastAsia="楷体_GB2312" w:cs="楷体_GB2312"/>
          <w:color w:val="auto"/>
          <w:rtl w:val="0"/>
          <w:lang w:val="en-US" w:eastAsia="zh-CN"/>
        </w:rPr>
        <w:t>完善农产品流通服务体系。</w:t>
      </w:r>
      <w:r>
        <w:rPr>
          <w:rFonts w:hint="default"/>
          <w:color w:val="auto"/>
          <w:rtl w:val="0"/>
          <w:lang w:val="en-US" w:eastAsia="zh-CN"/>
        </w:rPr>
        <w:t>健全县、镇、村三级电子商务公共服务和物流配送体系，整合邮政、供销、快递等资源，打通</w:t>
      </w:r>
      <w:r>
        <w:rPr>
          <w:rFonts w:hint="eastAsia"/>
          <w:color w:val="auto"/>
          <w:rtl w:val="0"/>
          <w:lang w:val="en-US" w:eastAsia="zh-CN"/>
        </w:rPr>
        <w:t>“</w:t>
      </w:r>
      <w:r>
        <w:rPr>
          <w:rFonts w:hint="default"/>
          <w:color w:val="auto"/>
          <w:rtl w:val="0"/>
          <w:lang w:val="en-US" w:eastAsia="zh-CN"/>
        </w:rPr>
        <w:t>工业品下乡</w:t>
      </w:r>
      <w:r>
        <w:rPr>
          <w:rFonts w:hint="eastAsia"/>
          <w:color w:val="auto"/>
          <w:rtl w:val="0"/>
          <w:lang w:val="en-US" w:eastAsia="zh-CN"/>
        </w:rPr>
        <w:t>”</w:t>
      </w:r>
      <w:r>
        <w:rPr>
          <w:rFonts w:hint="default"/>
          <w:color w:val="auto"/>
          <w:rtl w:val="0"/>
          <w:lang w:val="en-US" w:eastAsia="zh-CN"/>
        </w:rPr>
        <w:t>和</w:t>
      </w:r>
      <w:r>
        <w:rPr>
          <w:rFonts w:hint="eastAsia"/>
          <w:color w:val="auto"/>
          <w:rtl w:val="0"/>
          <w:lang w:val="en-US" w:eastAsia="zh-CN"/>
        </w:rPr>
        <w:t>“</w:t>
      </w:r>
      <w:r>
        <w:rPr>
          <w:rFonts w:hint="default"/>
          <w:color w:val="auto"/>
          <w:rtl w:val="0"/>
          <w:lang w:val="en-US" w:eastAsia="zh-CN"/>
        </w:rPr>
        <w:t>农产品进城</w:t>
      </w:r>
      <w:r>
        <w:rPr>
          <w:rFonts w:hint="eastAsia"/>
          <w:color w:val="auto"/>
          <w:rtl w:val="0"/>
          <w:lang w:val="en-US" w:eastAsia="zh-CN"/>
        </w:rPr>
        <w:t>”</w:t>
      </w:r>
      <w:r>
        <w:rPr>
          <w:rFonts w:hint="default"/>
          <w:color w:val="auto"/>
          <w:rtl w:val="0"/>
          <w:lang w:val="en-US" w:eastAsia="zh-CN"/>
        </w:rPr>
        <w:t>双向流通渠道，重点解决农产品出村进城</w:t>
      </w:r>
      <w:r>
        <w:rPr>
          <w:rFonts w:hint="eastAsia"/>
          <w:color w:val="auto"/>
          <w:rtl w:val="0"/>
          <w:lang w:val="en-US" w:eastAsia="zh-CN"/>
        </w:rPr>
        <w:t>“</w:t>
      </w:r>
      <w:r>
        <w:rPr>
          <w:rFonts w:hint="default"/>
          <w:color w:val="auto"/>
          <w:rtl w:val="0"/>
          <w:lang w:val="en-US" w:eastAsia="zh-CN"/>
        </w:rPr>
        <w:t>最初一公里</w:t>
      </w:r>
      <w:r>
        <w:rPr>
          <w:rFonts w:hint="eastAsia"/>
          <w:color w:val="auto"/>
          <w:rtl w:val="0"/>
          <w:lang w:val="en-US" w:eastAsia="zh-CN"/>
        </w:rPr>
        <w:t>”</w:t>
      </w:r>
      <w:r>
        <w:rPr>
          <w:rFonts w:hint="default"/>
          <w:color w:val="auto"/>
          <w:rtl w:val="0"/>
          <w:lang w:val="en-US" w:eastAsia="zh-CN"/>
        </w:rPr>
        <w:t>问题。</w:t>
      </w:r>
    </w:p>
    <w:p w14:paraId="0439E112">
      <w:pPr>
        <w:pStyle w:val="4"/>
        <w:bidi w:val="0"/>
        <w:rPr>
          <w:rFonts w:hint="eastAsia"/>
          <w:color w:val="auto"/>
          <w:rtl w:val="0"/>
          <w:lang w:val="en-US" w:eastAsia="zh-CN"/>
        </w:rPr>
      </w:pPr>
      <w:r>
        <w:rPr>
          <w:rFonts w:hint="eastAsia"/>
          <w:color w:val="auto"/>
          <w:rtl w:val="0"/>
          <w:lang w:val="en-US" w:eastAsia="zh-CN"/>
        </w:rPr>
        <w:t>四、发展壮大新型农村集体经济</w:t>
      </w:r>
    </w:p>
    <w:p w14:paraId="3A3229CD">
      <w:pPr>
        <w:pStyle w:val="5"/>
        <w:bidi w:val="0"/>
        <w:rPr>
          <w:rFonts w:hint="eastAsia" w:ascii="Times New Roman" w:hAnsi="Times New Roman" w:eastAsia="仿宋_GB2312" w:cs="Times New Roman"/>
          <w:color w:val="auto"/>
          <w:rtl w:val="0"/>
          <w:lang w:val="en-US" w:eastAsia="zh-CN"/>
        </w:rPr>
      </w:pPr>
      <w:r>
        <w:rPr>
          <w:rFonts w:hint="eastAsia" w:ascii="楷体_GB2312" w:hAnsi="楷体_GB2312" w:eastAsia="楷体_GB2312" w:cs="楷体_GB2312"/>
          <w:color w:val="auto"/>
          <w:rtl w:val="0"/>
          <w:lang w:val="en-US" w:eastAsia="zh-CN"/>
        </w:rPr>
        <w:t>盘活闲置资源资产。</w:t>
      </w:r>
      <w:r>
        <w:rPr>
          <w:rFonts w:hint="eastAsia" w:ascii="Times New Roman" w:hAnsi="Times New Roman" w:eastAsia="仿宋_GB2312" w:cs="Times New Roman"/>
          <w:color w:val="auto"/>
          <w:rtl w:val="0"/>
          <w:lang w:val="en-US" w:eastAsia="zh-CN"/>
        </w:rPr>
        <w:t>有序推动闲置土地、山林、水域、闲置厂房、老旧校舍等各类资源要素整合盘活，向村集体经济组织集中转化，让闲置资源变为增收资本，切实增加集体和农民财产性收入。</w:t>
      </w:r>
    </w:p>
    <w:p w14:paraId="7B1BCF02">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拓宽多元增收路径。</w:t>
      </w:r>
      <w:r>
        <w:rPr>
          <w:rFonts w:hint="eastAsia"/>
          <w:color w:val="auto"/>
          <w:rtl w:val="0"/>
          <w:lang w:val="en-US" w:eastAsia="zh-CN"/>
        </w:rPr>
        <w:t>鼓励村集体与龙头企业、供销合作社、新型经营主体合作，发展农产品加工、电商销售、休闲旅游等业态，增强产业嵌入度和市场竞争力。发展“集体经济+农文旅”融合模式，支持村集体依托本地乡村旅游资源、民俗文化传承、生态环境保护优势，有序建设农家乐、精品民宿、康养中心、农耕体验园等项目，推动农文旅深度融合，拓展集体经济增收新赛道。探索“集体经济+新能源”发展路径，依托农村光伏等清洁能源资源，建设分布式光伏电站等项目，建立村集体稳定收益机制，打造长效增收增长点。创新抱团发展模式，积极探索多村联建、跨村组建、强村带弱村、中心村带周边村等联动发展模式，通过资源共享、产业共建、优势互补，带动薄弱村发展特色产业，破解发展不均衡问题。</w:t>
      </w:r>
    </w:p>
    <w:p w14:paraId="669FCBA7">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强化集体经济组织建设。</w:t>
      </w:r>
      <w:r>
        <w:rPr>
          <w:rFonts w:hint="eastAsia"/>
          <w:color w:val="auto"/>
          <w:rtl w:val="0"/>
          <w:lang w:val="en-US" w:eastAsia="zh-CN"/>
        </w:rPr>
        <w:t>持续壮大农民专业合作社、家庭农场、村股份经济合作社等经营主体，规范运营管理，提升服务能力，推动其成为带动村集体经济发展和农民增收的重要载体。规范“强镇富村”公司运营，明确其作为镇域资源整合平台、产业发展平台的市场主体地位，通过市场化手段整合土地、物业、文旅等资源资产，承接政府项目、运营实体产业。着力构建“村村有产业、户户有增收、集体有支撑”的良好发展局面，不断增强农村集体经济实力，为全面推进乡村振兴、加快农业农村现代化提供坚实的经济保障。</w:t>
      </w:r>
    </w:p>
    <w:p w14:paraId="6210CA00">
      <w:pPr>
        <w:pStyle w:val="4"/>
        <w:bidi w:val="0"/>
        <w:rPr>
          <w:rFonts w:hint="eastAsia"/>
          <w:color w:val="auto"/>
          <w:rtl w:val="0"/>
          <w:lang w:val="en-US" w:eastAsia="zh-CN"/>
        </w:rPr>
      </w:pPr>
      <w:r>
        <w:rPr>
          <w:rFonts w:hint="eastAsia"/>
          <w:color w:val="auto"/>
          <w:rtl w:val="0"/>
          <w:lang w:val="en-US" w:eastAsia="zh-CN"/>
        </w:rPr>
        <w:t>五、巩固拓展脱贫攻坚成果</w:t>
      </w:r>
    </w:p>
    <w:p w14:paraId="2ECE9DCD">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健全防止返贫监测帮扶机制。</w:t>
      </w:r>
      <w:r>
        <w:rPr>
          <w:rFonts w:hint="eastAsia"/>
          <w:color w:val="auto"/>
          <w:rtl w:val="0"/>
          <w:lang w:val="en-US" w:eastAsia="zh-CN"/>
        </w:rPr>
        <w:t>健全防止返贫致贫长效机制，完善低收入人口动态监测和常态化帮扶机制，提升防止返贫致贫监测帮扶效能。加强对因病、因残、因灾等导致基本生活困难农户的精准识别和快速响应，强化部门数据共享，做到早发现、早干预、早帮扶，牢牢守住不发生规模性返贫底线。</w:t>
      </w:r>
    </w:p>
    <w:p w14:paraId="50F96026">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推进帮扶产业可持续发展。</w:t>
      </w:r>
      <w:r>
        <w:rPr>
          <w:rFonts w:hint="eastAsia"/>
          <w:color w:val="auto"/>
          <w:rtl w:val="0"/>
          <w:lang w:val="en-US" w:eastAsia="zh-CN"/>
        </w:rPr>
        <w:t>支持脱贫地区立足资源禀赋，发展壮大菩米、特色水果等优势产业，补齐技术、设施、营销短板。完善联农带农机制，推动帮扶产业与脱贫户建立紧密利益联结，确保持续稳定增收。</w:t>
      </w:r>
    </w:p>
    <w:p w14:paraId="4E8A3140">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发挥驻镇帮镇扶村作用。</w:t>
      </w:r>
      <w:r>
        <w:rPr>
          <w:rFonts w:hint="eastAsia"/>
          <w:color w:val="auto"/>
          <w:rtl w:val="0"/>
          <w:lang w:val="en-US" w:eastAsia="zh-CN"/>
        </w:rPr>
        <w:t>优化驻镇帮镇扶村工作机制，保持帮扶力量稳定，发挥工作队在政策宣传、资源链接、产业谋划、基层治理等方面优势，推动帮扶资源向脱贫村、脱贫户倾斜。</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7F8E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3F404A70">
            <w:pPr>
              <w:pStyle w:val="8"/>
              <w:bidi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专栏4  农业经营体系培育与农民共富促进工程</w:t>
            </w:r>
          </w:p>
        </w:tc>
      </w:tr>
      <w:tr w14:paraId="7CF4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000" w:type="pct"/>
            <w:noWrap w:val="0"/>
            <w:vAlign w:val="top"/>
          </w:tcPr>
          <w:p w14:paraId="6DFB8DB7">
            <w:pPr>
              <w:keepNext w:val="0"/>
              <w:keepLines w:val="0"/>
              <w:pageBreakBefore w:val="0"/>
              <w:widowControl w:val="0"/>
              <w:numPr>
                <w:ilvl w:val="0"/>
                <w:numId w:val="6"/>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“头雁”主体培育行动。</w:t>
            </w:r>
            <w:r>
              <w:rPr>
                <w:rFonts w:hint="eastAsia" w:ascii="仿宋_GB2312" w:hAnsi="仿宋_GB2312" w:eastAsia="仿宋_GB2312" w:cs="仿宋_GB2312"/>
                <w:b w:val="0"/>
                <w:bCs w:val="0"/>
                <w:color w:val="auto"/>
                <w:sz w:val="28"/>
                <w:szCs w:val="36"/>
                <w:lang w:val="en-US" w:eastAsia="zh-CN"/>
              </w:rPr>
              <w:t>建立县级重点农业龙头企业培育库，实行动态管理和精准扶持。实施农民合作社质量提升行动和家庭农场培育计划。推动“强镇富村”公司实体化、市场化运作，提升资源整合和产业运营能力，发挥镇域经济发展平台作用。</w:t>
            </w:r>
          </w:p>
          <w:p w14:paraId="162267CC">
            <w:pPr>
              <w:keepNext w:val="0"/>
              <w:keepLines w:val="0"/>
              <w:pageBreakBefore w:val="0"/>
              <w:widowControl w:val="0"/>
              <w:numPr>
                <w:ilvl w:val="0"/>
                <w:numId w:val="6"/>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“乡贤回归”兴业行动。</w:t>
            </w:r>
            <w:r>
              <w:rPr>
                <w:rFonts w:hint="eastAsia" w:ascii="仿宋_GB2312" w:hAnsi="仿宋_GB2312" w:eastAsia="仿宋_GB2312" w:cs="仿宋_GB2312"/>
                <w:b w:val="0"/>
                <w:bCs w:val="0"/>
                <w:color w:val="auto"/>
                <w:sz w:val="28"/>
                <w:szCs w:val="36"/>
                <w:lang w:val="en-US" w:eastAsia="zh-CN"/>
              </w:rPr>
              <w:t>建立并动态更新县、镇两级乡贤信息库。每年举办县级层面乡贤恳谈会或重点项目推进会。设立“乡贤反哺”项目库，谋划推出产权清晰、模式可行、适宜乡贤投资的重点产业和文旅项目。</w:t>
            </w:r>
          </w:p>
          <w:p w14:paraId="6E188CB6">
            <w:pPr>
              <w:keepNext w:val="0"/>
              <w:keepLines w:val="0"/>
              <w:pageBreakBefore w:val="0"/>
              <w:widowControl w:val="0"/>
              <w:numPr>
                <w:ilvl w:val="0"/>
                <w:numId w:val="6"/>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bCs/>
                <w:color w:val="auto"/>
                <w:sz w:val="28"/>
                <w:szCs w:val="36"/>
                <w:lang w:val="en-US" w:eastAsia="zh-CN"/>
              </w:rPr>
              <w:t>“新农人”赋能行动。</w:t>
            </w:r>
            <w:r>
              <w:rPr>
                <w:rFonts w:hint="eastAsia" w:ascii="仿宋_GB2312" w:hAnsi="仿宋_GB2312" w:eastAsia="仿宋_GB2312" w:cs="仿宋_GB2312"/>
                <w:b w:val="0"/>
                <w:bCs w:val="0"/>
                <w:color w:val="auto"/>
                <w:sz w:val="28"/>
                <w:szCs w:val="36"/>
                <w:lang w:val="en-US" w:eastAsia="zh-CN"/>
              </w:rPr>
              <w:t>在全县系统性推广“产业村长”和“农村职业经理人”制度，力争实现重点产业村全覆盖。大力开展农村电商、直播带货、民宿运营、品牌营销等新职业新业态技能培训，培育和认证一批“乡村工匠”。</w:t>
            </w:r>
          </w:p>
          <w:p w14:paraId="64800A81">
            <w:pPr>
              <w:keepNext w:val="0"/>
              <w:keepLines w:val="0"/>
              <w:pageBreakBefore w:val="0"/>
              <w:widowControl w:val="0"/>
              <w:numPr>
                <w:ilvl w:val="0"/>
                <w:numId w:val="6"/>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社会化服务网络建设项目。</w:t>
            </w:r>
            <w:r>
              <w:rPr>
                <w:rFonts w:hint="eastAsia" w:ascii="仿宋_GB2312" w:hAnsi="仿宋_GB2312" w:eastAsia="仿宋_GB2312" w:cs="仿宋_GB2312"/>
                <w:b w:val="0"/>
                <w:bCs w:val="0"/>
                <w:color w:val="auto"/>
                <w:sz w:val="28"/>
                <w:szCs w:val="36"/>
                <w:lang w:val="en-US" w:eastAsia="zh-CN"/>
              </w:rPr>
              <w:t>依托供销社、邮政及有实力的龙头企业，在南部、中部、北部分别建设区域性农事综合服务中心，提供农资供应、技术推广、农机服务、烘干仓储等综合服务。完善县级仓储配送中心、镇级中转站和村级服务点三级物流体系。</w:t>
            </w:r>
          </w:p>
          <w:p w14:paraId="60A970FE">
            <w:pPr>
              <w:keepNext w:val="0"/>
              <w:keepLines w:val="0"/>
              <w:pageBreakBefore w:val="0"/>
              <w:widowControl w:val="0"/>
              <w:numPr>
                <w:ilvl w:val="0"/>
                <w:numId w:val="6"/>
              </w:numPr>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color w:val="auto"/>
                <w:kern w:val="2"/>
                <w:sz w:val="21"/>
                <w:szCs w:val="21"/>
                <w:shd w:val="clear" w:color="auto" w:fill="auto"/>
                <w:lang w:val="en-US" w:eastAsia="zh-CN" w:bidi="ar-SA"/>
              </w:rPr>
            </w:pPr>
            <w:r>
              <w:rPr>
                <w:rFonts w:hint="eastAsia" w:ascii="仿宋_GB2312" w:hAnsi="仿宋_GB2312" w:eastAsia="仿宋_GB2312" w:cs="仿宋_GB2312"/>
                <w:b/>
                <w:bCs/>
                <w:color w:val="auto"/>
                <w:sz w:val="28"/>
                <w:szCs w:val="36"/>
                <w:lang w:val="en-US" w:eastAsia="zh-CN"/>
              </w:rPr>
              <w:t>防止返贫监测帮扶巩固行动。</w:t>
            </w:r>
            <w:r>
              <w:rPr>
                <w:rFonts w:hint="eastAsia" w:ascii="仿宋_GB2312" w:hAnsi="仿宋_GB2312" w:eastAsia="仿宋_GB2312" w:cs="仿宋_GB2312"/>
                <w:b w:val="0"/>
                <w:bCs w:val="0"/>
                <w:color w:val="auto"/>
                <w:sz w:val="28"/>
                <w:szCs w:val="36"/>
                <w:lang w:val="en-US" w:eastAsia="zh-CN"/>
              </w:rPr>
              <w:t>健全低收入人口动态监测和常态化帮扶机制，强化部门数据共享。支持脱贫地区发展壮大优势产业，完善联农带农机制。发挥驻镇帮镇扶村工作队作用，推动帮扶资源精准倾斜。</w:t>
            </w:r>
          </w:p>
        </w:tc>
      </w:tr>
    </w:tbl>
    <w:p w14:paraId="79795F4B">
      <w:pPr>
        <w:pStyle w:val="5"/>
        <w:bidi w:val="0"/>
        <w:rPr>
          <w:rFonts w:hint="eastAsia"/>
          <w:color w:val="auto"/>
          <w:lang w:val="en-US" w:eastAsia="zh-CN"/>
        </w:rPr>
      </w:pPr>
      <w:bookmarkStart w:id="78" w:name="_Toc15737"/>
    </w:p>
    <w:p w14:paraId="47E88CEF">
      <w:pPr>
        <w:pStyle w:val="3"/>
        <w:bidi w:val="0"/>
        <w:rPr>
          <w:rFonts w:hint="eastAsia"/>
          <w:color w:val="auto"/>
          <w:lang w:val="en-US" w:eastAsia="zh-CN"/>
        </w:rPr>
      </w:pPr>
      <w:bookmarkStart w:id="79" w:name="_Toc2011"/>
      <w:bookmarkStart w:id="80" w:name="_Toc26183"/>
      <w:r>
        <w:rPr>
          <w:rFonts w:hint="eastAsia"/>
          <w:color w:val="auto"/>
          <w:lang w:val="en-US" w:eastAsia="zh-CN"/>
        </w:rPr>
        <w:t>第六节 加快典型片区培育 建设宜居宜业和美乡村</w:t>
      </w:r>
      <w:bookmarkEnd w:id="78"/>
      <w:bookmarkEnd w:id="79"/>
      <w:bookmarkEnd w:id="80"/>
    </w:p>
    <w:p w14:paraId="621DD8D7">
      <w:pPr>
        <w:pStyle w:val="5"/>
        <w:bidi w:val="0"/>
        <w:rPr>
          <w:rFonts w:hint="eastAsia"/>
          <w:color w:val="auto"/>
          <w:lang w:val="en-US" w:eastAsia="zh-CN"/>
        </w:rPr>
      </w:pPr>
      <w:r>
        <w:rPr>
          <w:rFonts w:hint="eastAsia"/>
          <w:color w:val="auto"/>
          <w:lang w:val="en-US" w:eastAsia="zh-CN"/>
        </w:rPr>
        <w:t>连线成片推进典型村培育和美丽乡村廊道建设，统筹基础设施和公共服务布局，提升乡村治理效能，深化农村精神文明建设，打造宜居宜业客家和美乡村。</w:t>
      </w:r>
    </w:p>
    <w:p w14:paraId="17125202">
      <w:pPr>
        <w:pStyle w:val="4"/>
        <w:bidi w:val="0"/>
        <w:rPr>
          <w:rFonts w:hint="eastAsia"/>
          <w:color w:val="auto"/>
          <w:lang w:val="en-US" w:eastAsia="zh-CN"/>
        </w:rPr>
      </w:pPr>
      <w:r>
        <w:rPr>
          <w:rFonts w:hint="eastAsia"/>
          <w:color w:val="auto"/>
          <w:lang w:val="en-US" w:eastAsia="zh-CN"/>
        </w:rPr>
        <w:t>一、提升和美乡村建设水平</w:t>
      </w:r>
    </w:p>
    <w:p w14:paraId="1D88EF35">
      <w:pPr>
        <w:pStyle w:val="5"/>
        <w:bidi w:val="0"/>
        <w:rPr>
          <w:rFonts w:hint="eastAsia"/>
          <w:color w:val="auto"/>
          <w:lang w:val="en-US" w:eastAsia="zh-CN"/>
        </w:rPr>
      </w:pPr>
      <w:r>
        <w:rPr>
          <w:rFonts w:hint="eastAsia" w:ascii="楷体_GB2312" w:hAnsi="楷体_GB2312" w:eastAsia="楷体_GB2312" w:cs="楷体_GB2312"/>
          <w:color w:val="auto"/>
          <w:lang w:val="en-US" w:eastAsia="zh-CN"/>
        </w:rPr>
        <w:t>推动农村基础设施提档升级。</w:t>
      </w:r>
      <w:r>
        <w:rPr>
          <w:rFonts w:hint="eastAsia"/>
          <w:color w:val="auto"/>
          <w:lang w:val="en-US" w:eastAsia="zh-CN"/>
        </w:rPr>
        <w:t>完善乡村交通网络，推进“四好农村路”提质升级，加快通建制村道路单车道改双车道，提高建制村通双车道公路比例。提升饮水安全保障，实施规模化供水工程和老旧管网改造。升级农村电网设施，深入实施农村电网基础设施升级改造，全面提升电力供应保障能力。推进数字乡村建设，推动千兆光网、5G信号向行政村深度覆盖并向自然村延伸，夯实乡村发展数字化基础。</w:t>
      </w:r>
    </w:p>
    <w:p w14:paraId="1B5CE49F">
      <w:pPr>
        <w:pStyle w:val="5"/>
        <w:bidi w:val="0"/>
        <w:rPr>
          <w:rFonts w:hint="eastAsia"/>
          <w:color w:val="auto"/>
          <w:lang w:val="en-US" w:eastAsia="zh-CN"/>
        </w:rPr>
      </w:pPr>
      <w:r>
        <w:rPr>
          <w:rFonts w:hint="eastAsia" w:ascii="楷体_GB2312" w:hAnsi="楷体_GB2312" w:eastAsia="楷体_GB2312" w:cs="楷体_GB2312"/>
          <w:color w:val="auto"/>
          <w:lang w:val="en-US" w:eastAsia="zh-CN"/>
        </w:rPr>
        <w:t>深化农村人居环境整治。</w:t>
      </w:r>
      <w:r>
        <w:rPr>
          <w:rFonts w:hint="eastAsia"/>
          <w:color w:val="auto"/>
          <w:lang w:val="en-US" w:eastAsia="zh-CN"/>
        </w:rPr>
        <w:t>持续推进典型村建设，全力创建典型村片区组团发展样板。深入打好农业农村污染治理攻坚战，持续推进农村人居环境整治提升，建设美丽乡村。健全农村改厕实施机制，完善社会化管护和服务体系。因地制宜选择农村生活污水治理模式，推动厕所粪污和生活污水协同治理，基本消除农村较大面积黑臭水体。推动农村生活垃圾源头减量，就地就近处理和资源化利用。强化农业面源污染突出区域系统治理，加强畜禽粪污资源化利用和水产养殖尾水处理。将“四小园”建设和三线整治与“百千万工程”、美丽圩镇建设、农房风貌提升等工作有机结合，打造“环境美、产业兴、百姓富”的和美乡村。</w:t>
      </w:r>
    </w:p>
    <w:p w14:paraId="43112148">
      <w:pPr>
        <w:pStyle w:val="5"/>
        <w:bidi w:val="0"/>
        <w:rPr>
          <w:rFonts w:hint="eastAsia"/>
          <w:color w:val="auto"/>
          <w:lang w:val="en-US" w:eastAsia="zh-CN"/>
        </w:rPr>
      </w:pPr>
      <w:r>
        <w:rPr>
          <w:rFonts w:hint="eastAsia" w:ascii="楷体_GB2312" w:hAnsi="楷体_GB2312" w:eastAsia="楷体_GB2312" w:cs="楷体_GB2312"/>
          <w:color w:val="auto"/>
          <w:lang w:val="en-US" w:eastAsia="zh-CN"/>
        </w:rPr>
        <w:t>健全多元投入机制。</w:t>
      </w:r>
      <w:r>
        <w:rPr>
          <w:rFonts w:hint="eastAsia"/>
          <w:color w:val="auto"/>
          <w:lang w:val="en-US" w:eastAsia="zh-CN"/>
        </w:rPr>
        <w:t>建立“政府主导、市场运作、村民参与”投入机制，发挥县属国企作用，鼓励社会资本参与农村基础设施建设和运营。完善管护长效机制，推行基础设施物业化管理，推广使用“粤系列”平台实现设施智慧监管，通过“一事一议”、投工投劳等方式引导农民参与管护、落实管护责任，将管护成效纳入乡村振兴考核体系。</w:t>
      </w:r>
    </w:p>
    <w:p w14:paraId="5FFE2A77">
      <w:pPr>
        <w:pStyle w:val="4"/>
        <w:bidi w:val="0"/>
        <w:rPr>
          <w:rFonts w:hint="eastAsia"/>
          <w:color w:val="auto"/>
          <w:lang w:val="en-US" w:eastAsia="zh-CN"/>
        </w:rPr>
      </w:pPr>
      <w:r>
        <w:rPr>
          <w:rFonts w:hint="eastAsia"/>
          <w:color w:val="auto"/>
          <w:lang w:val="en-US" w:eastAsia="zh-CN"/>
        </w:rPr>
        <w:t>二、打造“足球+”五镇联动片区组团</w:t>
      </w:r>
    </w:p>
    <w:p w14:paraId="79891C93">
      <w:pPr>
        <w:pStyle w:val="5"/>
        <w:bidi w:val="0"/>
        <w:rPr>
          <w:rFonts w:hint="eastAsia"/>
          <w:color w:val="auto"/>
          <w:lang w:val="en-US" w:eastAsia="zh-CN"/>
        </w:rPr>
      </w:pPr>
      <w:r>
        <w:rPr>
          <w:rFonts w:hint="eastAsia" w:ascii="楷体_GB2312" w:hAnsi="楷体_GB2312" w:eastAsia="楷体_GB2312" w:cs="楷体_GB2312"/>
          <w:color w:val="auto"/>
          <w:lang w:val="en-US" w:eastAsia="zh-CN"/>
        </w:rPr>
        <w:t>强化片区产业协同。</w:t>
      </w:r>
      <w:r>
        <w:rPr>
          <w:rFonts w:hint="eastAsia"/>
          <w:color w:val="auto"/>
          <w:lang w:val="en-US" w:eastAsia="zh-CN"/>
        </w:rPr>
        <w:t>以水寨、横陂、华城、转水、安流五镇为主体，以足球产业为核心纽带，统筹产业、文旅、人居、人才、资本、运营六大维度，全力打造“球王故里·足球之城”镇村片区组团。串联“五华里足球创客村”、足球创客人才孵化器、球王博物馆等核心节点，并推进李惠堂故居提升改造工程，推动足球装备制造、赛事运营、青训研学、文创开发、农特产品展销等产业链发展。依托五镇资源，开发“足球+文旅”“足球+农业”精品线路，将赛事流量转化为消费增量。</w:t>
      </w:r>
    </w:p>
    <w:p w14:paraId="043F68DA">
      <w:pPr>
        <w:pStyle w:val="5"/>
        <w:bidi w:val="0"/>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统筹片区风貌提升。</w:t>
      </w:r>
      <w:r>
        <w:rPr>
          <w:rFonts w:hint="eastAsia" w:ascii="Times New Roman" w:hAnsi="Times New Roman" w:eastAsia="FangSong_GB2312" w:cs="Times New Roman"/>
          <w:color w:val="auto"/>
          <w:lang w:val="en-US" w:eastAsia="zh-CN"/>
        </w:rPr>
        <w:t>以“足球+”五镇联动片区为先行示范，坚持“点—线—面”相结合，聚焦球王故里、足球小镇、高铁门户等重点节点实施精提升微改造，沿主干交通和琴江、五华河水系统筹推进农房风貌管控、“三线”整治及绿化美化，串联形成美丽乡村廊道，推动五镇风貌全域提升与产业培育、文化挖掘、生态保护深度融合，到“十五五”末实现片区农房风貌管控全覆盖、“三线”整治全达标，将“足球+”五镇联动片区打造为全省“百千万工程”城乡风貌提升的标杆项目。</w:t>
      </w:r>
    </w:p>
    <w:p w14:paraId="60242C67">
      <w:pPr>
        <w:pStyle w:val="5"/>
        <w:bidi w:val="0"/>
        <w:rPr>
          <w:rFonts w:hint="eastAsia"/>
          <w:color w:val="auto"/>
          <w:lang w:val="en-US" w:eastAsia="zh-CN"/>
        </w:rPr>
      </w:pPr>
      <w:r>
        <w:rPr>
          <w:rFonts w:hint="eastAsia" w:ascii="楷体_GB2312" w:hAnsi="楷体_GB2312" w:eastAsia="楷体_GB2312" w:cs="楷体_GB2312"/>
          <w:color w:val="auto"/>
          <w:lang w:val="en-US" w:eastAsia="zh-CN"/>
        </w:rPr>
        <w:t>构建片区人才与运营体系。</w:t>
      </w:r>
      <w:r>
        <w:rPr>
          <w:rFonts w:hint="eastAsia" w:ascii="Times New Roman" w:hAnsi="Times New Roman" w:eastAsia="FangSong_GB2312" w:cs="Times New Roman"/>
          <w:color w:val="auto"/>
          <w:lang w:val="en-US" w:eastAsia="zh-CN"/>
        </w:rPr>
        <w:t>以“足球+”五镇联动片区为载体，搭建“选拔—培训—孵化—运营”全链条创客培育体系，建设足球创客服务运营中心，常态化举办乡村创业大赛和创客研习营，累计筛选培育一批优质创业项目和本土足球创客人才；同步设立足球产业投资基金，开发适配创客的金融产品，组建混合所有制运营主体，实现片区一体化管理运营，形成“人才集聚、资本赋能、运营高效”的片区发展支撑体系。</w:t>
      </w:r>
    </w:p>
    <w:p w14:paraId="656B1DEA">
      <w:pPr>
        <w:pStyle w:val="4"/>
        <w:bidi w:val="0"/>
        <w:rPr>
          <w:rFonts w:hint="eastAsia"/>
          <w:color w:val="auto"/>
          <w:lang w:val="en-US" w:eastAsia="zh-CN"/>
        </w:rPr>
      </w:pPr>
      <w:r>
        <w:rPr>
          <w:rFonts w:hint="eastAsia"/>
          <w:color w:val="auto"/>
          <w:lang w:val="en-US" w:eastAsia="zh-CN"/>
        </w:rPr>
        <w:t>三、提升乡村治理效能</w:t>
      </w:r>
    </w:p>
    <w:p w14:paraId="6D4641EA">
      <w:pPr>
        <w:pStyle w:val="5"/>
        <w:bidi w:val="0"/>
        <w:rPr>
          <w:rFonts w:hint="eastAsia"/>
          <w:color w:val="auto"/>
          <w:lang w:val="en-US" w:eastAsia="zh-CN"/>
        </w:rPr>
      </w:pPr>
      <w:r>
        <w:rPr>
          <w:rFonts w:hint="eastAsia" w:ascii="楷体_GB2312" w:hAnsi="楷体_GB2312" w:eastAsia="楷体_GB2312" w:cs="楷体_GB2312"/>
          <w:color w:val="auto"/>
          <w:lang w:val="en-US" w:eastAsia="zh-CN"/>
        </w:rPr>
        <w:t>强化党建引领。</w:t>
      </w:r>
      <w:r>
        <w:rPr>
          <w:rFonts w:hint="eastAsia"/>
          <w:color w:val="auto"/>
          <w:lang w:val="en-US" w:eastAsia="zh-CN"/>
        </w:rPr>
        <w:t>健全以镇党委为龙头、村党组织为战斗堡垒、党员中心户为纽带的组织体系，全面推行“网格化+党组织”覆盖模式。完善村干部报酬与村集体经济发展挂钩制度。深化党员责任区、无职党员设岗定责等机制，发挥党员在政策宣讲、矛盾调解、产业带动中的先锋模范作用。</w:t>
      </w:r>
    </w:p>
    <w:p w14:paraId="3662CBAE">
      <w:pPr>
        <w:pStyle w:val="5"/>
        <w:bidi w:val="0"/>
        <w:rPr>
          <w:rFonts w:hint="eastAsia"/>
          <w:color w:val="auto"/>
          <w:lang w:val="en-US" w:eastAsia="zh-CN"/>
        </w:rPr>
      </w:pPr>
      <w:r>
        <w:rPr>
          <w:rFonts w:hint="eastAsia" w:ascii="楷体_GB2312" w:hAnsi="楷体_GB2312" w:eastAsia="楷体_GB2312" w:cs="楷体_GB2312"/>
          <w:color w:val="auto"/>
          <w:lang w:val="en-US" w:eastAsia="zh-CN"/>
        </w:rPr>
        <w:t>推进乡村治理现代化。</w:t>
      </w:r>
      <w:r>
        <w:rPr>
          <w:rFonts w:hint="eastAsia"/>
          <w:color w:val="auto"/>
          <w:lang w:val="en-US" w:eastAsia="zh-CN"/>
        </w:rPr>
        <w:t>全面实施“四议两公开”制度，健全村（社区）工作事项准入制度。推广应用积分制、清单制、数字化、网格化等治理方式，扎实开展乡村治理。坚持和发展新时代“枫桥经验”，强化农村矛盾纠纷排查化解，积极建设“无信访村（社区）”，完善信息共享、协同解决机制，营造积极健康的社会氛围。</w:t>
      </w:r>
    </w:p>
    <w:p w14:paraId="605392DB">
      <w:pPr>
        <w:pStyle w:val="5"/>
        <w:bidi w:val="0"/>
        <w:rPr>
          <w:rFonts w:hint="eastAsia"/>
          <w:color w:val="auto"/>
          <w:lang w:val="en-US" w:eastAsia="zh-CN"/>
        </w:rPr>
      </w:pPr>
      <w:r>
        <w:rPr>
          <w:rFonts w:hint="eastAsia" w:ascii="楷体_GB2312" w:hAnsi="楷体_GB2312" w:eastAsia="楷体_GB2312" w:cs="楷体_GB2312"/>
          <w:color w:val="auto"/>
          <w:lang w:val="en-US" w:eastAsia="zh-CN"/>
        </w:rPr>
        <w:t>深化数字赋能。</w:t>
      </w:r>
      <w:r>
        <w:rPr>
          <w:rFonts w:hint="eastAsia"/>
          <w:color w:val="auto"/>
          <w:lang w:val="en-US" w:eastAsia="zh-CN"/>
        </w:rPr>
        <w:t>依托“数字五华”建设基础，推动智慧治理平台向乡村延伸，整合党建、社保、应急、治安、环境监测等管理服务功能，实现“一网统管”。推广“粤系列”乡村应用，完善村务“云公开”和线上议事渠道。</w:t>
      </w:r>
    </w:p>
    <w:p w14:paraId="1DBB387A">
      <w:pPr>
        <w:pStyle w:val="5"/>
        <w:bidi w:val="0"/>
        <w:rPr>
          <w:rFonts w:hint="eastAsia"/>
          <w:color w:val="auto"/>
          <w:lang w:val="en-US" w:eastAsia="zh-CN"/>
        </w:rPr>
      </w:pPr>
      <w:r>
        <w:rPr>
          <w:rFonts w:hint="eastAsia" w:ascii="楷体_GB2312" w:hAnsi="楷体_GB2312" w:eastAsia="楷体_GB2312" w:cs="楷体_GB2312"/>
          <w:color w:val="auto"/>
          <w:lang w:val="en-US" w:eastAsia="zh-CN"/>
        </w:rPr>
        <w:t>健全法治保障。</w:t>
      </w:r>
      <w:r>
        <w:rPr>
          <w:rFonts w:hint="eastAsia"/>
          <w:color w:val="auto"/>
          <w:lang w:val="en-US" w:eastAsia="zh-CN"/>
        </w:rPr>
        <w:t>完善县镇综治中心规范化建设，深化“民主法治示范村”创建。整合司法、信访、调解等力量下沉一线，健全农村矛盾纠纷多元化解“一站式”平台。加强对留守儿童、妇女、老人等群体的关爱服务与权益保障，常态化开展农村扫黑除恶。</w:t>
      </w:r>
    </w:p>
    <w:p w14:paraId="3D5EB6D8">
      <w:pPr>
        <w:pStyle w:val="5"/>
        <w:bidi w:val="0"/>
        <w:rPr>
          <w:rFonts w:hint="eastAsia"/>
          <w:color w:val="auto"/>
          <w:lang w:val="en-US" w:eastAsia="zh-CN"/>
        </w:rPr>
      </w:pPr>
      <w:r>
        <w:rPr>
          <w:rFonts w:hint="eastAsia" w:ascii="楷体_GB2312" w:hAnsi="楷体_GB2312" w:eastAsia="楷体_GB2312" w:cs="楷体_GB2312"/>
          <w:color w:val="auto"/>
          <w:lang w:val="en-US" w:eastAsia="zh-CN"/>
        </w:rPr>
        <w:t>激发自治活力。</w:t>
      </w:r>
      <w:r>
        <w:rPr>
          <w:rFonts w:hint="eastAsia"/>
          <w:color w:val="auto"/>
          <w:lang w:val="en-US" w:eastAsia="zh-CN"/>
        </w:rPr>
        <w:t>全面修订完善村规民约，激发村民参与公共事务的内生动力。推进农村移风易俗，深化殡葬改革，持续整治人情攀比、大操大办、厚葬薄养等突出问题。培育乡村工匠、高素质农民等本土人才，支持发展乡贤理事会、红白理事会等自治组织，构建党组织领导下的自治、法治、德治相结合的乡村治理体系。</w:t>
      </w:r>
    </w:p>
    <w:p w14:paraId="5E04AEE8">
      <w:pPr>
        <w:pStyle w:val="4"/>
        <w:bidi w:val="0"/>
        <w:rPr>
          <w:rFonts w:hint="eastAsia"/>
          <w:color w:val="auto"/>
          <w:lang w:val="en-US" w:eastAsia="zh-CN"/>
        </w:rPr>
      </w:pPr>
      <w:r>
        <w:rPr>
          <w:rFonts w:hint="eastAsia"/>
          <w:color w:val="auto"/>
          <w:lang w:val="en-US" w:eastAsia="zh-CN"/>
        </w:rPr>
        <w:t>四、深化农村精神文明建设</w:t>
      </w:r>
    </w:p>
    <w:p w14:paraId="1CDFD729">
      <w:pPr>
        <w:pStyle w:val="5"/>
        <w:bidi w:val="0"/>
        <w:rPr>
          <w:rFonts w:hint="eastAsia"/>
          <w:color w:val="auto"/>
          <w:lang w:val="en-US" w:eastAsia="zh-CN"/>
        </w:rPr>
      </w:pPr>
      <w:r>
        <w:rPr>
          <w:rFonts w:hint="eastAsia" w:ascii="楷体_GB2312" w:hAnsi="楷体_GB2312" w:eastAsia="楷体_GB2312" w:cs="楷体_GB2312"/>
          <w:color w:val="auto"/>
          <w:lang w:val="en-US" w:eastAsia="zh-CN"/>
        </w:rPr>
        <w:t>强化思想引领。</w:t>
      </w:r>
      <w:r>
        <w:rPr>
          <w:rFonts w:hint="eastAsia"/>
          <w:color w:val="auto"/>
          <w:lang w:val="en-US" w:eastAsia="zh-CN"/>
        </w:rPr>
        <w:t>坚持党建引领精神文明建设，推广“党建引领+村民共治”经验，通过村民理事会、村规民约共定、文明户评选等方式，引导村民在人居环境整治、农房风貌提升、绿美生态建设中发挥主体作用。</w:t>
      </w:r>
    </w:p>
    <w:p w14:paraId="7B1E5C7F">
      <w:pPr>
        <w:pStyle w:val="5"/>
        <w:bidi w:val="0"/>
        <w:rPr>
          <w:rFonts w:hint="eastAsia"/>
          <w:color w:val="auto"/>
          <w:lang w:val="en-US" w:eastAsia="zh-CN"/>
        </w:rPr>
      </w:pPr>
      <w:r>
        <w:rPr>
          <w:rFonts w:hint="eastAsia" w:ascii="楷体_GB2312" w:hAnsi="楷体_GB2312" w:eastAsia="楷体_GB2312" w:cs="楷体_GB2312"/>
          <w:color w:val="auto"/>
          <w:lang w:val="en-US" w:eastAsia="zh-CN"/>
        </w:rPr>
        <w:t>深化文明培育与创建。</w:t>
      </w:r>
      <w:r>
        <w:rPr>
          <w:rFonts w:hint="eastAsia"/>
          <w:color w:val="auto"/>
          <w:lang w:val="en-US" w:eastAsia="zh-CN"/>
        </w:rPr>
        <w:t>实施“五华新风培育工程”，统筹推进社会公德、职业道德、家庭美德、个人品德建设。常态化开展“最美五华人物”“身边好人”“文明户”选树宣传活动，形成见贤思齐、崇德向善的社会风尚。推广普及“简办婚丧、厚养薄葬”理念，持续整治人情攀比、大操大办等陈规陋习。完善村规民约等规范体系，建立诚信积分管理制度，强化“工匠之乡”诚信文化建设。健全志愿服务“供需对接”平台，聚焦“一老一小”开展特色关爱行动。</w:t>
      </w:r>
    </w:p>
    <w:p w14:paraId="135239C0">
      <w:pPr>
        <w:pStyle w:val="5"/>
        <w:bidi w:val="0"/>
        <w:rPr>
          <w:rFonts w:hint="eastAsia"/>
          <w:color w:val="auto"/>
          <w:lang w:val="en-US" w:eastAsia="zh-CN"/>
        </w:rPr>
      </w:pPr>
      <w:r>
        <w:rPr>
          <w:rFonts w:hint="eastAsia" w:ascii="楷体_GB2312" w:hAnsi="楷体_GB2312" w:eastAsia="楷体_GB2312" w:cs="楷体_GB2312"/>
          <w:color w:val="auto"/>
          <w:lang w:val="en-US" w:eastAsia="zh-CN"/>
        </w:rPr>
        <w:t>繁荣乡村文化。</w:t>
      </w:r>
      <w:r>
        <w:rPr>
          <w:rFonts w:hint="eastAsia"/>
          <w:color w:val="auto"/>
          <w:lang w:val="en-US" w:eastAsia="zh-CN"/>
        </w:rPr>
        <w:t>深度挖掘状元文化、客家文化、红色文化等本土资源，推进传统村落特色保护区建设，加强乡村文化遗产保护传承和活化利用。举办“文武五华·奋进力量”主题宣讲、非遗采茶戏、提线木偶展演等活动，讲好五华故事，彰显“硬打硬”五华精神，增强群众文化认同感和自豪感。加强农村科普阵地建设，反对封建迷信。</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301E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332AB768">
            <w:pPr>
              <w:pStyle w:val="8"/>
              <w:bidi w:val="0"/>
              <w:rPr>
                <w:rFonts w:hint="eastAsia"/>
                <w:color w:val="auto"/>
                <w:sz w:val="21"/>
                <w:szCs w:val="21"/>
                <w:lang w:val="en-US" w:eastAsia="zh-CN"/>
              </w:rPr>
            </w:pPr>
            <w:r>
              <w:rPr>
                <w:rFonts w:hint="eastAsia" w:ascii="仿宋_GB2312" w:hAnsi="仿宋_GB2312" w:eastAsia="仿宋_GB2312" w:cs="仿宋_GB2312"/>
                <w:color w:val="auto"/>
                <w:sz w:val="32"/>
                <w:szCs w:val="32"/>
                <w:lang w:val="en-US" w:eastAsia="zh-CN"/>
              </w:rPr>
              <w:t>专栏5  和美乡村建设与治理能力提升工程</w:t>
            </w:r>
          </w:p>
        </w:tc>
      </w:tr>
      <w:tr w14:paraId="1EAE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3DF47A2C">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农村基础设施补短板行动。</w:t>
            </w:r>
            <w:r>
              <w:rPr>
                <w:rFonts w:hint="eastAsia" w:ascii="仿宋_GB2312" w:hAnsi="仿宋_GB2312" w:eastAsia="仿宋_GB2312" w:cs="仿宋_GB2312"/>
                <w:b w:val="0"/>
                <w:bCs w:val="0"/>
                <w:color w:val="auto"/>
                <w:sz w:val="28"/>
                <w:szCs w:val="36"/>
                <w:lang w:val="en-US" w:eastAsia="zh-CN"/>
              </w:rPr>
              <w:t>重点推进“四好农村路”提质升级、规模化供水工程、农村电网改造、5G和千兆光网覆盖。</w:t>
            </w:r>
          </w:p>
          <w:p w14:paraId="137E647A">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农村人居环境整治提升行动。</w:t>
            </w:r>
            <w:r>
              <w:rPr>
                <w:rFonts w:hint="eastAsia" w:ascii="仿宋_GB2312" w:hAnsi="仿宋_GB2312" w:eastAsia="仿宋_GB2312" w:cs="仿宋_GB2312"/>
                <w:b w:val="0"/>
                <w:bCs w:val="0"/>
                <w:color w:val="auto"/>
                <w:sz w:val="28"/>
                <w:szCs w:val="36"/>
                <w:lang w:val="en-US" w:eastAsia="zh-CN"/>
              </w:rPr>
              <w:t>重点推进生活污水治理、生活垃圾源头减量、“四小园”建设、农房风貌管控和“三线”整治。</w:t>
            </w:r>
          </w:p>
          <w:p w14:paraId="058D5A4A">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“足球+”五镇联动片区组团示范行动。</w:t>
            </w:r>
            <w:r>
              <w:rPr>
                <w:rFonts w:hint="eastAsia" w:ascii="仿宋_GB2312" w:hAnsi="仿宋_GB2312" w:eastAsia="仿宋_GB2312" w:cs="仿宋_GB2312"/>
                <w:b w:val="0"/>
                <w:bCs w:val="0"/>
                <w:color w:val="auto"/>
                <w:sz w:val="28"/>
                <w:szCs w:val="36"/>
                <w:lang w:val="en-US" w:eastAsia="zh-CN"/>
              </w:rPr>
              <w:t>重点打造水寨、横陂、华城、转水、安流五镇片区组团，推进“五华里足球创客村”、球王博物馆、李惠堂故居提升改造等核心项目。</w:t>
            </w:r>
          </w:p>
          <w:p w14:paraId="6B42BCB7">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乡村治理数字化赋能行动。</w:t>
            </w:r>
            <w:r>
              <w:rPr>
                <w:rFonts w:hint="eastAsia" w:ascii="仿宋_GB2312" w:hAnsi="仿宋_GB2312" w:eastAsia="仿宋_GB2312" w:cs="仿宋_GB2312"/>
                <w:b w:val="0"/>
                <w:bCs w:val="0"/>
                <w:color w:val="auto"/>
                <w:sz w:val="28"/>
                <w:szCs w:val="36"/>
                <w:lang w:val="en-US" w:eastAsia="zh-CN"/>
              </w:rPr>
              <w:t>重点推广积分制、清单制、网格化等治理方式，完善“粤系列”乡村应用和村务“云公开”平台。</w:t>
            </w:r>
          </w:p>
          <w:p w14:paraId="2B5FCF43">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color w:val="auto"/>
                <w:sz w:val="21"/>
                <w:szCs w:val="21"/>
                <w:lang w:val="en-US" w:eastAsia="zh-CN"/>
              </w:rPr>
            </w:pPr>
            <w:r>
              <w:rPr>
                <w:rFonts w:hint="eastAsia" w:ascii="仿宋_GB2312" w:hAnsi="仿宋_GB2312" w:eastAsia="仿宋_GB2312" w:cs="仿宋_GB2312"/>
                <w:b/>
                <w:bCs/>
                <w:color w:val="auto"/>
                <w:sz w:val="28"/>
                <w:szCs w:val="36"/>
                <w:lang w:val="en-US" w:eastAsia="zh-CN"/>
              </w:rPr>
              <w:t>乡风文明培育行动。</w:t>
            </w:r>
            <w:r>
              <w:rPr>
                <w:rFonts w:hint="eastAsia" w:ascii="仿宋_GB2312" w:hAnsi="仿宋_GB2312" w:eastAsia="仿宋_GB2312" w:cs="仿宋_GB2312"/>
                <w:b w:val="0"/>
                <w:bCs w:val="0"/>
                <w:color w:val="auto"/>
                <w:sz w:val="28"/>
                <w:szCs w:val="36"/>
                <w:lang w:val="en-US" w:eastAsia="zh-CN"/>
              </w:rPr>
              <w:t>重点开展“最美五华人物”“文明户”选树宣传，推进移风易俗和诚信文化建设。</w:t>
            </w:r>
          </w:p>
        </w:tc>
      </w:tr>
    </w:tbl>
    <w:p w14:paraId="714F9F9D">
      <w:pPr>
        <w:pStyle w:val="5"/>
        <w:bidi w:val="0"/>
        <w:rPr>
          <w:rFonts w:hint="eastAsia"/>
          <w:color w:val="auto"/>
          <w:lang w:val="en-US" w:eastAsia="zh-CN"/>
        </w:rPr>
      </w:pPr>
      <w:bookmarkStart w:id="81" w:name="_Toc11982"/>
      <w:bookmarkStart w:id="82" w:name="_Toc10961"/>
    </w:p>
    <w:p w14:paraId="00D5DC44">
      <w:pPr>
        <w:pStyle w:val="3"/>
        <w:bidi w:val="0"/>
        <w:rPr>
          <w:rFonts w:hint="eastAsia"/>
          <w:color w:val="auto"/>
          <w:lang w:val="en-US" w:eastAsia="zh-CN"/>
        </w:rPr>
      </w:pPr>
      <w:bookmarkStart w:id="83" w:name="_Toc12472"/>
      <w:r>
        <w:rPr>
          <w:rFonts w:hint="eastAsia"/>
          <w:color w:val="auto"/>
          <w:lang w:val="en-US" w:eastAsia="zh-CN"/>
        </w:rPr>
        <w:t>第七节 深化农村综合改革 激发乡村发展内生动力</w:t>
      </w:r>
      <w:bookmarkEnd w:id="81"/>
      <w:bookmarkEnd w:id="82"/>
      <w:bookmarkEnd w:id="83"/>
    </w:p>
    <w:p w14:paraId="2C593DEA">
      <w:pPr>
        <w:pStyle w:val="5"/>
        <w:bidi w:val="0"/>
        <w:rPr>
          <w:rFonts w:hint="eastAsia"/>
          <w:color w:val="auto"/>
          <w:lang w:val="en-US" w:eastAsia="zh-CN"/>
        </w:rPr>
      </w:pPr>
      <w:r>
        <w:rPr>
          <w:rFonts w:hint="eastAsia"/>
          <w:color w:val="auto"/>
          <w:lang w:val="en-US" w:eastAsia="zh-CN"/>
        </w:rPr>
        <w:t>以改革破难题、增活力，深化农村土地制度、集体产权制度等重点领域改革，畅通城乡要素流动，为乡村全面振兴提供制度保障。</w:t>
      </w:r>
    </w:p>
    <w:p w14:paraId="5A590C70">
      <w:pPr>
        <w:pStyle w:val="4"/>
        <w:bidi w:val="0"/>
        <w:rPr>
          <w:rFonts w:hint="eastAsia"/>
          <w:color w:val="auto"/>
          <w:lang w:val="en-US" w:eastAsia="zh-CN"/>
        </w:rPr>
      </w:pPr>
      <w:r>
        <w:rPr>
          <w:rFonts w:hint="eastAsia"/>
          <w:color w:val="auto"/>
          <w:lang w:val="en-US" w:eastAsia="zh-CN"/>
        </w:rPr>
        <w:t>一、深化农村土地制度改革</w:t>
      </w:r>
    </w:p>
    <w:p w14:paraId="1FAC2501">
      <w:pPr>
        <w:pStyle w:val="5"/>
        <w:bidi w:val="0"/>
        <w:rPr>
          <w:rFonts w:hint="eastAsia"/>
          <w:color w:val="auto"/>
          <w:lang w:val="en-US" w:eastAsia="zh-CN"/>
        </w:rPr>
      </w:pPr>
      <w:r>
        <w:rPr>
          <w:rFonts w:hint="eastAsia" w:ascii="楷体_GB2312" w:hAnsi="楷体_GB2312" w:eastAsia="楷体_GB2312" w:cs="楷体_GB2312"/>
          <w:color w:val="auto"/>
          <w:lang w:val="en-US" w:eastAsia="zh-CN"/>
        </w:rPr>
        <w:t>放活承包地经营权。</w:t>
      </w:r>
      <w:r>
        <w:rPr>
          <w:rFonts w:hint="eastAsia"/>
          <w:color w:val="auto"/>
          <w:lang w:val="en-US" w:eastAsia="zh-CN"/>
        </w:rPr>
        <w:t>稳定和完善农村土地承包关系，推进第二轮土地承包到期后再延长三十年试点工作。加快推进“小块田变大块田”，通过土地出租、托管、入股等形式，规模化流转整合细碎化的农村土地，实现小田变大田，形成规模化经营、专业化管理的农业现代化生产方式。深入推进安流镇、华城镇等全域土地综合整治，推进农村集体建设用地腾挪整合，腾退用地用于支持城镇建设和产业发展。</w:t>
      </w:r>
    </w:p>
    <w:p w14:paraId="2FC5D6B9">
      <w:pPr>
        <w:pStyle w:val="5"/>
        <w:bidi w:val="0"/>
        <w:rPr>
          <w:rFonts w:hint="eastAsia"/>
          <w:color w:val="auto"/>
          <w:lang w:val="en-US" w:eastAsia="zh-CN"/>
        </w:rPr>
      </w:pPr>
      <w:r>
        <w:rPr>
          <w:rFonts w:hint="eastAsia" w:ascii="楷体_GB2312" w:hAnsi="楷体_GB2312" w:eastAsia="楷体_GB2312" w:cs="楷体_GB2312"/>
          <w:color w:val="auto"/>
          <w:lang w:val="en-US" w:eastAsia="zh-CN"/>
        </w:rPr>
        <w:t>盘活宅基地和农房资源。</w:t>
      </w:r>
      <w:r>
        <w:rPr>
          <w:rFonts w:hint="eastAsia"/>
          <w:color w:val="auto"/>
          <w:lang w:val="en-US" w:eastAsia="zh-CN"/>
        </w:rPr>
        <w:t>扎实做好农村宅基地规范审批工作，开展“一户多宅”清理专项行动。扎实做好房地一体宅基地确权登记颁证。在保障农民住有所居的前提下，积极探索农户合法拥有的住房通过出租、入股、合作等方式盘活利用的有效实现形式。做好自然灾害危害区域避险搬迁农民自愿有偿退出宅基地工作。</w:t>
      </w:r>
    </w:p>
    <w:p w14:paraId="2347CCD7">
      <w:pPr>
        <w:pStyle w:val="5"/>
        <w:bidi w:val="0"/>
        <w:rPr>
          <w:rFonts w:hint="eastAsia"/>
          <w:color w:val="auto"/>
          <w:lang w:val="en-US" w:eastAsia="zh-CN"/>
        </w:rPr>
      </w:pPr>
      <w:r>
        <w:rPr>
          <w:rFonts w:hint="eastAsia" w:ascii="楷体_GB2312" w:hAnsi="楷体_GB2312" w:eastAsia="楷体_GB2312" w:cs="楷体_GB2312"/>
          <w:color w:val="auto"/>
          <w:lang w:val="en-US" w:eastAsia="zh-CN"/>
        </w:rPr>
        <w:t>规范集体经营性建设用地入市。</w:t>
      </w:r>
      <w:r>
        <w:rPr>
          <w:rFonts w:hint="eastAsia"/>
          <w:color w:val="auto"/>
          <w:lang w:val="en-US" w:eastAsia="zh-CN"/>
        </w:rPr>
        <w:t>开展农村集体经营性建设用地入市改革，健全收益分配和权益保护机制。探索建立兼顾国家、农村集体经济组织和农民利益的土地增值收益有效调节机制，将土地增值收益更多留在村集体，支持村集体经济发展壮大。深化集体林权制度改革，赋予权利人更加充分的林木处置权和收益权。</w:t>
      </w:r>
    </w:p>
    <w:p w14:paraId="56B07373">
      <w:pPr>
        <w:pStyle w:val="4"/>
        <w:bidi w:val="0"/>
        <w:rPr>
          <w:rFonts w:hint="eastAsia"/>
          <w:color w:val="auto"/>
          <w:lang w:val="en-US" w:eastAsia="zh-CN"/>
        </w:rPr>
      </w:pPr>
      <w:r>
        <w:rPr>
          <w:rFonts w:hint="eastAsia"/>
          <w:color w:val="auto"/>
          <w:lang w:val="en-US" w:eastAsia="zh-CN"/>
        </w:rPr>
        <w:t>二、完善农村集体产权制度</w:t>
      </w:r>
    </w:p>
    <w:p w14:paraId="1C8A6F34">
      <w:pPr>
        <w:pStyle w:val="5"/>
        <w:bidi w:val="0"/>
        <w:rPr>
          <w:rFonts w:hint="eastAsia"/>
          <w:color w:val="auto"/>
          <w:lang w:val="en-US" w:eastAsia="zh-CN"/>
        </w:rPr>
      </w:pPr>
      <w:r>
        <w:rPr>
          <w:rFonts w:hint="eastAsia" w:ascii="楷体_GB2312" w:hAnsi="楷体_GB2312" w:eastAsia="楷体_GB2312" w:cs="楷体_GB2312"/>
          <w:color w:val="auto"/>
          <w:lang w:val="en-US" w:eastAsia="zh-CN"/>
        </w:rPr>
        <w:t>深化集体资产股份合作制改革。</w:t>
      </w:r>
      <w:r>
        <w:rPr>
          <w:rFonts w:hint="eastAsia"/>
          <w:color w:val="auto"/>
          <w:lang w:val="en-US" w:eastAsia="zh-CN"/>
        </w:rPr>
        <w:t>巩固农村集体产权制度改革成果，健全集体资产清产核资、登记备案、价值评估和动态管理制度。规范农村集体经济组织运行，依法完善组织章程，健全成员（代表）大会、理事会、监事会等制度，落实集体资产股份占有、收益、有偿退出及抵押、担保、继承等权能。</w:t>
      </w:r>
    </w:p>
    <w:p w14:paraId="01995CD0">
      <w:pPr>
        <w:pStyle w:val="5"/>
        <w:bidi w:val="0"/>
        <w:rPr>
          <w:rFonts w:hint="eastAsia"/>
          <w:color w:val="auto"/>
          <w:lang w:val="en-US" w:eastAsia="zh-CN"/>
        </w:rPr>
      </w:pPr>
      <w:r>
        <w:rPr>
          <w:rFonts w:hint="eastAsia" w:ascii="楷体_GB2312" w:hAnsi="楷体_GB2312" w:eastAsia="楷体_GB2312" w:cs="楷体_GB2312"/>
          <w:color w:val="auto"/>
          <w:lang w:val="en-US" w:eastAsia="zh-CN"/>
        </w:rPr>
        <w:t>健全集体“三资”监管体系。</w:t>
      </w:r>
      <w:r>
        <w:rPr>
          <w:rFonts w:hint="eastAsia"/>
          <w:color w:val="auto"/>
          <w:lang w:val="en-US" w:eastAsia="zh-CN"/>
        </w:rPr>
        <w:t>用好梅州市农村产权流转交易管理服务平台，实现集体资金支付在线审核、资产资源交易网上运行、合同履行全程监控、财务收支实时公开。严格执行“村财镇代理”制度，强化镇级对村级财务的审核监督，推行“阳光交易”。建立健全集体经济组织负责人任期和离任审计制度，严防集体资产流失。</w:t>
      </w:r>
    </w:p>
    <w:p w14:paraId="49AD1F95">
      <w:pPr>
        <w:pStyle w:val="5"/>
        <w:bidi w:val="0"/>
        <w:rPr>
          <w:rFonts w:hint="eastAsia"/>
          <w:color w:val="auto"/>
          <w:lang w:val="en-US" w:eastAsia="zh-CN"/>
        </w:rPr>
      </w:pPr>
      <w:r>
        <w:rPr>
          <w:rFonts w:hint="eastAsia" w:ascii="楷体_GB2312" w:hAnsi="楷体_GB2312" w:eastAsia="楷体_GB2312" w:cs="楷体_GB2312"/>
          <w:color w:val="auto"/>
          <w:lang w:val="en-US" w:eastAsia="zh-CN"/>
        </w:rPr>
        <w:t>创新集体收益分配机制。</w:t>
      </w:r>
      <w:r>
        <w:rPr>
          <w:rFonts w:hint="eastAsia"/>
          <w:color w:val="auto"/>
          <w:lang w:val="en-US" w:eastAsia="zh-CN"/>
        </w:rPr>
        <w:t>引导村集体经济组织通过资源发包、物业租赁、居间服务、资产入股、合作开发等多种形式拓宽经营渠道。鼓励村集体以村级统筹、村企合作、村村联动等模式，整合盘活闲置资源，联合开发标准化厂房、仓储设施、乡村旅游等经营性项目。完善集体收益分配与农民增收长效机制，让农民分享集体经济发展红利。</w:t>
      </w:r>
    </w:p>
    <w:p w14:paraId="64D47403">
      <w:pPr>
        <w:pStyle w:val="5"/>
        <w:bidi w:val="0"/>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创新乡村振兴投融资机制。</w:t>
      </w:r>
      <w:r>
        <w:rPr>
          <w:rFonts w:hint="eastAsia" w:ascii="仿宋_GB2312" w:hAnsi="仿宋_GB2312" w:eastAsia="仿宋_GB2312" w:cs="仿宋_GB2312"/>
          <w:color w:val="auto"/>
          <w:lang w:val="en-US" w:eastAsia="zh-CN"/>
        </w:rPr>
        <w:t>积极争取中央预算内投资、超长期特别国债和地方政府专项债券支持农业农村领域重大项目建设。统筹运用财政贴息、融资担保等创新工具，撬动更多金融资源和社会资本投入实体经济。健全政府投资有效带动社会投资机制，规范实施政府和社会资本合作。梳理优质资源资产，通过作价入股、租赁、转让等多样化方式进行市场化开发与价值变现。</w:t>
      </w:r>
    </w:p>
    <w:p w14:paraId="3339D22B">
      <w:pPr>
        <w:pStyle w:val="4"/>
        <w:bidi w:val="0"/>
        <w:rPr>
          <w:rFonts w:hint="eastAsia"/>
          <w:color w:val="auto"/>
          <w:lang w:val="en-US" w:eastAsia="zh-CN"/>
        </w:rPr>
      </w:pPr>
      <w:r>
        <w:rPr>
          <w:rFonts w:hint="eastAsia"/>
          <w:color w:val="auto"/>
          <w:lang w:val="en-US" w:eastAsia="zh-CN"/>
        </w:rPr>
        <w:t>三、深入推进城乡融合发展</w:t>
      </w:r>
    </w:p>
    <w:p w14:paraId="2BED7519">
      <w:pPr>
        <w:pStyle w:val="5"/>
        <w:bidi w:val="0"/>
        <w:rPr>
          <w:rFonts w:hint="eastAsia" w:ascii="仿宋_GB2312" w:hAnsi="仿宋_GB2312" w:eastAsia="仿宋_GB2312" w:cs="仿宋_GB2312"/>
          <w:color w:val="auto"/>
          <w:lang w:val="en-US" w:eastAsia="zh-CN"/>
        </w:rPr>
      </w:pPr>
      <w:r>
        <w:rPr>
          <w:rFonts w:hint="eastAsia" w:ascii="楷体_GB2312" w:hAnsi="楷体_GB2312" w:eastAsia="楷体_GB2312" w:cs="楷体_GB2312"/>
          <w:color w:val="auto"/>
          <w:lang w:val="en-US" w:eastAsia="zh-CN"/>
        </w:rPr>
        <w:t>推动城乡产业协同发展。</w:t>
      </w:r>
      <w:r>
        <w:rPr>
          <w:rFonts w:hint="eastAsia" w:ascii="仿宋_GB2312" w:hAnsi="仿宋_GB2312" w:eastAsia="仿宋_GB2312" w:cs="仿宋_GB2312"/>
          <w:color w:val="auto"/>
          <w:lang w:val="en-US" w:eastAsia="zh-CN"/>
        </w:rPr>
        <w:t>深化产业融合，推动一产提质增效，大力推进标准化、绿色化、规模化基地建设。聚力延伸产业链条，加快特色农产品加工园区建设，攻坚精深加工环节，推动初级农产品就地转化增值。强化业态跨界联动，盘活闲置土地、农房等存量资源，推动农业生产、加工流通、休闲旅游、电商商贸、民宿康养等业态深度衔接。</w:t>
      </w:r>
    </w:p>
    <w:p w14:paraId="3F8B75DC">
      <w:pPr>
        <w:pStyle w:val="5"/>
        <w:bidi w:val="0"/>
        <w:rPr>
          <w:rFonts w:hint="eastAsia" w:ascii="仿宋_GB2312" w:hAnsi="仿宋_GB2312" w:eastAsia="仿宋_GB2312" w:cs="仿宋_GB2312"/>
          <w:color w:val="auto"/>
          <w:lang w:val="en-US" w:eastAsia="zh-CN"/>
        </w:rPr>
      </w:pPr>
      <w:r>
        <w:rPr>
          <w:rFonts w:hint="eastAsia" w:ascii="楷体_GB2312" w:hAnsi="楷体_GB2312" w:eastAsia="楷体_GB2312" w:cs="楷体_GB2312"/>
          <w:color w:val="auto"/>
          <w:lang w:val="en-US" w:eastAsia="zh-CN"/>
        </w:rPr>
        <w:t>促进城乡基本公共服务均等化。</w:t>
      </w:r>
      <w:r>
        <w:rPr>
          <w:rFonts w:hint="eastAsia" w:ascii="仿宋_GB2312" w:hAnsi="仿宋_GB2312" w:eastAsia="仿宋_GB2312" w:cs="仿宋_GB2312"/>
          <w:color w:val="auto"/>
          <w:lang w:val="en-US" w:eastAsia="zh-CN"/>
        </w:rPr>
        <w:t>优化城乡教育资源配置，深化县域医共体建设，推动县级优质医疗资源下沉。完善统一的城乡居民基本养老保险制度，健全县镇村衔接的养老服务网络。健全覆盖城乡的公共就业服务体系，加强农村劳动力技能培训，促进农村劳动力转移就业和就地就近就业。</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72FE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57B5FD48">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olor w:val="auto"/>
                <w:sz w:val="21"/>
                <w:szCs w:val="21"/>
                <w:lang w:val="en-US" w:eastAsia="zh-CN"/>
              </w:rPr>
            </w:pPr>
            <w:r>
              <w:rPr>
                <w:rFonts w:hint="eastAsia" w:ascii="仿宋_GB2312" w:hAnsi="仿宋_GB2312" w:eastAsia="仿宋_GB2312" w:cs="仿宋_GB2312"/>
                <w:b/>
                <w:bCs/>
                <w:color w:val="auto"/>
                <w:sz w:val="32"/>
                <w:szCs w:val="32"/>
                <w:lang w:val="en-US" w:eastAsia="zh-CN"/>
              </w:rPr>
              <w:t>专栏6  农村改革深化与城乡融合促进工程</w:t>
            </w:r>
          </w:p>
        </w:tc>
      </w:tr>
      <w:tr w14:paraId="0E08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15D3A796">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bCs/>
                <w:color w:val="auto"/>
                <w:sz w:val="28"/>
                <w:szCs w:val="36"/>
                <w:lang w:val="en-US" w:eastAsia="zh-CN"/>
              </w:rPr>
              <w:t>农村土地制度改革深化行动。</w:t>
            </w:r>
            <w:r>
              <w:rPr>
                <w:rFonts w:hint="eastAsia" w:ascii="仿宋_GB2312" w:hAnsi="仿宋_GB2312" w:eastAsia="仿宋_GB2312" w:cs="仿宋_GB2312"/>
                <w:b w:val="0"/>
                <w:bCs w:val="0"/>
                <w:color w:val="auto"/>
                <w:sz w:val="28"/>
                <w:szCs w:val="36"/>
                <w:lang w:val="en-US" w:eastAsia="zh-CN"/>
              </w:rPr>
              <w:t>推进第二轮土地承包到期后再延长三十年试点工作。加快推进“小块田变大块田”，深化全域土地综合整治。探索农户住房盘活利用和集体经营性建设用地入市改革。</w:t>
            </w:r>
          </w:p>
          <w:p w14:paraId="2ADC48E6">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bCs/>
                <w:color w:val="auto"/>
                <w:sz w:val="28"/>
                <w:szCs w:val="36"/>
                <w:lang w:val="en-US" w:eastAsia="zh-CN"/>
              </w:rPr>
              <w:t>集体产权制度改革提质行动。</w:t>
            </w:r>
            <w:r>
              <w:rPr>
                <w:rFonts w:hint="eastAsia" w:ascii="仿宋_GB2312" w:hAnsi="仿宋_GB2312" w:eastAsia="仿宋_GB2312" w:cs="仿宋_GB2312"/>
                <w:b w:val="0"/>
                <w:bCs w:val="0"/>
                <w:color w:val="auto"/>
                <w:sz w:val="28"/>
                <w:szCs w:val="36"/>
                <w:lang w:val="en-US" w:eastAsia="zh-CN"/>
              </w:rPr>
              <w:t>健全集体资产清产核资和动态管理制度。用好农村产权流转交易管理服务平台，推行“阳光交易”。完善集体收益分配与农民增收长效机制。</w:t>
            </w:r>
          </w:p>
          <w:p w14:paraId="7CE60548">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val="0"/>
                <w:bCs w:val="0"/>
                <w:color w:val="auto"/>
                <w:sz w:val="28"/>
                <w:szCs w:val="36"/>
                <w:lang w:val="en-US" w:eastAsia="zh-CN"/>
              </w:rPr>
            </w:pPr>
            <w:r>
              <w:rPr>
                <w:rFonts w:hint="eastAsia" w:ascii="仿宋_GB2312" w:hAnsi="仿宋_GB2312" w:eastAsia="仿宋_GB2312" w:cs="仿宋_GB2312"/>
                <w:b/>
                <w:bCs/>
                <w:color w:val="auto"/>
                <w:sz w:val="28"/>
                <w:szCs w:val="36"/>
                <w:lang w:val="en-US" w:eastAsia="zh-CN"/>
              </w:rPr>
              <w:t>乡村振兴投融资促进行动。</w:t>
            </w:r>
            <w:r>
              <w:rPr>
                <w:rFonts w:hint="eastAsia" w:ascii="仿宋_GB2312" w:hAnsi="仿宋_GB2312" w:eastAsia="仿宋_GB2312" w:cs="仿宋_GB2312"/>
                <w:b w:val="0"/>
                <w:bCs w:val="0"/>
                <w:color w:val="auto"/>
                <w:sz w:val="28"/>
                <w:szCs w:val="36"/>
                <w:lang w:val="en-US" w:eastAsia="zh-CN"/>
              </w:rPr>
              <w:t>积极争取中央预算内投资、超长期特别国债和地方政府专项债券支持。统筹运用财政贴息、融资担保等工具撬动社会资本。规范实施政府和社会资本合作。</w:t>
            </w:r>
          </w:p>
          <w:p w14:paraId="6977D50D">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color w:val="auto"/>
                <w:sz w:val="21"/>
                <w:szCs w:val="21"/>
                <w:lang w:val="en-US" w:eastAsia="zh-CN"/>
              </w:rPr>
            </w:pPr>
            <w:r>
              <w:rPr>
                <w:rFonts w:hint="eastAsia" w:ascii="仿宋_GB2312" w:hAnsi="仿宋_GB2312" w:eastAsia="仿宋_GB2312" w:cs="仿宋_GB2312"/>
                <w:b/>
                <w:bCs/>
                <w:color w:val="auto"/>
                <w:sz w:val="28"/>
                <w:szCs w:val="36"/>
                <w:lang w:val="en-US" w:eastAsia="zh-CN"/>
              </w:rPr>
              <w:t>城乡产业协同发展行动。</w:t>
            </w:r>
            <w:r>
              <w:rPr>
                <w:rFonts w:hint="eastAsia" w:ascii="仿宋_GB2312" w:hAnsi="仿宋_GB2312" w:eastAsia="仿宋_GB2312" w:cs="仿宋_GB2312"/>
                <w:b w:val="0"/>
                <w:bCs w:val="0"/>
                <w:color w:val="auto"/>
                <w:sz w:val="28"/>
                <w:szCs w:val="36"/>
                <w:lang w:val="en-US" w:eastAsia="zh-CN"/>
              </w:rPr>
              <w:t>深化产业融合，推动农业生产、加工流通、休闲旅游、电商商贸、民宿康养等业态深度衔接。盘活闲置资源，打造第六产业示范项目。</w:t>
            </w:r>
          </w:p>
        </w:tc>
      </w:tr>
    </w:tbl>
    <w:p w14:paraId="31FE2951">
      <w:pPr>
        <w:rPr>
          <w:rFonts w:hint="eastAsia" w:ascii="黑体" w:hAnsi="黑体" w:eastAsia="黑体" w:cs="黑体"/>
          <w:color w:val="auto"/>
          <w:sz w:val="36"/>
          <w:szCs w:val="36"/>
          <w:rtl w:val="0"/>
          <w:lang w:val="en-US" w:eastAsia="zh-CN"/>
        </w:rPr>
      </w:pPr>
      <w:r>
        <w:rPr>
          <w:rFonts w:hint="eastAsia" w:ascii="黑体" w:hAnsi="黑体" w:eastAsia="黑体" w:cs="黑体"/>
          <w:color w:val="auto"/>
          <w:sz w:val="36"/>
          <w:szCs w:val="36"/>
          <w:rtl w:val="0"/>
          <w:lang w:val="en-US" w:eastAsia="zh-CN"/>
        </w:rPr>
        <w:br w:type="page"/>
      </w:r>
    </w:p>
    <w:p w14:paraId="09D8653D">
      <w:pPr>
        <w:pStyle w:val="2"/>
        <w:bidi w:val="0"/>
        <w:rPr>
          <w:rFonts w:hint="eastAsia"/>
          <w:color w:val="auto"/>
          <w:rtl w:val="0"/>
          <w:lang w:val="en-US" w:eastAsia="zh-CN"/>
        </w:rPr>
      </w:pPr>
      <w:bookmarkStart w:id="84" w:name="_Toc4132"/>
      <w:bookmarkStart w:id="85" w:name="_Toc26814"/>
      <w:bookmarkStart w:id="86" w:name="_Toc16865"/>
      <w:r>
        <w:rPr>
          <w:rFonts w:hint="eastAsia"/>
          <w:color w:val="auto"/>
          <w:rtl w:val="0"/>
          <w:lang w:val="en-US" w:eastAsia="zh-CN"/>
        </w:rPr>
        <w:t>第五章 保障措施</w:t>
      </w:r>
      <w:bookmarkEnd w:id="84"/>
      <w:bookmarkEnd w:id="85"/>
      <w:bookmarkEnd w:id="86"/>
    </w:p>
    <w:p w14:paraId="60EF9152">
      <w:pPr>
        <w:pStyle w:val="5"/>
        <w:bidi w:val="0"/>
        <w:rPr>
          <w:rFonts w:hint="eastAsia"/>
          <w:color w:val="auto"/>
          <w:rtl w:val="0"/>
          <w:lang w:val="en-US" w:eastAsia="zh-CN"/>
        </w:rPr>
      </w:pPr>
      <w:r>
        <w:rPr>
          <w:rFonts w:hint="eastAsia"/>
          <w:color w:val="auto"/>
          <w:rtl w:val="0"/>
          <w:lang w:val="en-US" w:eastAsia="zh-CN"/>
        </w:rPr>
        <w:t>坚持党对“三农”工作的全面领导，健全统筹协调和联动合作机制，强化要素保障和项目支撑，完善规划实施监督评估机制，确保规划各项目标任务落地见效。</w:t>
      </w:r>
    </w:p>
    <w:p w14:paraId="7C7C8C44">
      <w:pPr>
        <w:pStyle w:val="3"/>
        <w:bidi w:val="0"/>
        <w:rPr>
          <w:rFonts w:hint="eastAsia"/>
          <w:color w:val="auto"/>
          <w:rtl w:val="0"/>
          <w:lang w:val="en-US" w:eastAsia="zh-CN"/>
        </w:rPr>
      </w:pPr>
      <w:bookmarkStart w:id="87" w:name="_Toc16394"/>
      <w:r>
        <w:rPr>
          <w:rFonts w:hint="eastAsia"/>
          <w:color w:val="auto"/>
          <w:rtl w:val="0"/>
          <w:lang w:val="en-US" w:eastAsia="zh-CN"/>
        </w:rPr>
        <w:t>第一节 加强党的全面领导</w:t>
      </w:r>
      <w:bookmarkEnd w:id="87"/>
    </w:p>
    <w:p w14:paraId="4DCE965F">
      <w:pPr>
        <w:pStyle w:val="5"/>
        <w:bidi w:val="0"/>
        <w:rPr>
          <w:rFonts w:hint="eastAsia"/>
          <w:color w:val="auto"/>
          <w:rtl w:val="0"/>
          <w:lang w:val="en-US" w:eastAsia="zh-CN"/>
        </w:rPr>
      </w:pPr>
      <w:r>
        <w:rPr>
          <w:rFonts w:hint="eastAsia"/>
          <w:color w:val="auto"/>
          <w:rtl w:val="0"/>
          <w:lang w:val="en-US" w:eastAsia="zh-CN"/>
        </w:rPr>
        <w:t>坚持和加强党对“三农”工作的全面领导，落实“五级书记”抓乡村振兴要求，建立健全“党政一把手亲自部署、亲自抓”的组织领导责任机制，形成县、镇、村三级责任体系。深入学习运用“千万工程”经验，将规划实施情况纳入县委、县政府党政领导班子和领导干部推进乡村振兴实绩考核，压实工作责任。充分发挥县委农村工作领导小组统筹协调作用，建立“县级统筹、镇级推进、村级落实”的三级联动工作机制，定期研究解决规划实施中的重大问题。</w:t>
      </w:r>
    </w:p>
    <w:p w14:paraId="37AF96E1">
      <w:pPr>
        <w:pStyle w:val="3"/>
        <w:bidi w:val="0"/>
        <w:rPr>
          <w:rFonts w:hint="eastAsia"/>
          <w:color w:val="auto"/>
          <w:rtl w:val="0"/>
          <w:lang w:val="en-US" w:eastAsia="zh-CN"/>
        </w:rPr>
      </w:pPr>
      <w:bookmarkStart w:id="88" w:name="_Toc13953"/>
      <w:r>
        <w:rPr>
          <w:rFonts w:hint="eastAsia"/>
          <w:color w:val="auto"/>
          <w:rtl w:val="0"/>
          <w:lang w:val="en-US" w:eastAsia="zh-CN"/>
        </w:rPr>
        <w:t>第二节 强化要素保障支撑</w:t>
      </w:r>
      <w:bookmarkEnd w:id="88"/>
    </w:p>
    <w:p w14:paraId="0854699C">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强化资金保障。</w:t>
      </w:r>
      <w:r>
        <w:rPr>
          <w:rFonts w:hint="eastAsia"/>
          <w:color w:val="auto"/>
          <w:rtl w:val="0"/>
          <w:lang w:val="en-US" w:eastAsia="zh-CN"/>
        </w:rPr>
        <w:t>积极争取中央预算内投资、超长期特别国债和地方政府专项债券支持农业农村领域重大项目建设。创新投融资机制，统筹运用财政贴息、融资担保等工具，撬动更多金融资源和社会资本投入。梳理优质资源资产，通过作价入股、租赁、转让等方式进行市场化开发与价值变现。</w:t>
      </w:r>
    </w:p>
    <w:p w14:paraId="2127947C">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强化用地保障。</w:t>
      </w:r>
      <w:r>
        <w:rPr>
          <w:rFonts w:hint="eastAsia"/>
          <w:color w:val="auto"/>
          <w:rtl w:val="0"/>
          <w:lang w:val="en-US" w:eastAsia="zh-CN"/>
        </w:rPr>
        <w:t>科学调控土地供应，合理调整用地结构，优先保障现代农业产业园、农产品精深加工、冷链物流等乡村产业项目用地需求。加快推进全域土地综合整治，盘活存量建设用地，腾挪指标用于支持乡村产业发展和设施建设。</w:t>
      </w:r>
    </w:p>
    <w:p w14:paraId="7C9690E2">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强化人才保障。</w:t>
      </w:r>
      <w:r>
        <w:rPr>
          <w:rFonts w:hint="eastAsia"/>
          <w:color w:val="auto"/>
          <w:rtl w:val="0"/>
          <w:lang w:val="en-US" w:eastAsia="zh-CN"/>
        </w:rPr>
        <w:t>积极用好“免费梅州”政策，打响“长乐人才”品牌，吸引各类人才到乡村创业就业。加强农村乡土人才培养，推进乡村工匠培育工程，开展针对农民的职业技能培训。扎实推进“三支一扶”计划、科技特派员等基层服务项目。</w:t>
      </w:r>
    </w:p>
    <w:p w14:paraId="4321E607">
      <w:pPr>
        <w:pStyle w:val="3"/>
        <w:bidi w:val="0"/>
        <w:rPr>
          <w:rFonts w:hint="eastAsia"/>
          <w:color w:val="auto"/>
          <w:rtl w:val="0"/>
          <w:lang w:val="en-US" w:eastAsia="zh-CN"/>
        </w:rPr>
      </w:pPr>
      <w:bookmarkStart w:id="89" w:name="_Toc11960"/>
      <w:r>
        <w:rPr>
          <w:rFonts w:hint="eastAsia"/>
          <w:color w:val="auto"/>
          <w:rtl w:val="0"/>
          <w:lang w:val="en-US" w:eastAsia="zh-CN"/>
        </w:rPr>
        <w:t>第三节 健全规划实施机制</w:t>
      </w:r>
      <w:bookmarkEnd w:id="89"/>
    </w:p>
    <w:p w14:paraId="2982A3B7">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强化重大项目支撑。</w:t>
      </w:r>
      <w:r>
        <w:rPr>
          <w:rFonts w:hint="eastAsia"/>
          <w:color w:val="auto"/>
          <w:rtl w:val="0"/>
          <w:lang w:val="en-US" w:eastAsia="zh-CN"/>
        </w:rPr>
        <w:t>建立“谋划储备—开工建设—建成投产”全周期管理机制，动态更新农业农村重大项目库。加强项目前期论证，完善联动协调机制，集中力量保障重大项目顺利推进。建立健全项目建设全过程监督机制，落实监管制度，提高投资管理水平和效益。</w:t>
      </w:r>
    </w:p>
    <w:p w14:paraId="08EF4F38">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加强规划衔接协调。</w:t>
      </w:r>
      <w:r>
        <w:rPr>
          <w:rFonts w:hint="eastAsia"/>
          <w:color w:val="auto"/>
          <w:rtl w:val="0"/>
          <w:lang w:val="en-US" w:eastAsia="zh-CN"/>
        </w:rPr>
        <w:t>推动本规划与国民经济和社会发展规划、国土空间规划、产业发展规划等有机衔接，确保发展目标、空间布局、重大项目协调一致。建立县规划综合管理信息平台，加强各类规划信息的互联互通和归集共享。</w:t>
      </w:r>
    </w:p>
    <w:p w14:paraId="1E11643A">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完善监测评估机制。</w:t>
      </w:r>
      <w:r>
        <w:rPr>
          <w:rFonts w:hint="eastAsia"/>
          <w:color w:val="auto"/>
          <w:rtl w:val="0"/>
          <w:lang w:val="en-US" w:eastAsia="zh-CN"/>
        </w:rPr>
        <w:t>组织开展规划实施情况动态监测、中期评估和总结评估，鼓励开展第三方评估，强化监测评估结果应用。健全规划动态调整和修订机制，经评估确需调整修订时，按规定程序报批。</w:t>
      </w:r>
    </w:p>
    <w:p w14:paraId="7B694DA0">
      <w:pPr>
        <w:pStyle w:val="3"/>
        <w:bidi w:val="0"/>
        <w:rPr>
          <w:rFonts w:hint="eastAsia"/>
          <w:color w:val="auto"/>
          <w:rtl w:val="0"/>
          <w:lang w:val="en-US" w:eastAsia="zh-CN"/>
        </w:rPr>
      </w:pPr>
      <w:bookmarkStart w:id="90" w:name="_Toc305"/>
      <w:r>
        <w:rPr>
          <w:rFonts w:hint="eastAsia"/>
          <w:color w:val="auto"/>
          <w:rtl w:val="0"/>
          <w:lang w:val="en-US" w:eastAsia="zh-CN"/>
        </w:rPr>
        <w:t>第四节 营造良好实施氛围</w:t>
      </w:r>
      <w:bookmarkEnd w:id="90"/>
    </w:p>
    <w:p w14:paraId="4A413301">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加强宣传引导。</w:t>
      </w:r>
      <w:r>
        <w:rPr>
          <w:rFonts w:hint="eastAsia"/>
          <w:color w:val="auto"/>
          <w:rtl w:val="0"/>
          <w:lang w:val="en-US" w:eastAsia="zh-CN"/>
        </w:rPr>
        <w:t>广泛宣传规划目标、重点任务和政策措施，及时发布规划实施进展和成效，增强公众对规划的认知和认同，营造全社会共同参与和支持规划实施的良好氛围。</w:t>
      </w:r>
    </w:p>
    <w:p w14:paraId="31482886">
      <w:pPr>
        <w:pStyle w:val="5"/>
        <w:bidi w:val="0"/>
        <w:rPr>
          <w:rFonts w:hint="eastAsia"/>
          <w:color w:val="auto"/>
          <w:rtl w:val="0"/>
          <w:lang w:val="en-US" w:eastAsia="zh-CN"/>
        </w:rPr>
      </w:pPr>
      <w:r>
        <w:rPr>
          <w:rFonts w:hint="eastAsia" w:ascii="楷体_GB2312" w:hAnsi="楷体_GB2312" w:eastAsia="楷体_GB2312" w:cs="楷体_GB2312"/>
          <w:color w:val="auto"/>
          <w:rtl w:val="0"/>
          <w:lang w:val="en-US" w:eastAsia="zh-CN"/>
        </w:rPr>
        <w:t>凝聚社会合力。</w:t>
      </w:r>
      <w:r>
        <w:rPr>
          <w:rFonts w:hint="eastAsia"/>
          <w:color w:val="auto"/>
          <w:rtl w:val="0"/>
          <w:lang w:val="en-US" w:eastAsia="zh-CN"/>
        </w:rPr>
        <w:t>动员乡贤、企业、帮扶工作队等各方力量参与农业农村建设。发挥工会、共青团、妇联等群团组织作用，畅通社会组织、社会工作者和志愿者参与渠道，形成全社会关心支持农业农村现代化的强大合力。</w:t>
      </w:r>
    </w:p>
    <w:p w14:paraId="4B81041D">
      <w:pPr>
        <w:rPr>
          <w:rFonts w:hint="eastAsia"/>
          <w:b/>
          <w:bCs/>
          <w:color w:val="auto"/>
          <w:lang w:val="en-US" w:eastAsia="zh-CN"/>
        </w:rPr>
        <w:sectPr>
          <w:footerReference r:id="rId5" w:type="default"/>
          <w:pgSz w:w="11906" w:h="16838"/>
          <w:pgMar w:top="1587" w:right="1474" w:bottom="1474" w:left="1474"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b/>
          <w:bCs/>
          <w:color w:val="auto"/>
          <w:lang w:val="en-US" w:eastAsia="zh-CN"/>
        </w:rPr>
        <w:br w:type="page"/>
      </w:r>
    </w:p>
    <w:p w14:paraId="5CAF4F85">
      <w:pPr>
        <w:pStyle w:val="5"/>
        <w:bidi w:val="0"/>
        <w:ind w:left="0" w:leftChars="0" w:firstLine="0" w:firstLineChars="0"/>
        <w:outlineLvl w:val="0"/>
        <w:rPr>
          <w:rFonts w:hint="default"/>
          <w:b/>
          <w:bCs/>
          <w:color w:val="auto"/>
          <w:lang w:val="en-US" w:eastAsia="zh-CN"/>
        </w:rPr>
      </w:pPr>
      <w:bookmarkStart w:id="91" w:name="_Toc11928"/>
      <w:bookmarkStart w:id="92" w:name="_Toc11014"/>
      <w:bookmarkStart w:id="93" w:name="_Toc21091"/>
      <w:r>
        <w:rPr>
          <w:rFonts w:hint="eastAsia"/>
          <w:b/>
          <w:bCs/>
          <w:color w:val="auto"/>
          <w:lang w:val="en-US" w:eastAsia="zh-CN"/>
        </w:rPr>
        <w:t>五华县农业农村现代化“十五五”时期重大项目表</w:t>
      </w:r>
      <w:bookmarkEnd w:id="91"/>
      <w:bookmarkEnd w:id="92"/>
      <w:bookmarkEnd w:id="93"/>
    </w:p>
    <w:tbl>
      <w:tblPr>
        <w:tblStyle w:val="15"/>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769"/>
        <w:gridCol w:w="2040"/>
        <w:gridCol w:w="8063"/>
        <w:gridCol w:w="1217"/>
        <w:gridCol w:w="991"/>
        <w:gridCol w:w="907"/>
      </w:tblGrid>
      <w:tr w14:paraId="12018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312" w:hRule="atLeast"/>
          <w:tblHeader/>
          <w:jc w:val="center"/>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7852AD">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序号</w:t>
            </w:r>
          </w:p>
        </w:tc>
        <w:tc>
          <w:tcPr>
            <w:tcW w:w="729"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48B87">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项目名称</w:t>
            </w:r>
          </w:p>
        </w:tc>
        <w:tc>
          <w:tcPr>
            <w:tcW w:w="2881"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628C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建设内容及规模</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E8354A">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1"/>
                <w:szCs w:val="21"/>
                <w:u w:val="none"/>
                <w:lang w:val="en-US" w:eastAsia="zh-CN" w:bidi="ar"/>
              </w:rPr>
            </w:pPr>
            <w:r>
              <w:rPr>
                <w:rStyle w:val="30"/>
                <w:rFonts w:hint="eastAsia" w:ascii="仿宋_GB2312" w:hAnsi="仿宋_GB2312" w:eastAsia="仿宋_GB2312" w:cs="仿宋_GB2312"/>
                <w:b/>
                <w:bCs/>
                <w:color w:val="auto"/>
                <w:sz w:val="21"/>
                <w:szCs w:val="21"/>
                <w:lang w:val="en-US" w:eastAsia="zh-CN" w:bidi="ar"/>
              </w:rPr>
              <w:t>“</w:t>
            </w:r>
            <w:r>
              <w:rPr>
                <w:rFonts w:hint="eastAsia" w:ascii="仿宋_GB2312" w:hAnsi="仿宋_GB2312" w:eastAsia="仿宋_GB2312" w:cs="仿宋_GB2312"/>
                <w:b/>
                <w:bCs/>
                <w:i w:val="0"/>
                <w:iCs w:val="0"/>
                <w:color w:val="auto"/>
                <w:kern w:val="0"/>
                <w:sz w:val="21"/>
                <w:szCs w:val="21"/>
                <w:u w:val="none"/>
                <w:lang w:val="en-US" w:eastAsia="zh-CN" w:bidi="ar"/>
              </w:rPr>
              <w:t>十五五</w:t>
            </w:r>
            <w:r>
              <w:rPr>
                <w:rStyle w:val="30"/>
                <w:rFonts w:hint="eastAsia" w:ascii="仿宋_GB2312" w:hAnsi="仿宋_GB2312" w:eastAsia="仿宋_GB2312" w:cs="仿宋_GB2312"/>
                <w:b/>
                <w:bCs/>
                <w:color w:val="auto"/>
                <w:sz w:val="21"/>
                <w:szCs w:val="21"/>
                <w:lang w:val="en-US" w:eastAsia="zh-CN" w:bidi="ar"/>
              </w:rPr>
              <w:t>”</w:t>
            </w:r>
            <w:r>
              <w:rPr>
                <w:rFonts w:hint="eastAsia" w:ascii="仿宋_GB2312" w:hAnsi="仿宋_GB2312" w:eastAsia="仿宋_GB2312" w:cs="仿宋_GB2312"/>
                <w:b/>
                <w:bCs/>
                <w:i w:val="0"/>
                <w:iCs w:val="0"/>
                <w:color w:val="auto"/>
                <w:kern w:val="0"/>
                <w:sz w:val="21"/>
                <w:szCs w:val="21"/>
                <w:u w:val="none"/>
                <w:lang w:val="en-US" w:eastAsia="zh-CN" w:bidi="ar"/>
              </w:rPr>
              <w:t>期间计划投资</w:t>
            </w:r>
          </w:p>
          <w:p w14:paraId="2390EF97">
            <w:pPr>
              <w:keepNext w:val="0"/>
              <w:keepLines w:val="0"/>
              <w:widowControl/>
              <w:suppressLineNumbers w:val="0"/>
              <w:jc w:val="center"/>
              <w:textAlignment w:val="center"/>
              <w:rPr>
                <w:rFonts w:hint="default"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（万元）</w:t>
            </w:r>
          </w:p>
        </w:tc>
        <w:tc>
          <w:tcPr>
            <w:tcW w:w="35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A8DD31">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1"/>
                <w:szCs w:val="21"/>
                <w:u w:val="none"/>
                <w:lang w:val="en-US" w:eastAsia="zh-CN" w:bidi="ar"/>
              </w:rPr>
            </w:pPr>
            <w:r>
              <w:rPr>
                <w:rFonts w:hint="eastAsia" w:ascii="仿宋_GB2312" w:hAnsi="仿宋_GB2312" w:eastAsia="仿宋_GB2312" w:cs="仿宋_GB2312"/>
                <w:b/>
                <w:bCs/>
                <w:i w:val="0"/>
                <w:iCs w:val="0"/>
                <w:color w:val="auto"/>
                <w:kern w:val="0"/>
                <w:sz w:val="21"/>
                <w:szCs w:val="21"/>
                <w:u w:val="none"/>
                <w:lang w:val="en-US" w:eastAsia="zh-CN" w:bidi="ar"/>
              </w:rPr>
              <w:t>建设</w:t>
            </w:r>
          </w:p>
          <w:p w14:paraId="46B4BB23">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单位</w:t>
            </w:r>
          </w:p>
        </w:tc>
        <w:tc>
          <w:tcPr>
            <w:tcW w:w="32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C5CAA">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1"/>
                <w:szCs w:val="21"/>
                <w:u w:val="none"/>
                <w:lang w:val="en-US" w:eastAsia="zh-CN" w:bidi="ar"/>
              </w:rPr>
            </w:pPr>
            <w:r>
              <w:rPr>
                <w:rFonts w:hint="eastAsia" w:ascii="仿宋_GB2312" w:hAnsi="仿宋_GB2312" w:eastAsia="仿宋_GB2312" w:cs="仿宋_GB2312"/>
                <w:b/>
                <w:bCs/>
                <w:i w:val="0"/>
                <w:iCs w:val="0"/>
                <w:color w:val="auto"/>
                <w:kern w:val="0"/>
                <w:sz w:val="21"/>
                <w:szCs w:val="21"/>
                <w:u w:val="none"/>
                <w:lang w:val="en-US" w:eastAsia="zh-CN" w:bidi="ar"/>
              </w:rPr>
              <w:t>建设</w:t>
            </w:r>
          </w:p>
          <w:p w14:paraId="166907B1">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地点</w:t>
            </w:r>
          </w:p>
        </w:tc>
      </w:tr>
      <w:tr w14:paraId="3931C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312" w:hRule="atLeast"/>
          <w:tblHeader/>
          <w:jc w:val="center"/>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B94E53">
            <w:pPr>
              <w:jc w:val="center"/>
              <w:rPr>
                <w:rFonts w:hint="eastAsia" w:ascii="仿宋_GB2312" w:hAnsi="仿宋_GB2312" w:eastAsia="仿宋_GB2312" w:cs="仿宋_GB2312"/>
                <w:i w:val="0"/>
                <w:iCs w:val="0"/>
                <w:color w:val="auto"/>
                <w:sz w:val="21"/>
                <w:szCs w:val="21"/>
                <w:u w:val="none"/>
              </w:rPr>
            </w:pPr>
          </w:p>
        </w:tc>
        <w:tc>
          <w:tcPr>
            <w:tcW w:w="729"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3B7630">
            <w:pPr>
              <w:jc w:val="center"/>
              <w:rPr>
                <w:rFonts w:hint="eastAsia" w:ascii="仿宋_GB2312" w:hAnsi="仿宋_GB2312" w:eastAsia="仿宋_GB2312" w:cs="仿宋_GB2312"/>
                <w:i w:val="0"/>
                <w:iCs w:val="0"/>
                <w:color w:val="auto"/>
                <w:sz w:val="21"/>
                <w:szCs w:val="21"/>
                <w:u w:val="none"/>
              </w:rPr>
            </w:pPr>
          </w:p>
        </w:tc>
        <w:tc>
          <w:tcPr>
            <w:tcW w:w="2881"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C89041">
            <w:pPr>
              <w:jc w:val="center"/>
              <w:rPr>
                <w:rFonts w:hint="eastAsia" w:ascii="仿宋_GB2312" w:hAnsi="仿宋_GB2312" w:eastAsia="仿宋_GB2312" w:cs="仿宋_GB2312"/>
                <w:i w:val="0"/>
                <w:iCs w:val="0"/>
                <w:color w:val="auto"/>
                <w:sz w:val="21"/>
                <w:szCs w:val="21"/>
                <w:u w:val="none"/>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A6D565">
            <w:pPr>
              <w:jc w:val="center"/>
              <w:rPr>
                <w:rFonts w:hint="eastAsia" w:ascii="仿宋_GB2312" w:hAnsi="仿宋_GB2312" w:eastAsia="仿宋_GB2312" w:cs="仿宋_GB2312"/>
                <w:i w:val="0"/>
                <w:iCs w:val="0"/>
                <w:color w:val="auto"/>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3B5C65">
            <w:pPr>
              <w:jc w:val="center"/>
              <w:rPr>
                <w:rFonts w:hint="eastAsia" w:ascii="仿宋_GB2312" w:hAnsi="仿宋_GB2312" w:eastAsia="仿宋_GB2312" w:cs="仿宋_GB2312"/>
                <w:i w:val="0"/>
                <w:iCs w:val="0"/>
                <w:color w:val="auto"/>
                <w:sz w:val="21"/>
                <w:szCs w:val="21"/>
                <w:u w:val="none"/>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7E0E91">
            <w:pPr>
              <w:jc w:val="center"/>
              <w:rPr>
                <w:rFonts w:hint="eastAsia" w:ascii="仿宋_GB2312" w:hAnsi="仿宋_GB2312" w:eastAsia="仿宋_GB2312" w:cs="仿宋_GB2312"/>
                <w:i w:val="0"/>
                <w:iCs w:val="0"/>
                <w:color w:val="auto"/>
                <w:sz w:val="21"/>
                <w:szCs w:val="21"/>
                <w:u w:val="none"/>
              </w:rPr>
            </w:pPr>
          </w:p>
        </w:tc>
      </w:tr>
      <w:tr w14:paraId="349BF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858CA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B06F7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AI智慧库建设项目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02747C">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搭建基于AI智慧库的协同工作模块和农产品监管、农技服务、乡村振兴项目管理等核心业务的智能管理模块，构建“资源整合+智能检索+ AI赋能+安全可控”的局级智慧库，全面打造“智能驱动”的办公新模式。</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028D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1100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AAD38D">
            <w:pPr>
              <w:jc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271BA3">
            <w:pPr>
              <w:jc w:val="center"/>
              <w:rPr>
                <w:rFonts w:hint="eastAsia" w:ascii="仿宋_GB2312" w:hAnsi="仿宋_GB2312" w:eastAsia="仿宋_GB2312" w:cs="仿宋_GB2312"/>
                <w:i w:val="0"/>
                <w:iCs w:val="0"/>
                <w:color w:val="auto"/>
                <w:sz w:val="21"/>
                <w:szCs w:val="21"/>
                <w:u w:val="none"/>
              </w:rPr>
            </w:pPr>
          </w:p>
        </w:tc>
      </w:tr>
      <w:tr w14:paraId="2F548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A4D393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1127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智慧乡村平台建设项目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CD3AF3">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计划开展智慧乡村平台建设，将平台建设成实现“上图下账”可视化，角色分明，村民/公众端可以问题反馈、进度查询、村务公开等，形成人人参与、闭环治理、迈向现代化，共建共治共享的乡村数字共同体。</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C99C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6000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34985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FF833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r>
      <w:tr w14:paraId="1703F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B424A7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2634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五华县农田沟渠修复整治工程项目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3B3ABF">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2026—2030年期间，开展五华县农田沟渠修复整治工程项目，涉及16个乡镇，修复沟渠总长约493.26公里，受益农田面积5.8万亩。主要建设内容包括：一是疏通淤堵渠道，二是拆除破损灌排渠道，三是对水源不足渠道进行新增引水渠道，四是对衔接不顺畅渠道进行拆除重建，并保证渠道顺畅。通过清淤、疏浚和拆除重建沟渠、水闸、水陂、泵站、山塘等设施设备，解决水源衔接不畅、渠道淤塞不通等影响农田灌溉排水“最后一公里”突出的短板问题，助力提高我县粮食产能。</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90EE3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712AB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417E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各镇</w:t>
            </w:r>
          </w:p>
        </w:tc>
      </w:tr>
      <w:tr w14:paraId="60E1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153B4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C7345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长乐烧非遗技艺项目产业提升</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6DBFC9">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新增土灶酿酒生产线扩展到16条，非遗酿酒产能提升至7500 吨/年；新建客家传统黄酒生产线5条，实现优质客家传统黄酒产能500吨/年。规划建设全自动、智能化、高标准苏打水生产线1条、米蛋白提取生产线1条、占地5000平方米的有机农场，实现产业链条各节点所产废物的循环利用。</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AD108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12000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176FB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广东长乐烧酒业股份有限公司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1A117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五华县岐岭镇</w:t>
            </w:r>
          </w:p>
        </w:tc>
      </w:tr>
      <w:tr w14:paraId="6DB6C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AC392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8E14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五华县2026—2030年高标准农田建设项目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FDB6D2">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2026—2030年期间建成高标准农田12万亩（新建设6万亩、改造提升6万亩），建设主要内容为：土地平整工程、土壤改良工程、水源工程、灌溉与排水工程、田间道路工程、农田防护与生态环境保护工程、其他工程等。</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10BDD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36000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CDBA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CA5D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梅州市五华县</w:t>
            </w:r>
          </w:p>
        </w:tc>
      </w:tr>
      <w:tr w14:paraId="6AC3E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57B0B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9760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五华县“和美乡村”建设项目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15A80">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拟按照国家新农村建设相关规定，全县规划建设“和美乡村”建设项目。项目安排行政村数量不超过20个，项目建设地点主要在村庄内部，不包括城镇。项目建设内容包括村内道路、生活污水处理设施、生活垃圾处理设施、公共照明、公共绿地，以及必要的适老化改造、养老服务等公共服务设施，不含农户住宅内部设施。</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8E23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E601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转水、华城、安流、横陂镇人民政府</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031BE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转水、华城、安流、横陂镇</w:t>
            </w:r>
          </w:p>
        </w:tc>
      </w:tr>
      <w:tr w14:paraId="3ED14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7FE12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D103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五华县菩米加工厂房建设项目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A0674">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主要建设五华潭下菩米生产线、大米制品精深加工、标准化农作物种植示范基地、仓储中心等，打造日产量60吨机械化且具有特色的菩米生产加工全产业链项目。现有实验研发基地1个（含40个土灶，日产4吨大米生产流水线）</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E1D9C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1CBC0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华疆生态农业科技（梅州）有限公司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D7EA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潭下镇</w:t>
            </w:r>
          </w:p>
        </w:tc>
      </w:tr>
      <w:tr w14:paraId="2AF0F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491FB2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8</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79C9D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五华县永鹰肉类食品有限公司五华年屠宰50万头产加销一体化屠宰场建设项目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E8502A">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项目总投资1.5亿元，占地约90亩，总建筑面积25000平方米。主要建设办公楼、生猪屠宰分割综合加工车间、肉制品加工车间、冻库等配套设施、室外道路管网工程组、附属生活区等辅助工程及公共工程，购置年屠宰50万头生猪生产线一条。</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78D3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20C4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五华县永鹰肉类食品有限公司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B88F1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 xml:space="preserve">龙村镇 </w:t>
            </w:r>
          </w:p>
        </w:tc>
      </w:tr>
      <w:tr w14:paraId="23B46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6B8784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9</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1F30C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五华县乡村产业社区建设项目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E5FC2A">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建设乡村补短板工程，新型基础设施建设，优化提升公共服务配套。</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5BE7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773B2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BDFE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r>
      <w:tr w14:paraId="013EB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79855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10</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3BA8E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五华县智慧农业建设项目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491989">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根据五华县农业发展现状，因地制宜发展一批智慧农场，建设农田物联网、智能灌溉系统、农业机械化升级、智能温室大棚等示范基地，利用科技赋能，实现传统农业向智能化、数字化转型。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E281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6000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BDCCE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28C3E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各镇</w:t>
            </w:r>
          </w:p>
        </w:tc>
      </w:tr>
      <w:tr w14:paraId="462B6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92B64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11</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ECDCD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五华县安流、华城、河东、潭下、龙村（华阳）五个镇生猪定点屠宰场迁建项目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E1405">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安流肉联厂：占地面积7亩，总建筑面积2402.27平方米；华阳肉联厂：占地面积11.43亩，总建筑面积3325.62平方米。项目建设内容包括业务用房、生猪屠宰车间、检疫检验室、急宰车间、生猪待宰栏、无害化处理设施、污水处理站等；冷链车、冻库、预冷车间。</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9558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4600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48421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五华县永盛食品有限公司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77422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五华县安流镇、华阳镇</w:t>
            </w:r>
          </w:p>
        </w:tc>
      </w:tr>
      <w:tr w14:paraId="22688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23323C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12</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6DE91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五华县整县第二轮土地承包到期后再延长三十年试点工作</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6B9EDC">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土地二轮承包经营权将于2026年6月到期，需开展整县第二轮土地承包到期后再延长三十年试点工作，拟需2800万元用于整县二轮延包工作，深入研究和探索符合五华县实际的二轮延包路径，计划于2028年基本完成整县二轮延包试点工作。</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0EFC6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2800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CF4BA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3DA0D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16个镇</w:t>
            </w:r>
          </w:p>
        </w:tc>
      </w:tr>
      <w:tr w14:paraId="6A3AD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5EF84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13</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CB6C7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五华县区域农机社会化服务中心</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B80524">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支持经营主体购置拖拉机、收割机、插秧机等农机设备，不断丰富生产托管、订单服务、跨区作业等农机社会化服务等。分年度建设农机化社会服务中心3个。</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086FB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9F20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D03FE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相关镇</w:t>
            </w:r>
          </w:p>
        </w:tc>
      </w:tr>
      <w:tr w14:paraId="4E5DE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BF125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14</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7D34E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五华县植物疫病防控项目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62F99">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采购防控药剂，扶持开展统一防控，建立综合治理示范区，开展防控知识宣传培训和技术指导服务，提高水稻重大病虫害、红火蚁和草地贪夜蛾综合防控技术水平和能力，有效遏制水稻重大病虫害、红火蚁和草地贪夜蛾疫情扩散蔓延，保障农业生产安全和农民身体健康。每年预计投资额550万元。</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E5BE3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2750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9079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4998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16个镇</w:t>
            </w:r>
          </w:p>
        </w:tc>
      </w:tr>
      <w:tr w14:paraId="1134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D4127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15</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6F081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五华县养殖生产基础设施条件提升项目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71AF82">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五华鱼生生态养殖基地：对1座水库进行大水面养殖岸基提升，建设1个高密度养殖和2个大水面养殖码头，对水库堤岸、堤坝进行加固和改造，改造长度调整为约2千米。配备完善的水质检测设备，建设水质检测中心1个。​</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2.数字渔业：在1个路基或鱼塘开展数字渔业养殖建设，覆盖养殖面积200亩。建设数字渔业监控中心1个，配备相应的传感器、监控设备、数据处理设备等。​</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3.暂养池和吊水池：建设暂养池2个，总容积400立方米；建设吊水池2个，总容积400立方米。配套建设相关的供水、排水、增氧等设施。​</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4.科技支撑：与省农科院建立合作关系，建设科研实验基地1个，引进和研发先进的养殖技术2项。培训4场，培训人次达400名。</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2D979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1082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3F39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五华县开晟水务集团有限公司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6057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74AC4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0AC91D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16</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664F0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五华清水赤眼鳟全产业链发展建设项目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78FE84">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 上游种苗与饲料：在五华县建立赤眼鱼良种繁育中心和专用饲料厂2. 中游养殖与回收：利用县内水库开展生态网箱养殖。成立“养殖联盟”，发展订单农户3.关键净化环节：在五华建设大型 centralized 吊水净化仓4. 加工与增值；建立中央厨房或与加工厂合作。5.仓储与物流；依托现有“四仓”体系，在五华设养殖仓，吊水仓，中转仓，及各前置仓根据市场需求在全国设置“四仓”。6.销售与品牌：To B端：通过“易鲜仓/红水河鱼”平台配送高端餐饮。 To C：在社区开设“活鱼社”前置仓/品牌体验店（100-150㎡）。实现五华鱼生线上下单，跑腿到家的家庭版鱼生体验。</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1F2A3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8000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AC01F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深圳市家顺农产品有限公司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5253E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53833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55060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17</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C638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五华鱼生美食一条街建设项目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047E0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一、放心鱼生示范中心（核心体验区）。包括：中央暂养净化仓、鱼生示范店集群；二、鱼生文化广场（引流核心）。包括：开放式景观鱼池、鱼生制作透明舞台、足球文化角、客家美食融合区（拓展消费）、菩米鱼头粥铺、客家特色小吃、7.特色手信店；三、文旅休闲与产业孵化区（延长停留）。包括：非遗工坊（土陶体验）、 微型民宿、青年创业孵化器、统一视觉系统，设计统一的“五华清水鱼生”品牌视觉识别系统，包括logo、导视系统、员工服装等，对达标商户授予认证标识。</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D4B26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1600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0DB66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五华县水务集团 、深圳市家顺农产品有限公司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D1E57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392C8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2A86B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18</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B08AA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五华县农产品质量安全监测及乡镇农产品质量安全监管公共服务能力提升项目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1B9FD">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建设内容：全县建设16个实验室，每个乡镇1个，每个投资20万元（含基础建设、仪器设备及耗材等）共320万元。2026年开始，每年建设4个实验室，分四年完成，共建设16个实施室，县级食用农产品安全定量监测按2.0/千人计，共需监测9915批次。</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0B967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1510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5EBC3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6A39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16个镇</w:t>
            </w:r>
          </w:p>
        </w:tc>
      </w:tr>
      <w:tr w14:paraId="7A871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8C91B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19</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45A59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动物疫病防控项目－－牛羊布病的整县净化</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3702DC">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实验室升级改造需采用总建筑面积约500平方米，主要用于实验场所内的清洁区、半污染区（操作区）、污染区、样品接收室、血清学检测室、病原学检测室（PCR室）、洗涤消毒室、药品器材库、档案室等。同时需增加实验设施、设备、耗材等；采取“监测－剔除阳性－监测（管）－净化－再监测（管）－无疫”的技术路线；通过县政府支持、卫生健康和镇级部门协同、主体主责、社会参与的运作方式，实现从控制、稳定控制到净化，最终达到非免疫无疫状态。</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DE1CC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1500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1640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631E4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五华县各镇</w:t>
            </w:r>
          </w:p>
        </w:tc>
      </w:tr>
      <w:tr w14:paraId="2C550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46A4A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20</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3FF6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广东省农业产业强镇建设</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159A3">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新建现代化标准化茶园1800亩，包括茶园道路硬底化、茶园机耕路建设、土壤改良工程、茶园电力设施改造以及开带定植等。新建767亩新品种新技术示范基地。依托五华县广富绿农林种养专业合作社建设茶叶标准化加工厂房600平方米。</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A736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4013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519BA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五华县棉洋镇人民政府</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EA327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梅州市五华县</w:t>
            </w:r>
          </w:p>
        </w:tc>
      </w:tr>
      <w:tr w14:paraId="5BEFB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36DF7F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21</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A2B3C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“五好两宜”和美乡村试点试验</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8BD83">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创新富民乡村产业发展机制、创新数字乡村发展机制、创新乡村人才振兴机制、创新乡村治理机制，做好“土特产”文章，培育乡村新产业新业态，完善产业链利益联结机制，促进农村一二三产业深度融合发展，提升乡村产业发展质量、效益和竞争力</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0E980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3531E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2E408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r>
      <w:tr w14:paraId="199CF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FABD7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22</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B14DC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五华县乡村绿化项目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31454">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2026—2030年期间，16个乡镇各建设一条乡村绿化示范带，414个行政村开展乡村绿化，主要种植经济树种澳洲坚果。</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1E28E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8940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FAB1B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AD3B2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各镇、村</w:t>
            </w:r>
          </w:p>
        </w:tc>
      </w:tr>
      <w:tr w14:paraId="493A6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8BA327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23</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8CF60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水稻合理密植提单产项目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AA7070">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通过水稻合理密植提单产项目实施，推广新技术、新品种，同时以绿色生态为导向，减少化肥农药用量、施用有机肥等措施，切实加强农业生态资源保护，不断提升耕地地力，从而提高我县水稻单产、总产，增加种粮效益。</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2308B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C0DD20">
            <w:pPr>
              <w:jc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85F81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6FAB6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F934F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24</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83E49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支持粮、油、果、菜、茶规模种植主体提质增效项目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DF5DB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支持各类种植主体大力发展适度规模种植业，更新改造基础设施设备，大力推广有机肥替代化肥和绿色种植系列配套技术。</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1626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14000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B7763A">
            <w:pPr>
              <w:jc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391DB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037D9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40AC5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25</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9A73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畜牧业转型升级项目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08B6FC">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计划对有需求的养殖场进行升级改造，包括建设标准化畜禽圈舍，改善养殖环境；配套建设先进的养殖设备（如自动喂料、通风降温、疫病防控等设施），建设一批自动化、智能化、信息化生产高效生态环保的现代化养殖企业。</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FF2A0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3200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3E284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E1787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2751F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45B73F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26</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F8517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杂交构树饲料全产业链项目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1D198F">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通过“种植补基地、加工补设备、全链优税收”的组合设计，建设原料（构树）智能化种植示范基地、饲料加工厂房，购置饲料全自动生产线，构建从种植、加工、销售的全产业体系。</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30FFC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8000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18DB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20A2B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6535F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F0B14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27</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F7FB5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种业提升组织培养实验室建设</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B10B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建设组培室彩钢板房600平方米，净化室及净化系统400平方米，控温控湿系统等设施。购置组织培养设施设备和实验仪器和相关配套设备。购买必要的生产原材料。配套改造7680平方米塑料大棚为苗床无土栽培大棚</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9B7A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1300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7327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五华县农业科学技术研究所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BFC20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7253C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B79AD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28</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E0668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五华县受污染耕地安全利用与治理修复</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DFBC63">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按照“先排查、后治理和开展效果评价”的工作思路对全县的二类耕地（3544.41亩）进行安全利用与治理修复，确保措施到位率100%，受污染耕地安全利用率稳定在93%以上。</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C28D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F75BE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D2B61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二类耕地区域内</w:t>
            </w:r>
          </w:p>
        </w:tc>
      </w:tr>
      <w:tr w14:paraId="1E2D9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0B2193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29</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F7E3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五华县粮食国家现代农业产业园</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EF8ED">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围绕打造可持续发展优质水稻主导产业链，构成“一核、四大功能区、六大示范园、八大基地”的空间布局，建立完整的现代农业产业体系。通过三年创建，建设产业特色鲜明、生产要素高度集聚、生产装备先进、掌握系统完善、经济效益显著国家现代农业产业体系，加快补齐五华县农业农村现代化短板。至2030年，粮食单产提高10公斤左右，预计新增产值超1亿元，辐射带动创业就业超1000人。</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20637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297C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参建实施主体</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F6A0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五华县相关镇</w:t>
            </w:r>
          </w:p>
        </w:tc>
      </w:tr>
      <w:tr w14:paraId="1E9B5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B93C44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30</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B3558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五华县特色智慧农场提升项目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D02371">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打破田硬界限，实现“小田并大田”，修改泵站、灌排管网、沟渠，铺设机耕道路、生产道路，安装土壤墒情监测仪、虫情测报灯，物联网基站，实现精准不肥管理和病虫预警；配备大型无人操作拖拉机、插秧机、收割机等智慧农业装备，建设机械化育秧中心、烘干仓储设施。</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5D714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F06E6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华城镇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517C7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华城镇、安流镇</w:t>
            </w:r>
          </w:p>
        </w:tc>
      </w:tr>
      <w:tr w14:paraId="472EE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46DAA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31</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A090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五华县农业生态循环全产业链建设示范项目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21654">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建设饲料原料种植基地、大湾区生态种苗大棚繁育及蔬菜种植示范基地、生猪（鸡、鸭）养殖场、生态水产养殖示范基地、屠宰场及检测中心、净菜中心、智能化超低温冻库存储中心等。通过全产业链布局实现、资源循环利用、产业协同发展、市场精准对接的三大核心目标，形成“种植—饲料—养殖—加工—物流—销售”的完整生态闭环，五年产值突破20亿元。</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463B8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90400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1D179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五华县鲜晟供应链有限公司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540C9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华城镇、</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岐岭镇、</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转水镇</w:t>
            </w:r>
          </w:p>
        </w:tc>
      </w:tr>
      <w:tr w14:paraId="1F61A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93F06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32</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CF2D1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茶叶产业扩容提质项目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A1B99E">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开展茶叶品种进行改良，计划提升改良1万亩；提升完善茶园基础设施，打造智能化茶园，加大茶叶深加工技术研发，提升茶叶附加值，同时打造茶旅融合发展，建设一批茶文旅游观光茶园。</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1B92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035BA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E425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r>
      <w:tr w14:paraId="5E918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A98E2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33</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5C49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培育“一专多能”型农民培训项目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7EF79">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实施农民知识更新计划，组织农民到农业高校、科研院校、大型企业进行培训观摩，各镇开展相关技能培训，鼓励农民跨领域学习智慧农业、农产品电商、农业经营管理等新知识，打造更多的“五华优选”企业，解决农民种植端与销售端脱节问题。</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5A485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1200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57B8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33A1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r>
      <w:tr w14:paraId="165D1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02604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34</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CE36D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智慧农业与数字技术推广应用项目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D49630">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在粮食、蔬菜产业建设互联网监测设备，实时采集气象、土壤、作物长势等数据，为生产决策提供依据，推广无人机在植保、播种、巡田、采摘等环节的应用，通过智能化农机作业，提高生产效率，降低生产成本，提升生产效率。</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40866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174DE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B5922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r>
      <w:tr w14:paraId="60BC2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EB122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35</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5684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五华县特色农业推广示范基地建设</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9F62D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每个镇建设1—2个集种养技术、病虫害防治、机械化、智能化为一体的特色农业科技示范展示基地，充分发挥农业科技示范辐射带动作用，推动我县特色农业发展。</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4B806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7500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49263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C701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r>
      <w:tr w14:paraId="7EBAC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991369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36</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11DA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农作物智能化病虫监测点建设项目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F035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在全县水稻、果树、茶叶等农作物种植区域配置智能化病虫监测点，每个监测点分别配置虫情测报灯、性诱监测设备，农作物远程监测设备等，全县五年共建立90个农作物智能化病虫监测点，通过建设智能田间监测点，利用物联网、大数据等现代信息技术手段，对农作物病虫疫情进行实时监测、预警和分析，为农业生产提供科学依据和技术支持。</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2ECD1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9000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7E78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3FA55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r>
      <w:tr w14:paraId="3D3D9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9BB16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37</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7BAC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扩展弘扬大田柿花非遗工艺——五华县大田柿花万亩示范基地建设项目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13765A">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依托现有“国家地理标志产品保护”，建设柿花万亩示范基地，传承十余道繁复考究的柿花制作非遗工艺，打造集标准化种植、非遗技艺传承、品牌化运营于一体的全产业链的柿花产业。</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101E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8000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4783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五华县强兴七目嶂绿色食品有限公司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75528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五华县长布镇</w:t>
            </w:r>
          </w:p>
        </w:tc>
      </w:tr>
      <w:tr w14:paraId="12D0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E872C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38</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BEAB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梅州市五华县横陂镇典型村片区培育项目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7C5528">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横陂镇典型村片区培育项目聚焦乡村振兴示范带，以足球元素为依托，以文旅产业为纽带。建设内容包括整体提升片区乡村风貌，完善乡村治理，补齐足球文化元素的短板，打造“球王故居”、足球小镇等关键节点。</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CBC4C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9000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E9430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横陂镇人民政府</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A58A6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横陂镇</w:t>
            </w:r>
          </w:p>
        </w:tc>
      </w:tr>
      <w:tr w14:paraId="3BFAE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1D273D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39</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5EBFC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梅州市五华县转水镇、华城镇典型村片区培育项目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0A109C">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建设内容包括整体提升片区乡村风貌，加强规划引导和风貌设计，突出特色优势、乡土气息，整体提升人居，环境整治、农房风貌管控和村庄绿化美化水平，完善基础设施和公共服务资源配置，完善乡村治理，培育乡村特色优势产业。</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E555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9000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9A664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转水镇人民政府</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0B6D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转水镇</w:t>
            </w:r>
          </w:p>
        </w:tc>
      </w:tr>
      <w:tr w14:paraId="29E15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0F171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40</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D885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梅州市五华县安流、棉洋镇典型村片区培育项目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672C5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建设内容包括整体提升片区乡村风貌，加强规划引导和风貌设计，突出特色优势、乡土气息，整体提升人居，环境整治、农房风貌管控和村庄绿化美化水平，完善基础设施和公共服务资源配置，完善乡村治理，培育乡村特色优势产业。</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4A75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9000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581B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安流镇人民政府、</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棉洋镇人民政府</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90CBF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安流、棉洋镇</w:t>
            </w:r>
          </w:p>
        </w:tc>
      </w:tr>
      <w:tr w14:paraId="509F0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A875C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41</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E722E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“球王故里”乡村振兴示范带</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3BE8F2">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坚持党建引领，依托地缘优势、资源优势、文化优势，以产业兴旺、生态宜居、乡风文明、治理有效、生活富裕为目标，串点成线、连线成片、集片成带发挥乡村振兴示范带动作用。</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A9C11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8000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FFF80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横陂镇人民政府</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3054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横陂镇</w:t>
            </w:r>
          </w:p>
        </w:tc>
      </w:tr>
      <w:tr w14:paraId="4AB22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E62A1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42</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AC7C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农业产业强镇项目（菩米）</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E8ED82">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补齐产业发展短板，为产业提质增效，推动全产业链发展。</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5D8AB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9A965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90FBA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r>
      <w:tr w14:paraId="43C94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A3232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43</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A7DD5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五华县动物疫病预防控制中心兽医实验室升级改造</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AAE122">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总改造面积420㎡。主要改造完善实验室的防菌墙通风系统，新购一批实验室设备、完善区域划分，办公设施、设备等</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0DEB2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ACC3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2E0A64">
            <w:pPr>
              <w:jc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县内</w:t>
            </w:r>
          </w:p>
        </w:tc>
      </w:tr>
      <w:tr w14:paraId="428FA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F300B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44</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2D92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五华县田园综合体建设项目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F00614">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打造高标准蔬菜（水稻、油菜花、紫云英）种植基地、观光火车、休闲广场（公园）、沿河长廊、健身设施等，形成一个以生产、特色体验、科普观光等为亮点的农业体验与休闲观光项目。探索建设集“果蔬种植、加工体验、科技示范，科普教育、农耕体验、生态休闲”等为一体的田园综合体。</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7268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40B66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0EF09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五华县转水镇、安流镇</w:t>
            </w:r>
          </w:p>
        </w:tc>
      </w:tr>
      <w:tr w14:paraId="6A56A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D651E0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45</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9A7D9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壮大村集体经济收入建设项目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F13261">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以“补改投”的方式，建设光伏、智慧停车、充电桩、菩米产业等优质经营性收益项目，带动村集体年度收益，促使村级集体经济总收入和经营性收入逐年稳中有增。</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E721F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6000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0690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县国企或者镇级强镇富村公司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85816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县内</w:t>
            </w:r>
          </w:p>
        </w:tc>
      </w:tr>
      <w:tr w14:paraId="37617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A49E5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46</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ED84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乡风文明体系建设</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50654">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在每个村完善乡风文明体系，积极运用推广积分制清单制、完善村规民约体系建设，促进我县乡风文明体系建设上一个新的台阶。</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79D1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6000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6F992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B692A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各村</w:t>
            </w:r>
          </w:p>
        </w:tc>
      </w:tr>
      <w:tr w14:paraId="2CE3E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A0B30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47</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B85E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五华县农产品质量检验检测站实验室建设</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59AC8">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农产品质量检验检测站实验室建设办公场所改造、装修、办公设备购置等；2、电梯建设安装；3、农产品质量检验检测站实验室先进、高效仪器及检测配套设备购置；4、检验检测费用、人员培训、仪器设备检定、校准、省能力技术验证等。</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3C004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1005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C0689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D086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五华县水寨镇</w:t>
            </w:r>
          </w:p>
        </w:tc>
      </w:tr>
      <w:tr w14:paraId="0B29D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3444D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48</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7D1C2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菩米（水稻品种）筛选试验示范基地</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1FC42A">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在全县各镇设立菩米（水稻品种）筛选试验示范基地，建设1300平方米晒场一个、遮阳雨棚一套、科研中心200平方米，购置实验设备一套、日处理20吨稻谷烘干设备一套。</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E61D1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CF1C5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五华县农业科学技术研究所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99E64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2630D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B6981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49</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88CF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农业产业强镇项目（大田柿花）</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469DBA">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补齐产业发展短板，为产业提质增效，推动全产业链发展。</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EA0BE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3E57C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3DF0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r>
      <w:tr w14:paraId="5B203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4347E7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50</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D0ED0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农业产业强镇项目（五华坚果）</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E2025F">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补齐产业发展短板，为产业提质增效，推动全产业链发展。</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77AE3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A16D3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FEE92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申报镇</w:t>
            </w:r>
          </w:p>
        </w:tc>
      </w:tr>
      <w:tr w14:paraId="606C2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44F8DE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51</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2944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中央专项彩票公益金支持智慧田园综合体建设项目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EB9B8">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积极争取中央专项彩票公益金支持，在五华县南、中、北片区各打造一个智慧田园综合体。    </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主要包括建设高标准智慧农业示范区，推广水肥一体化、生态种植技术；发展观光采摘、农事体验、田园摄影等业态，建设农产品精深加工中心，延伸产业链；配套建设农产品质量安全与检验检测中心，对综合体产出的农产品实行全程智能化追溯，确保“从田间到餐桌”的安全，以品质铸就品牌。</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323D4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30584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五华县农业农村局及相关镇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BD9A6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五华县南中北片区</w:t>
            </w:r>
          </w:p>
        </w:tc>
      </w:tr>
      <w:tr w14:paraId="278B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91F0F2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52</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681E4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区域农业科技综合示范基地</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2CF21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重点围绕菩米、茶叶、鱼生、高山红薯等特色产业或招商引资产业，在全县建设5个核心综合示范基地，打造新品种新技术试验示范基地，完善基地设施设备、机耕道路、试验室，开展新品种、新技术的试验示范。</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394C1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864BC9">
            <w:pPr>
              <w:jc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4424C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相关镇</w:t>
            </w:r>
          </w:p>
        </w:tc>
      </w:tr>
      <w:tr w14:paraId="66F5E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3C1700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53</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DEFD5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化肥减量增效试点项目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24273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设科学施肥增效“三新”集成推进县。探索整村整乡推广“三新”集成模式，在柚树核心种植大镇（龙村、河东等镇）建设3个千亩方科学施肥增效“三新”技术服务示范区，累计示范面积不少于3000亩，其中有机肥（包括沼渣、堆沤粪肥等）+中微量元素叶面肥技术模式示范2000亩，绿肥+中微量元素叶面肥技术模式示范1000亩，探索符合五华县农业资源化利用与科学施肥增效的技术模式，辐射带动50000亩以上。</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C90C1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D304A7">
            <w:pPr>
              <w:jc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6447D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五华县各镇</w:t>
            </w:r>
          </w:p>
        </w:tc>
      </w:tr>
      <w:tr w14:paraId="79733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7CFF5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54</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043BD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五华放心鱼生原料鱼供应科技创新示范基地</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FAB24">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为打造安全鱼生，引进科技创新技术及生产设备，保障市场供应放心鱼产品。一是建设净化池500个，二是建设检测中心200平方米，三是建设冰库100平方米，四是发电机房100平方米，五是污水处理3000平方米，六是水泵机房100平方米。</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0AFA9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2800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A71AC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五华县农业科学技术研究所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FBF4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5E0FD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21015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55</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0987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菩米加工厂房及仓储中心建设项目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D25FCB">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着重开展（稻谷）菩米生产线的建设、实施大米制品的深度加工工程、打造标准化农作物种植示范基地与仓储中心。致力于打造多条特色机械化的菩米生产加工全产业链，预估日产量30吨。并且建设1个实验研发基地。</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75749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57CCB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梅州飞泷山神农健康养老管理有限公司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5107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潭下镇</w:t>
            </w:r>
          </w:p>
        </w:tc>
      </w:tr>
      <w:tr w14:paraId="0B4BC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0F148F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56</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34E89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现代农事综合服务中心</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91EF3F">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支持经营主体购置农机具，建设存放农机具、农资的配套厂库棚、机具维修等。分年度建设现代农事综合服务中心3个。</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12C97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869B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12451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r>
              <w:rPr>
                <w:rFonts w:hint="eastAsia" w:ascii="仿宋_GB2312" w:hAnsi="仿宋_GB2312" w:eastAsia="仿宋_GB2312" w:cs="仿宋_GB2312"/>
                <w:i w:val="0"/>
                <w:iCs w:val="0"/>
                <w:color w:val="auto"/>
                <w:kern w:val="0"/>
                <w:sz w:val="21"/>
                <w:szCs w:val="21"/>
                <w:u w:val="none"/>
                <w:lang w:val="en-US" w:eastAsia="zh-CN" w:bidi="ar"/>
              </w:rPr>
              <w:br w:type="textWrapping"/>
            </w:r>
            <w:r>
              <w:rPr>
                <w:rFonts w:hint="eastAsia" w:ascii="仿宋_GB2312" w:hAnsi="仿宋_GB2312" w:eastAsia="仿宋_GB2312" w:cs="仿宋_GB2312"/>
                <w:i w:val="0"/>
                <w:iCs w:val="0"/>
                <w:color w:val="auto"/>
                <w:kern w:val="0"/>
                <w:sz w:val="21"/>
                <w:szCs w:val="21"/>
                <w:u w:val="none"/>
                <w:lang w:val="en-US" w:eastAsia="zh-CN" w:bidi="ar"/>
              </w:rPr>
              <w:t>相关镇</w:t>
            </w:r>
          </w:p>
        </w:tc>
      </w:tr>
      <w:tr w14:paraId="6DBCF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4539C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57</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DCC6A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渔港和渔船停泊点建设项目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C27239">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计划在县内8个涉渔镇建设渔港和渔船停泊点，对我县渔船实现集中停泊和规范管理，保障渔船安全生产。</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A7D7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1500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E3E61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B89F3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河东镇水寨镇横陂镇华城镇华阳镇龙村镇潭下镇岐岭镇</w:t>
            </w:r>
          </w:p>
        </w:tc>
      </w:tr>
      <w:tr w14:paraId="5DCA4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30AE8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58</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DF272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五华县“益水长乐、状元古邑”乡村振兴示范带</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7A5E9">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全长约64公里，提高道路两边农房风貌、人居环境综合整治，乡村绿化，发展乡村产业等，加快推进基础设施建设，全力打造乡村振兴示范带。</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126D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8000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57C99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转水镇、华城镇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A933E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转水镇、华城镇</w:t>
            </w:r>
          </w:p>
        </w:tc>
      </w:tr>
      <w:tr w14:paraId="3C1AB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67006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59</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A0D5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广东省冠鸭发展有限公司现代农业全产业链标准化蛋鸭养殖基地建设项目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1B32E6">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一、建设物流配送中心（占地面积5000平方米），建设3个产地仓储保鲜设施，共1000吨库容。配备货车20辆，负责产品运输。二、300万羽蛋鸭标准化养殖基地。建设规模：占地面积400亩，总建筑面积26.68万平方米，建设蛋鸭舍100栋（每栋长100米、宽15米、高6米），配套孵化车间、兽医室、办公用房等设施。三、蛋制品加工厂。占地面积35亩，总建筑面积3.39万平方米，年加工蛋制品4.95万吨（咸鸭蛋1.5万吨、皮蛋1万吨、咸蛋黄0.5万吨、卤熟蛋1.95万吨）。四、20 万吨有机肥料厂。占地面积200亩，总建筑面积3万平方米，年处理禽畜粪污30万吨，生产有机肥20万吨（有机肥料16万吨、有机无机复混肥2万吨、水溶肥2万吨）。五、300万只家禽屠宰加工厂。占地面积15亩，总建筑面积1万平方米，年屠宰家禽300万只（淘汰蛋鸭300万只），生产白条鸭1.5 万吨、分割鸭肉0.8万吨。六、20 万吨饲料加工厂。占地面积100亩，总建筑面积2万平方米，年生产蛋鸭专用饲料20万吨（雏鸭饲料5万吨、青年鸭饲料5万吨、产蛋鸭饲料10万吨）。</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8C229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3927A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广东省冠鸭科技发展有限公司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00FA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五华县岐岭镇、潭下镇</w:t>
            </w:r>
          </w:p>
        </w:tc>
      </w:tr>
      <w:tr w14:paraId="5C9CB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7EAFB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60</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6C9B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五华县智慧农业大数据平台建设项目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ADAA7">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一、全域数据采集网络搭建。 地面监测终端部署，气象数据融合接入，多源数据整合中枢。二、气象预警矩阵核心技术研发。分场景预警模型构建， 智能预警算法优化，多渠道预警发布系统，三、智慧决策与示范应用体系。可视化管理平台搭建，试点示范与技术验证，服务建设。四、打造“五华优选”区域公共品牌建设。品牌规划及设计，品牌管理工作机制，产品及企业准入评价标准体系，数字化运营管理平台建设等。</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90FD1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6000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530E1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32CED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32A36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1D71FE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61</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93764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五华县稻+（菜、油、薯）水旱轮作项目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AC4287">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结合“小田变大田”和撂荒耕地整治，实行水旱轮作，建设一批水稻+（蔬菜，花生，红薯等）轮作示范基地，从根本上解决基本农田低效、荒置的问题。推广轮作种植面积50000亩以上。</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CE70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18D9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D8BB1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全县</w:t>
            </w:r>
          </w:p>
        </w:tc>
      </w:tr>
      <w:tr w14:paraId="26081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70D48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62</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816D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五华县金柚一二三产业融合全产业链项目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36C29">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提升金柚基地的基础设施，完善基地道路，建设沿线的充电桩、停车场、景观带等配套设施，创建产学研示范基地，打造集“种植—加工—体验—休闲”的金柚示范公园。</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14AB5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40000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23BEA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4118B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相关镇</w:t>
            </w:r>
          </w:p>
        </w:tc>
      </w:tr>
      <w:tr w14:paraId="1A45D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A79E5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63</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6C316">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五华县茶叶“三产”融合发展示范建设项目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72045F">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提升茶叶基地基础设施，推广规范化茶叶种植技术，培育茶叶加工人才，研发茶产品，建设茶园观光休闲示范基地、民宿，完善公共设施，打造茶旅文化产业。</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82293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24000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4AFE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76394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相关镇</w:t>
            </w:r>
          </w:p>
        </w:tc>
      </w:tr>
      <w:tr w14:paraId="5DB22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0D920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64</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39FE4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梅州市五华县赤眼鳟人工繁育技术建设项目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E28C3B">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一是亲鱼培育，用于亲鱼的筛选、饲养和管理。二是催产与孵化设备建设，包含催产池、孵化环道等设备的建设和维护费用，三是饲料与药物，亲鱼和苗种培育需使用人工配合饲料，辅以青饲料。此外，病害防治需投入药物，如硫酸铜与硫酸亚铁合剂、溴氰菊酯溶液等，以控制车轮虫病等常见病害。四是苗种培育，包括清塘、施肥、水质调控等。五是人工操作，人工催产、授精、孵化等环节需专业技术人员操作，人工成本较高。六是场地与设施，养殖场地的租赁或建设费用，以及防逃网、过滤设备等配套设施的投入。</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63497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2500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2E47F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五华县数渔科技发展有限公司</w:t>
            </w:r>
          </w:p>
        </w:tc>
        <w:tc>
          <w:tcPr>
            <w:tcW w:w="324" w:type="pct"/>
            <w:tcBorders>
              <w:top w:val="nil"/>
              <w:left w:val="nil"/>
              <w:bottom w:val="nil"/>
              <w:right w:val="nil"/>
            </w:tcBorders>
            <w:shd w:val="clear" w:color="auto" w:fill="FFFFFF" w:themeFill="background1"/>
            <w:vAlign w:val="center"/>
          </w:tcPr>
          <w:p w14:paraId="4D9EBDAE">
            <w:pPr>
              <w:jc w:val="center"/>
              <w:rPr>
                <w:rFonts w:hint="eastAsia" w:ascii="仿宋_GB2312" w:hAnsi="仿宋_GB2312" w:eastAsia="仿宋_GB2312" w:cs="仿宋_GB2312"/>
                <w:i w:val="0"/>
                <w:iCs w:val="0"/>
                <w:color w:val="auto"/>
                <w:sz w:val="21"/>
                <w:szCs w:val="21"/>
                <w:u w:val="none"/>
                <w:lang w:val="en-US" w:eastAsia="zh-CN"/>
              </w:rPr>
            </w:pPr>
            <w:r>
              <w:rPr>
                <w:rFonts w:hint="eastAsia" w:ascii="仿宋_GB2312" w:hAnsi="仿宋_GB2312" w:eastAsia="仿宋_GB2312" w:cs="仿宋_GB2312"/>
                <w:i w:val="0"/>
                <w:iCs w:val="0"/>
                <w:color w:val="auto"/>
                <w:sz w:val="21"/>
                <w:szCs w:val="21"/>
                <w:u w:val="none"/>
                <w:lang w:val="en-US" w:eastAsia="zh-CN"/>
              </w:rPr>
              <w:t>县内</w:t>
            </w:r>
          </w:p>
        </w:tc>
      </w:tr>
      <w:tr w14:paraId="6E8F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914B6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65</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4160D">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五华县酸化土壤治理项目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8DDDC">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完成5万亩以上的土壤耕地酸化治理任务，在核心地段建六个500亩以上的土壤耕地酸化治理和地力培肥示范区；设立10个效果监测点（覆盖各种技术模式）；开展5个土壤酸化治理田间试验，通过项目实施，缓解示范区耕地土壤酸化程度，耕地质量等级明显提升。</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2E6A1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10000</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5E11A">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EFB9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全县推进</w:t>
            </w:r>
          </w:p>
        </w:tc>
      </w:tr>
      <w:tr w14:paraId="14648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B8BB2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66</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9580A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五华县“五华坚果”三产融合发展项目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F35E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在长布镇新种五华夏果10万株以上，打造五华夏果生产加工观光休闲于一体的现代农业示范镇。带动全县在“四房五边”种植10万株以上，打造由绿及美、由绿及富的示范镇</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49D6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F306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A08E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长布镇</w:t>
            </w:r>
          </w:p>
        </w:tc>
      </w:tr>
      <w:tr w14:paraId="3823D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BD2AA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67</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E684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五华县“三镇联动”（龙村、双华、棉洋）现代农业产业示范带及配套基础设施建设项目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DE0D5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完成三个镇约6万亩茶叶基地的升级改造及产业配套基础设施提升改造项目。</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693A9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C93D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龙村镇人民政府、双华镇人民政府、棉洋镇人民政府</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B852E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龙村镇、双华镇、棉洋镇</w:t>
            </w:r>
          </w:p>
        </w:tc>
      </w:tr>
      <w:tr w14:paraId="14C73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BB37D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68</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CB885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五华县高标准农田改造提升建设项目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33215">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主要建设内容包括：改造提升建设10万亩高标准农田。根据“缺什么、补什么”原则，土地平整（小田变大田）3万亩、深翻1.5万亩，土壤改良（绿肥种植）8万亩，机耕道路修建130千米、灌排水渠等水利设施改造提升100千米、拦水陂头修建150座，田间三线迁移整治（电力、通讯、广播电视）30千米。</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11769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30000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A44F9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五华县农业综合开发中心</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DA5F1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全县16个乡镇</w:t>
            </w:r>
          </w:p>
        </w:tc>
      </w:tr>
      <w:tr w14:paraId="5B31D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DF6F1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69</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35319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五华县智慧金柚园建设项目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05B93C">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主要建设内容包括：在柚园安装：1.气象环境监测设备系统；2.土壤墒情精准分析预警系统；3.虫情 AI 测报预警系统；4.太阳能植保杀虫灯；5.作物长势及灾情监测系统；6.孢子捕捉采集分析系统；7.自动植保施药系统；8.智能水肥一体化灌溉系统；9.数字化基地管理系统；10.智慧指挥中心配套设施；11.冷库保鲜仓储建设；12.硬底水泥路；13.山地轨道运输系统，打造金柚产业园智慧农业标准体系。</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9D3AB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2968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五华县绿源生物科技有限公司、广东三红柚农业有限公司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E7F2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龙村镇</w:t>
            </w:r>
          </w:p>
        </w:tc>
      </w:tr>
      <w:tr w14:paraId="22148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97FF3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70</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2A8C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五华县智慧茶园基地建设项目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4001DA">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主要建设内容包括：在茶园安装：1、气象环境监测设备系统；2、土壤墒情精准分析预警系统；3、虫情AI测报预警系统；4太阳能植保杀虫灯；5、智能仓储设施；6、山地轨道运输系统；7、自动化雾化打药系统，构建从茶叶种植到加工的全链条数字化管理体系。</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AF63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8ACF5C">
            <w:pPr>
              <w:jc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五华县农业农村局</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80ED9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龙村镇、棉洋镇</w:t>
            </w:r>
          </w:p>
        </w:tc>
      </w:tr>
      <w:tr w14:paraId="1D3C4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D1CD9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71</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035ABF">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五华县构树畜禽养殖生态基地项目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44CC68">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建设现代化、标准化的构树畜禽养殖示范场1个，占地面积约500亩，拟新建办公楼、宿舍楼、养殖栏舍、生物防控设施、环保设施、采用配套自动喂料系统、物联系统、温控系统、洗消点、仓库、隔离区等主体设施、附属设施及设备。</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DFF2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21F7D">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435BE9">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562DF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F92A6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72</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3AF6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五华县智能化肉牛生态养殖基地</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B911F">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建成集肉牛养殖、繁育、加工、销售、科研于一体的现代化、智能化、生态化肉牛生态养殖基地，打造“五华生态肉牛”品牌。项目占地面积约500亩，主要建设内容包含肉牛智能化养殖区、中转区、定点屠宰区、环保处理区以及办公区、生活区、必要的道路、水电等基础设施和冷链物流设施。</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E411AB">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10000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B5E42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7A9928">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w:t>
            </w:r>
          </w:p>
        </w:tc>
      </w:tr>
      <w:tr w14:paraId="21DE2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2058E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73</w:t>
            </w:r>
          </w:p>
        </w:tc>
        <w:tc>
          <w:tcPr>
            <w:tcW w:w="72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2FA3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五华县病死畜禽无害化处理收集处理场升级改造项目</w:t>
            </w:r>
          </w:p>
        </w:tc>
        <w:tc>
          <w:tcPr>
            <w:tcW w:w="288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E4E691">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在全县16个镇中各建设1个病死畜禽集中收集点（每个点预计建设资金200万元）合计3200万元，在梅州市新顺利生物科技发展有限公司，升级改造成日无害化处理15吨的病死畜禽处理中心，其中设备更新1200万元，特种车6辆120万元，冻库80万元，锅炉90万元，除臭，污水等310万元并含其他的环保设施，供水、供电、绿化等配套设施同步建设。</w:t>
            </w:r>
          </w:p>
        </w:tc>
        <w:tc>
          <w:tcPr>
            <w:tcW w:w="43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8253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 xml:space="preserve">5000 </w:t>
            </w:r>
          </w:p>
        </w:tc>
        <w:tc>
          <w:tcPr>
            <w:tcW w:w="35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64647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各镇、梅州市新顺利生物科技发展有限公司</w:t>
            </w:r>
          </w:p>
        </w:tc>
        <w:tc>
          <w:tcPr>
            <w:tcW w:w="3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A05AF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全县16个乡镇</w:t>
            </w:r>
          </w:p>
        </w:tc>
      </w:tr>
    </w:tbl>
    <w:p w14:paraId="240B09BE">
      <w:pPr>
        <w:pStyle w:val="5"/>
        <w:bidi w:val="0"/>
        <w:ind w:left="0" w:leftChars="0" w:firstLine="0" w:firstLineChars="0"/>
        <w:outlineLvl w:val="9"/>
        <w:rPr>
          <w:rFonts w:hint="default"/>
          <w:color w:val="auto"/>
          <w:rtl w:val="0"/>
          <w:lang w:val="en-US" w:eastAsia="zh-CN"/>
        </w:rPr>
      </w:pPr>
    </w:p>
    <w:sectPr>
      <w:footerReference r:id="rId6" w:type="default"/>
      <w:pgSz w:w="16838" w:h="11906" w:orient="landscape"/>
      <w:pgMar w:top="1474" w:right="1587" w:bottom="1474" w:left="1474"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embedRegular r:id="rId1" w:fontKey="{ED06020F-096D-40BC-B9A2-BED31D31CD43}"/>
  </w:font>
  <w:font w:name="宋体">
    <w:panose1 w:val="02010600030101010101"/>
    <w:charset w:val="86"/>
    <w:family w:val="auto"/>
    <w:pitch w:val="default"/>
    <w:sig w:usb0="00000003" w:usb1="288F0000" w:usb2="00000006" w:usb3="00000000" w:csb0="00040001" w:csb1="00000000"/>
    <w:embedRegular r:id="rId2" w:fontKey="{E8BCE0F7-E893-4C9D-9432-E3C340B12553}"/>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3" w:fontKey="{CAC29FAF-ED10-4041-8F2F-EB5FA5F2D5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4" w:fontKey="{2FD7FA41-B98F-4D8C-A2A7-F0B448C99DA1}"/>
  </w:font>
  <w:font w:name="楷体">
    <w:panose1 w:val="02010609060101010101"/>
    <w:charset w:val="86"/>
    <w:family w:val="auto"/>
    <w:pitch w:val="default"/>
    <w:sig w:usb0="800002BF" w:usb1="38CF7CFA" w:usb2="00000016" w:usb3="00000000" w:csb0="00040001" w:csb1="00000000"/>
  </w:font>
  <w:font w:name="FangSong_GB2312">
    <w:altName w:val="仿宋_GB2312"/>
    <w:panose1 w:val="02010609030101010101"/>
    <w:charset w:val="86"/>
    <w:family w:val="auto"/>
    <w:pitch w:val="default"/>
    <w:sig w:usb0="00000000" w:usb1="00000000" w:usb2="00000000" w:usb3="00000000" w:csb0="00040000" w:csb1="00000000"/>
    <w:embedRegular r:id="rId5" w:fontKey="{445A3031-4046-4932-B0C9-A8BD0B70D398}"/>
  </w:font>
  <w:font w:name="仿宋_GB2312">
    <w:panose1 w:val="02010609030101010101"/>
    <w:charset w:val="86"/>
    <w:family w:val="auto"/>
    <w:pitch w:val="default"/>
    <w:sig w:usb0="00000001" w:usb1="080E0000" w:usb2="00000000" w:usb3="00000000" w:csb0="00040000" w:csb1="00000000"/>
    <w:embedRegular r:id="rId6" w:fontKey="{418CD91A-E56E-47B7-B1A9-7FC0A40D56EE}"/>
  </w:font>
  <w:font w:name="仿宋">
    <w:panose1 w:val="02010609060101010101"/>
    <w:charset w:val="86"/>
    <w:family w:val="auto"/>
    <w:pitch w:val="default"/>
    <w:sig w:usb0="800002BF" w:usb1="38CF7CFA" w:usb2="00000016" w:usb3="00000000" w:csb0="00040001" w:csb1="00000000"/>
    <w:embedRegular r:id="rId7" w:fontKey="{07D1A021-6007-4A91-9B83-F99C84DB42FD}"/>
  </w:font>
  <w:font w:name="方正小标宋简体">
    <w:panose1 w:val="03000509000000000000"/>
    <w:charset w:val="86"/>
    <w:family w:val="script"/>
    <w:pitch w:val="default"/>
    <w:sig w:usb0="00000001" w:usb1="080E0000" w:usb2="00000000" w:usb3="00000000" w:csb0="00040000" w:csb1="00000000"/>
    <w:embedRegular r:id="rId8" w:fontKey="{F4B4ABBD-1361-4170-89DD-EE2DE82868D3}"/>
  </w:font>
  <w:font w:name="楷体_GB2312">
    <w:panose1 w:val="02010609030101010101"/>
    <w:charset w:val="86"/>
    <w:family w:val="auto"/>
    <w:pitch w:val="default"/>
    <w:sig w:usb0="00000001" w:usb1="080E0000" w:usb2="00000000" w:usb3="00000000" w:csb0="00040000" w:csb1="00000000"/>
    <w:embedRegular r:id="rId9" w:fontKey="{6D8770F6-E39A-4AAD-A11E-B8D41A5A483D}"/>
  </w:font>
  <w:font w:name="华文仿宋">
    <w:altName w:val="仿宋"/>
    <w:panose1 w:val="02010600040101010101"/>
    <w:charset w:val="86"/>
    <w:family w:val="auto"/>
    <w:pitch w:val="default"/>
    <w:sig w:usb0="00000000" w:usb1="00000000" w:usb2="00000000" w:usb3="00000000" w:csb0="0004009F" w:csb1="DFD70000"/>
    <w:embedRegular r:id="rId10" w:fontKey="{FCF3B4FB-6AEA-4BCB-8E2B-7AEAD07830C4}"/>
  </w:font>
  <w:font w:name="KSOF0B7949D1">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98DAD">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3222E">
    <w:pPr>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5A4D5">
    <w:pPr>
      <w:tabs>
        <w:tab w:val="center" w:pos="4153"/>
        <w:tab w:val="right" w:pos="8306"/>
      </w:tabs>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2593A">
                          <w:pPr>
                            <w:tabs>
                              <w:tab w:val="center" w:pos="4153"/>
                              <w:tab w:val="right" w:pos="8306"/>
                            </w:tabs>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- 1 -</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242593A">
                    <w:pPr>
                      <w:tabs>
                        <w:tab w:val="center" w:pos="4153"/>
                        <w:tab w:val="right" w:pos="8306"/>
                      </w:tabs>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- 1 -</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A5979">
    <w:pPr>
      <w:tabs>
        <w:tab w:val="center" w:pos="4153"/>
        <w:tab w:val="right" w:pos="8306"/>
      </w:tabs>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0A3C7">
                          <w:pPr>
                            <w:tabs>
                              <w:tab w:val="center" w:pos="4153"/>
                              <w:tab w:val="right" w:pos="8306"/>
                            </w:tabs>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- 1 -</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3A0A3C7">
                    <w:pPr>
                      <w:tabs>
                        <w:tab w:val="center" w:pos="4153"/>
                        <w:tab w:val="right" w:pos="8306"/>
                      </w:tabs>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- 1 -</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785B6"/>
    <w:multiLevelType w:val="singleLevel"/>
    <w:tmpl w:val="ABD785B6"/>
    <w:lvl w:ilvl="0" w:tentative="0">
      <w:start w:val="1"/>
      <w:numFmt w:val="decimal"/>
      <w:suff w:val="space"/>
      <w:lvlText w:val="%1."/>
      <w:lvlJc w:val="left"/>
      <w:rPr>
        <w:rFonts w:hint="default" w:ascii="仿宋_GB2312" w:hAnsi="仿宋_GB2312" w:eastAsia="仿宋_GB2312" w:cs="仿宋_GB2312"/>
        <w:b/>
        <w:bCs/>
        <w:sz w:val="28"/>
        <w:szCs w:val="28"/>
      </w:rPr>
    </w:lvl>
  </w:abstractNum>
  <w:abstractNum w:abstractNumId="1">
    <w:nsid w:val="ABEE3407"/>
    <w:multiLevelType w:val="singleLevel"/>
    <w:tmpl w:val="ABEE3407"/>
    <w:lvl w:ilvl="0" w:tentative="0">
      <w:start w:val="1"/>
      <w:numFmt w:val="decimal"/>
      <w:suff w:val="space"/>
      <w:lvlText w:val="%1."/>
      <w:lvlJc w:val="left"/>
      <w:rPr>
        <w:rFonts w:hint="default" w:ascii="仿宋_GB2312" w:hAnsi="仿宋_GB2312" w:eastAsia="仿宋_GB2312" w:cs="仿宋_GB2312"/>
        <w:b/>
        <w:bCs/>
        <w:sz w:val="28"/>
        <w:szCs w:val="28"/>
      </w:rPr>
    </w:lvl>
  </w:abstractNum>
  <w:abstractNum w:abstractNumId="2">
    <w:nsid w:val="B1DF5424"/>
    <w:multiLevelType w:val="singleLevel"/>
    <w:tmpl w:val="B1DF5424"/>
    <w:lvl w:ilvl="0" w:tentative="0">
      <w:start w:val="1"/>
      <w:numFmt w:val="decimal"/>
      <w:suff w:val="space"/>
      <w:lvlText w:val="%1."/>
      <w:lvlJc w:val="left"/>
      <w:rPr>
        <w:rFonts w:hint="default" w:ascii="仿宋_GB2312" w:hAnsi="仿宋_GB2312" w:eastAsia="仿宋_GB2312" w:cs="仿宋_GB2312"/>
        <w:b/>
        <w:bCs/>
        <w:sz w:val="28"/>
        <w:szCs w:val="28"/>
      </w:rPr>
    </w:lvl>
  </w:abstractNum>
  <w:abstractNum w:abstractNumId="3">
    <w:nsid w:val="BEBDCD9B"/>
    <w:multiLevelType w:val="singleLevel"/>
    <w:tmpl w:val="BEBDCD9B"/>
    <w:lvl w:ilvl="0" w:tentative="0">
      <w:start w:val="1"/>
      <w:numFmt w:val="chineseCounting"/>
      <w:suff w:val="nothing"/>
      <w:lvlText w:val="%1、"/>
      <w:lvlJc w:val="left"/>
      <w:rPr>
        <w:rFonts w:hint="eastAsia"/>
      </w:rPr>
    </w:lvl>
  </w:abstractNum>
  <w:abstractNum w:abstractNumId="4">
    <w:nsid w:val="DCBF405F"/>
    <w:multiLevelType w:val="singleLevel"/>
    <w:tmpl w:val="DCBF405F"/>
    <w:lvl w:ilvl="0" w:tentative="0">
      <w:start w:val="1"/>
      <w:numFmt w:val="decimal"/>
      <w:suff w:val="space"/>
      <w:lvlText w:val="%1."/>
      <w:lvlJc w:val="left"/>
      <w:rPr>
        <w:rFonts w:hint="default" w:ascii="仿宋_GB2312" w:hAnsi="仿宋_GB2312" w:eastAsia="仿宋_GB2312" w:cs="仿宋_GB2312"/>
        <w:b/>
        <w:bCs/>
        <w:sz w:val="28"/>
        <w:szCs w:val="28"/>
      </w:rPr>
    </w:lvl>
  </w:abstractNum>
  <w:abstractNum w:abstractNumId="5">
    <w:nsid w:val="FEFFC71B"/>
    <w:multiLevelType w:val="singleLevel"/>
    <w:tmpl w:val="FEFFC71B"/>
    <w:lvl w:ilvl="0" w:tentative="0">
      <w:start w:val="2"/>
      <w:numFmt w:val="chineseCounting"/>
      <w:suff w:val="nothing"/>
      <w:lvlText w:val="%1、"/>
      <w:lvlJc w:val="left"/>
      <w:rPr>
        <w:rFonts w:hint="eastAsia"/>
      </w:rPr>
    </w:lvl>
  </w:abstractNum>
  <w:abstractNum w:abstractNumId="6">
    <w:nsid w:val="5E7E8668"/>
    <w:multiLevelType w:val="singleLevel"/>
    <w:tmpl w:val="5E7E8668"/>
    <w:lvl w:ilvl="0" w:tentative="0">
      <w:start w:val="1"/>
      <w:numFmt w:val="decimal"/>
      <w:suff w:val="space"/>
      <w:lvlText w:val="%1."/>
      <w:lvlJc w:val="left"/>
      <w:rPr>
        <w:rFonts w:hint="default" w:ascii="仿宋_GB2312" w:hAnsi="仿宋_GB2312" w:eastAsia="仿宋_GB2312" w:cs="仿宋_GB2312"/>
        <w:sz w:val="28"/>
        <w:szCs w:val="28"/>
      </w:rPr>
    </w:lvl>
  </w:abstractNum>
  <w:abstractNum w:abstractNumId="7">
    <w:nsid w:val="7D7EFD49"/>
    <w:multiLevelType w:val="singleLevel"/>
    <w:tmpl w:val="7D7EFD49"/>
    <w:lvl w:ilvl="0" w:tentative="0">
      <w:start w:val="1"/>
      <w:numFmt w:val="decimal"/>
      <w:suff w:val="space"/>
      <w:lvlText w:val="%1."/>
      <w:lvlJc w:val="left"/>
      <w:rPr>
        <w:rFonts w:hint="default" w:ascii="仿宋_GB2312" w:hAnsi="仿宋_GB2312" w:eastAsia="仿宋_GB2312" w:cs="仿宋_GB2312"/>
        <w:sz w:val="28"/>
        <w:szCs w:val="28"/>
      </w:rPr>
    </w:lvl>
  </w:abstractNum>
  <w:num w:numId="1">
    <w:abstractNumId w:val="3"/>
  </w:num>
  <w:num w:numId="2">
    <w:abstractNumId w:val="7"/>
  </w:num>
  <w:num w:numId="3">
    <w:abstractNumId w:val="5"/>
  </w:num>
  <w:num w:numId="4">
    <w:abstractNumId w:val="6"/>
  </w:num>
  <w:num w:numId="5">
    <w:abstractNumId w:val="1"/>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F0B6F"/>
    <w:rsid w:val="00F05EB3"/>
    <w:rsid w:val="0103164E"/>
    <w:rsid w:val="017D6340"/>
    <w:rsid w:val="01AE7E44"/>
    <w:rsid w:val="021917FC"/>
    <w:rsid w:val="022E26FA"/>
    <w:rsid w:val="02512698"/>
    <w:rsid w:val="026223A4"/>
    <w:rsid w:val="029C2691"/>
    <w:rsid w:val="02CD1F13"/>
    <w:rsid w:val="03144383"/>
    <w:rsid w:val="033D2DB0"/>
    <w:rsid w:val="03500416"/>
    <w:rsid w:val="03725347"/>
    <w:rsid w:val="03D70F04"/>
    <w:rsid w:val="03ED06C4"/>
    <w:rsid w:val="04473600"/>
    <w:rsid w:val="044B5EEE"/>
    <w:rsid w:val="048B24A8"/>
    <w:rsid w:val="04964468"/>
    <w:rsid w:val="051F19DB"/>
    <w:rsid w:val="052971A9"/>
    <w:rsid w:val="060E662A"/>
    <w:rsid w:val="063F6C84"/>
    <w:rsid w:val="069C7FA0"/>
    <w:rsid w:val="071F6891"/>
    <w:rsid w:val="07550729"/>
    <w:rsid w:val="076D2B39"/>
    <w:rsid w:val="078035ED"/>
    <w:rsid w:val="07807584"/>
    <w:rsid w:val="08296A14"/>
    <w:rsid w:val="08357123"/>
    <w:rsid w:val="08776922"/>
    <w:rsid w:val="08803584"/>
    <w:rsid w:val="089C6C03"/>
    <w:rsid w:val="0929298D"/>
    <w:rsid w:val="097821BA"/>
    <w:rsid w:val="09A21266"/>
    <w:rsid w:val="09E244F6"/>
    <w:rsid w:val="0AB161A2"/>
    <w:rsid w:val="0B3C784F"/>
    <w:rsid w:val="0B501B57"/>
    <w:rsid w:val="0B9C23C4"/>
    <w:rsid w:val="0BFDF23B"/>
    <w:rsid w:val="0C324413"/>
    <w:rsid w:val="0C4C3EA9"/>
    <w:rsid w:val="0C782EF0"/>
    <w:rsid w:val="0CBD0903"/>
    <w:rsid w:val="0CF04F0D"/>
    <w:rsid w:val="0DF5725A"/>
    <w:rsid w:val="0E440278"/>
    <w:rsid w:val="0F1243DC"/>
    <w:rsid w:val="0F323DCD"/>
    <w:rsid w:val="0F386D62"/>
    <w:rsid w:val="0F43C267"/>
    <w:rsid w:val="0F6D434E"/>
    <w:rsid w:val="0F7D03CB"/>
    <w:rsid w:val="0FAF44E4"/>
    <w:rsid w:val="0FE13EB8"/>
    <w:rsid w:val="100D59BA"/>
    <w:rsid w:val="10157AEC"/>
    <w:rsid w:val="103B1756"/>
    <w:rsid w:val="10620F0A"/>
    <w:rsid w:val="10914F47"/>
    <w:rsid w:val="1153650F"/>
    <w:rsid w:val="11B72C15"/>
    <w:rsid w:val="11CD29F2"/>
    <w:rsid w:val="125412E8"/>
    <w:rsid w:val="12642D8E"/>
    <w:rsid w:val="127D493D"/>
    <w:rsid w:val="136504E0"/>
    <w:rsid w:val="13832C86"/>
    <w:rsid w:val="13F52B91"/>
    <w:rsid w:val="14700951"/>
    <w:rsid w:val="14740441"/>
    <w:rsid w:val="14BE60C8"/>
    <w:rsid w:val="14DD669C"/>
    <w:rsid w:val="152A72CD"/>
    <w:rsid w:val="153D6414"/>
    <w:rsid w:val="15DDE317"/>
    <w:rsid w:val="161404C8"/>
    <w:rsid w:val="1615442F"/>
    <w:rsid w:val="164E96E3"/>
    <w:rsid w:val="16A24CDB"/>
    <w:rsid w:val="16B97C54"/>
    <w:rsid w:val="170F77DC"/>
    <w:rsid w:val="179E95AB"/>
    <w:rsid w:val="17CB6D2A"/>
    <w:rsid w:val="17FA4184"/>
    <w:rsid w:val="17FF74D8"/>
    <w:rsid w:val="18406619"/>
    <w:rsid w:val="18436EA3"/>
    <w:rsid w:val="18636182"/>
    <w:rsid w:val="187F5606"/>
    <w:rsid w:val="195425EF"/>
    <w:rsid w:val="19597C05"/>
    <w:rsid w:val="198776A3"/>
    <w:rsid w:val="19F06C10"/>
    <w:rsid w:val="1A1F0E4F"/>
    <w:rsid w:val="1A8C5DB8"/>
    <w:rsid w:val="1A9F4B86"/>
    <w:rsid w:val="1AF22C3C"/>
    <w:rsid w:val="1AFD7A39"/>
    <w:rsid w:val="1AFFC6F5"/>
    <w:rsid w:val="1B481CDF"/>
    <w:rsid w:val="1BD270A0"/>
    <w:rsid w:val="1BF20725"/>
    <w:rsid w:val="1C5D49FC"/>
    <w:rsid w:val="1CB7330E"/>
    <w:rsid w:val="1CCA1FAC"/>
    <w:rsid w:val="1D19652D"/>
    <w:rsid w:val="1DD16A96"/>
    <w:rsid w:val="1E1E766F"/>
    <w:rsid w:val="1E2E5C45"/>
    <w:rsid w:val="1E69233D"/>
    <w:rsid w:val="1EB696E7"/>
    <w:rsid w:val="1ED47C9C"/>
    <w:rsid w:val="1EDFB6F3"/>
    <w:rsid w:val="1EE461C3"/>
    <w:rsid w:val="1F242FB3"/>
    <w:rsid w:val="1F2B1A83"/>
    <w:rsid w:val="1F307F51"/>
    <w:rsid w:val="1FB90B2E"/>
    <w:rsid w:val="1FC23AE2"/>
    <w:rsid w:val="1FD584B3"/>
    <w:rsid w:val="1FEB0DEA"/>
    <w:rsid w:val="1FED6135"/>
    <w:rsid w:val="1FFE2871"/>
    <w:rsid w:val="209230FF"/>
    <w:rsid w:val="20AF152F"/>
    <w:rsid w:val="21417858"/>
    <w:rsid w:val="21466CC1"/>
    <w:rsid w:val="21CA4722"/>
    <w:rsid w:val="21EA3D2F"/>
    <w:rsid w:val="22462BF8"/>
    <w:rsid w:val="224D22D1"/>
    <w:rsid w:val="226A29A3"/>
    <w:rsid w:val="229C4971"/>
    <w:rsid w:val="22B43108"/>
    <w:rsid w:val="231B76C2"/>
    <w:rsid w:val="23B7080F"/>
    <w:rsid w:val="240440CC"/>
    <w:rsid w:val="24193645"/>
    <w:rsid w:val="248104E4"/>
    <w:rsid w:val="249C4E4A"/>
    <w:rsid w:val="25A57CC0"/>
    <w:rsid w:val="25FA9182"/>
    <w:rsid w:val="26220172"/>
    <w:rsid w:val="2629095F"/>
    <w:rsid w:val="263C68E5"/>
    <w:rsid w:val="26431A21"/>
    <w:rsid w:val="26560D8A"/>
    <w:rsid w:val="265E64AD"/>
    <w:rsid w:val="269425AB"/>
    <w:rsid w:val="26986DEA"/>
    <w:rsid w:val="26DF9BA7"/>
    <w:rsid w:val="26E775F7"/>
    <w:rsid w:val="26F50504"/>
    <w:rsid w:val="277FE3F2"/>
    <w:rsid w:val="27E9484A"/>
    <w:rsid w:val="27FDC8E4"/>
    <w:rsid w:val="28CD5F1A"/>
    <w:rsid w:val="28E60D8A"/>
    <w:rsid w:val="29565901"/>
    <w:rsid w:val="2A382025"/>
    <w:rsid w:val="2A6417C6"/>
    <w:rsid w:val="2AE24FDE"/>
    <w:rsid w:val="2B1D5AD9"/>
    <w:rsid w:val="2B9C061A"/>
    <w:rsid w:val="2BBF62D3"/>
    <w:rsid w:val="2BD87954"/>
    <w:rsid w:val="2BEF4305"/>
    <w:rsid w:val="2BF65788"/>
    <w:rsid w:val="2C11611D"/>
    <w:rsid w:val="2C1F6A8C"/>
    <w:rsid w:val="2C210A56"/>
    <w:rsid w:val="2C640BFC"/>
    <w:rsid w:val="2CD473CC"/>
    <w:rsid w:val="2D090B71"/>
    <w:rsid w:val="2D215FED"/>
    <w:rsid w:val="2D405383"/>
    <w:rsid w:val="2DA60588"/>
    <w:rsid w:val="2DF27036"/>
    <w:rsid w:val="2E03307F"/>
    <w:rsid w:val="2E3B554B"/>
    <w:rsid w:val="2E717347"/>
    <w:rsid w:val="2E7DDE66"/>
    <w:rsid w:val="2E834CF4"/>
    <w:rsid w:val="2E9F3EB4"/>
    <w:rsid w:val="2EE6563F"/>
    <w:rsid w:val="2F077FE1"/>
    <w:rsid w:val="2F263C1F"/>
    <w:rsid w:val="2F588377"/>
    <w:rsid w:val="2F9A7A94"/>
    <w:rsid w:val="2FA33530"/>
    <w:rsid w:val="2FC36401"/>
    <w:rsid w:val="2FE57C7E"/>
    <w:rsid w:val="2FFBD790"/>
    <w:rsid w:val="2FFEF99E"/>
    <w:rsid w:val="30020061"/>
    <w:rsid w:val="30201C16"/>
    <w:rsid w:val="30B65EE7"/>
    <w:rsid w:val="30FB00F5"/>
    <w:rsid w:val="31062C07"/>
    <w:rsid w:val="311D3863"/>
    <w:rsid w:val="31735F4A"/>
    <w:rsid w:val="31774C75"/>
    <w:rsid w:val="31AD323C"/>
    <w:rsid w:val="32675A9E"/>
    <w:rsid w:val="32A12CA2"/>
    <w:rsid w:val="32A2150D"/>
    <w:rsid w:val="32FC18D5"/>
    <w:rsid w:val="33132F6D"/>
    <w:rsid w:val="33460DA3"/>
    <w:rsid w:val="338D67DB"/>
    <w:rsid w:val="340F73E6"/>
    <w:rsid w:val="34584592"/>
    <w:rsid w:val="34594B05"/>
    <w:rsid w:val="358B6F41"/>
    <w:rsid w:val="35BF6D13"/>
    <w:rsid w:val="35DB33A4"/>
    <w:rsid w:val="35F702AE"/>
    <w:rsid w:val="35FB7352"/>
    <w:rsid w:val="35FC1BEC"/>
    <w:rsid w:val="35FF718E"/>
    <w:rsid w:val="35FF7FC4"/>
    <w:rsid w:val="36262C2D"/>
    <w:rsid w:val="367A6EFC"/>
    <w:rsid w:val="36B360F5"/>
    <w:rsid w:val="36F4177E"/>
    <w:rsid w:val="37002ED4"/>
    <w:rsid w:val="371F8954"/>
    <w:rsid w:val="373B04F2"/>
    <w:rsid w:val="373D3686"/>
    <w:rsid w:val="377A0D3E"/>
    <w:rsid w:val="377FCCF2"/>
    <w:rsid w:val="37985A90"/>
    <w:rsid w:val="37BF7375"/>
    <w:rsid w:val="37D7F461"/>
    <w:rsid w:val="37DF12E7"/>
    <w:rsid w:val="37F60FE9"/>
    <w:rsid w:val="37F7294B"/>
    <w:rsid w:val="381D5ED1"/>
    <w:rsid w:val="38457FBB"/>
    <w:rsid w:val="3868E6EE"/>
    <w:rsid w:val="39C92EDC"/>
    <w:rsid w:val="39EF78BC"/>
    <w:rsid w:val="3AC6577F"/>
    <w:rsid w:val="3AD84A8F"/>
    <w:rsid w:val="3AEA1913"/>
    <w:rsid w:val="3AFF3DA1"/>
    <w:rsid w:val="3B6B5F60"/>
    <w:rsid w:val="3B9F0065"/>
    <w:rsid w:val="3BB53C07"/>
    <w:rsid w:val="3BB5A42F"/>
    <w:rsid w:val="3BD63560"/>
    <w:rsid w:val="3BD9900C"/>
    <w:rsid w:val="3BEFADA9"/>
    <w:rsid w:val="3C1E26A9"/>
    <w:rsid w:val="3C295C93"/>
    <w:rsid w:val="3C5067EE"/>
    <w:rsid w:val="3CE832DD"/>
    <w:rsid w:val="3D225F01"/>
    <w:rsid w:val="3D7B8A33"/>
    <w:rsid w:val="3D8F3892"/>
    <w:rsid w:val="3DACDC1A"/>
    <w:rsid w:val="3DBD5D5F"/>
    <w:rsid w:val="3DD60609"/>
    <w:rsid w:val="3E03323D"/>
    <w:rsid w:val="3E2D328B"/>
    <w:rsid w:val="3E3740B9"/>
    <w:rsid w:val="3E4C4D00"/>
    <w:rsid w:val="3E585BB2"/>
    <w:rsid w:val="3E6842C3"/>
    <w:rsid w:val="3E74588E"/>
    <w:rsid w:val="3E7DFEB1"/>
    <w:rsid w:val="3EBFD3C1"/>
    <w:rsid w:val="3EDD848C"/>
    <w:rsid w:val="3EFF5C2B"/>
    <w:rsid w:val="3F3348D1"/>
    <w:rsid w:val="3F545844"/>
    <w:rsid w:val="3FBA21C8"/>
    <w:rsid w:val="3FC05A3B"/>
    <w:rsid w:val="3FDB904B"/>
    <w:rsid w:val="3FDF42DB"/>
    <w:rsid w:val="3FE0715C"/>
    <w:rsid w:val="3FEF03C0"/>
    <w:rsid w:val="3FF7701C"/>
    <w:rsid w:val="3FF83BB6"/>
    <w:rsid w:val="3FFA496F"/>
    <w:rsid w:val="3FFEBCF7"/>
    <w:rsid w:val="3FFF32E4"/>
    <w:rsid w:val="3FFFB3E4"/>
    <w:rsid w:val="401A3F4F"/>
    <w:rsid w:val="41035E8D"/>
    <w:rsid w:val="414A1254"/>
    <w:rsid w:val="422C4FD6"/>
    <w:rsid w:val="42B7766A"/>
    <w:rsid w:val="42BE6BA7"/>
    <w:rsid w:val="42F040D6"/>
    <w:rsid w:val="43506342"/>
    <w:rsid w:val="44022AC4"/>
    <w:rsid w:val="44672315"/>
    <w:rsid w:val="448D163E"/>
    <w:rsid w:val="448E4958"/>
    <w:rsid w:val="44AB4B0C"/>
    <w:rsid w:val="451A7B75"/>
    <w:rsid w:val="457479F1"/>
    <w:rsid w:val="457E9D48"/>
    <w:rsid w:val="45BD6059"/>
    <w:rsid w:val="4615097C"/>
    <w:rsid w:val="463F6500"/>
    <w:rsid w:val="46A62FCA"/>
    <w:rsid w:val="46F050EF"/>
    <w:rsid w:val="477C41B9"/>
    <w:rsid w:val="47B85F6C"/>
    <w:rsid w:val="47E9458A"/>
    <w:rsid w:val="47ED67B0"/>
    <w:rsid w:val="48023CE8"/>
    <w:rsid w:val="48335942"/>
    <w:rsid w:val="48655F23"/>
    <w:rsid w:val="487FC83C"/>
    <w:rsid w:val="48B203E0"/>
    <w:rsid w:val="48D317FD"/>
    <w:rsid w:val="490646EC"/>
    <w:rsid w:val="492E7EB7"/>
    <w:rsid w:val="49DF11B1"/>
    <w:rsid w:val="49EC290F"/>
    <w:rsid w:val="4AF54A4D"/>
    <w:rsid w:val="4AFD3383"/>
    <w:rsid w:val="4B5001BC"/>
    <w:rsid w:val="4B577B99"/>
    <w:rsid w:val="4B650E88"/>
    <w:rsid w:val="4BF709F7"/>
    <w:rsid w:val="4BFE0015"/>
    <w:rsid w:val="4C2B6930"/>
    <w:rsid w:val="4CEE22E8"/>
    <w:rsid w:val="4D160F17"/>
    <w:rsid w:val="4D184E23"/>
    <w:rsid w:val="4DB049C4"/>
    <w:rsid w:val="4DDB6EF3"/>
    <w:rsid w:val="4DEB7601"/>
    <w:rsid w:val="4E045CD7"/>
    <w:rsid w:val="4E96433A"/>
    <w:rsid w:val="4F5F33A0"/>
    <w:rsid w:val="4F6E6F6F"/>
    <w:rsid w:val="4F786330"/>
    <w:rsid w:val="4FBF2CDF"/>
    <w:rsid w:val="4FE37C4D"/>
    <w:rsid w:val="4FE5B310"/>
    <w:rsid w:val="4FEA0478"/>
    <w:rsid w:val="50566671"/>
    <w:rsid w:val="506E3249"/>
    <w:rsid w:val="50967BA4"/>
    <w:rsid w:val="50B60EBE"/>
    <w:rsid w:val="51C92E73"/>
    <w:rsid w:val="51E33C89"/>
    <w:rsid w:val="521072FC"/>
    <w:rsid w:val="524B3888"/>
    <w:rsid w:val="52922741"/>
    <w:rsid w:val="52B51CA6"/>
    <w:rsid w:val="52CE21B4"/>
    <w:rsid w:val="52FF46FC"/>
    <w:rsid w:val="53230CD4"/>
    <w:rsid w:val="53963229"/>
    <w:rsid w:val="53AC17BE"/>
    <w:rsid w:val="54173A6F"/>
    <w:rsid w:val="543069E9"/>
    <w:rsid w:val="549D3C2D"/>
    <w:rsid w:val="54AC1216"/>
    <w:rsid w:val="54B46611"/>
    <w:rsid w:val="54D3B0EE"/>
    <w:rsid w:val="54FE47C9"/>
    <w:rsid w:val="55A03EEB"/>
    <w:rsid w:val="560C026D"/>
    <w:rsid w:val="565D3B8A"/>
    <w:rsid w:val="56815ACA"/>
    <w:rsid w:val="56FF721B"/>
    <w:rsid w:val="574617C8"/>
    <w:rsid w:val="577BACBB"/>
    <w:rsid w:val="57987B78"/>
    <w:rsid w:val="57ED0DE5"/>
    <w:rsid w:val="58331046"/>
    <w:rsid w:val="583C303C"/>
    <w:rsid w:val="584AA4F7"/>
    <w:rsid w:val="591F24EC"/>
    <w:rsid w:val="592D1B11"/>
    <w:rsid w:val="59784A26"/>
    <w:rsid w:val="59A792B7"/>
    <w:rsid w:val="59CE308C"/>
    <w:rsid w:val="59F91E1B"/>
    <w:rsid w:val="5A2003E7"/>
    <w:rsid w:val="5A35009B"/>
    <w:rsid w:val="5A7C4F26"/>
    <w:rsid w:val="5AA30249"/>
    <w:rsid w:val="5AD7BBF5"/>
    <w:rsid w:val="5B33135D"/>
    <w:rsid w:val="5B4D0671"/>
    <w:rsid w:val="5B4D4FAB"/>
    <w:rsid w:val="5B7D614A"/>
    <w:rsid w:val="5B871DD5"/>
    <w:rsid w:val="5BCA5E87"/>
    <w:rsid w:val="5BD578F9"/>
    <w:rsid w:val="5BD69256"/>
    <w:rsid w:val="5C166CB5"/>
    <w:rsid w:val="5C2B5A65"/>
    <w:rsid w:val="5C2E692E"/>
    <w:rsid w:val="5C321615"/>
    <w:rsid w:val="5C451543"/>
    <w:rsid w:val="5C57AF6D"/>
    <w:rsid w:val="5C991BBC"/>
    <w:rsid w:val="5CAE665E"/>
    <w:rsid w:val="5CC02467"/>
    <w:rsid w:val="5CF740CD"/>
    <w:rsid w:val="5D692AA2"/>
    <w:rsid w:val="5D6F67C0"/>
    <w:rsid w:val="5DC70B94"/>
    <w:rsid w:val="5DD32F2D"/>
    <w:rsid w:val="5DFFB0FB"/>
    <w:rsid w:val="5E086AD1"/>
    <w:rsid w:val="5E3478C6"/>
    <w:rsid w:val="5E4D502C"/>
    <w:rsid w:val="5E8A7E4E"/>
    <w:rsid w:val="5EDE4B40"/>
    <w:rsid w:val="5F55439D"/>
    <w:rsid w:val="5F5D4BFA"/>
    <w:rsid w:val="5F8605F5"/>
    <w:rsid w:val="5F97A964"/>
    <w:rsid w:val="5F9F0D57"/>
    <w:rsid w:val="5FD49682"/>
    <w:rsid w:val="5FFF9405"/>
    <w:rsid w:val="5FFFD771"/>
    <w:rsid w:val="60634492"/>
    <w:rsid w:val="60647818"/>
    <w:rsid w:val="60BD78C4"/>
    <w:rsid w:val="60DB227B"/>
    <w:rsid w:val="60E824BC"/>
    <w:rsid w:val="61323B77"/>
    <w:rsid w:val="61451518"/>
    <w:rsid w:val="61F66F47"/>
    <w:rsid w:val="621C29C2"/>
    <w:rsid w:val="62683E89"/>
    <w:rsid w:val="62854D91"/>
    <w:rsid w:val="629A57B2"/>
    <w:rsid w:val="62F87114"/>
    <w:rsid w:val="62FD64DB"/>
    <w:rsid w:val="63261FF8"/>
    <w:rsid w:val="634B3F00"/>
    <w:rsid w:val="634E6A76"/>
    <w:rsid w:val="63A75FB0"/>
    <w:rsid w:val="63D04820"/>
    <w:rsid w:val="63EB6B23"/>
    <w:rsid w:val="643438FF"/>
    <w:rsid w:val="6457430E"/>
    <w:rsid w:val="64B41760"/>
    <w:rsid w:val="65672572"/>
    <w:rsid w:val="6567648B"/>
    <w:rsid w:val="65FF21F9"/>
    <w:rsid w:val="660939C5"/>
    <w:rsid w:val="660B0207"/>
    <w:rsid w:val="661E0409"/>
    <w:rsid w:val="66287D10"/>
    <w:rsid w:val="66804E62"/>
    <w:rsid w:val="668D04BB"/>
    <w:rsid w:val="66A001EE"/>
    <w:rsid w:val="66B912B0"/>
    <w:rsid w:val="66E31E89"/>
    <w:rsid w:val="672229B1"/>
    <w:rsid w:val="672B0440"/>
    <w:rsid w:val="67681902"/>
    <w:rsid w:val="676D4370"/>
    <w:rsid w:val="679D1791"/>
    <w:rsid w:val="67AFCFE2"/>
    <w:rsid w:val="67EFE326"/>
    <w:rsid w:val="67F74165"/>
    <w:rsid w:val="682DC23D"/>
    <w:rsid w:val="685F7C35"/>
    <w:rsid w:val="68746605"/>
    <w:rsid w:val="68D52D24"/>
    <w:rsid w:val="696D7715"/>
    <w:rsid w:val="69A25812"/>
    <w:rsid w:val="69B19535"/>
    <w:rsid w:val="6A214F02"/>
    <w:rsid w:val="6AE6604A"/>
    <w:rsid w:val="6B6B3DE5"/>
    <w:rsid w:val="6B9B71D6"/>
    <w:rsid w:val="6BA46FA5"/>
    <w:rsid w:val="6BD00572"/>
    <w:rsid w:val="6BF64E9E"/>
    <w:rsid w:val="6C5E43A7"/>
    <w:rsid w:val="6CBC5656"/>
    <w:rsid w:val="6CBE317C"/>
    <w:rsid w:val="6CFFBC20"/>
    <w:rsid w:val="6D1B5985"/>
    <w:rsid w:val="6D3B3EC1"/>
    <w:rsid w:val="6D3C10BC"/>
    <w:rsid w:val="6D3EE2F8"/>
    <w:rsid w:val="6D4F7BB8"/>
    <w:rsid w:val="6D681893"/>
    <w:rsid w:val="6D8428CD"/>
    <w:rsid w:val="6D975EA2"/>
    <w:rsid w:val="6DA74AC1"/>
    <w:rsid w:val="6DC73E72"/>
    <w:rsid w:val="6DE7DA13"/>
    <w:rsid w:val="6DEA5AA9"/>
    <w:rsid w:val="6DFD6F55"/>
    <w:rsid w:val="6DFF3A4C"/>
    <w:rsid w:val="6E2F5D6B"/>
    <w:rsid w:val="6E2F68B1"/>
    <w:rsid w:val="6E493F8C"/>
    <w:rsid w:val="6E57541E"/>
    <w:rsid w:val="6E795C82"/>
    <w:rsid w:val="6E7E7CCE"/>
    <w:rsid w:val="6EBD7030"/>
    <w:rsid w:val="6EE4427D"/>
    <w:rsid w:val="6EE751CD"/>
    <w:rsid w:val="6F642CE1"/>
    <w:rsid w:val="6F77FF99"/>
    <w:rsid w:val="6F7C7D5D"/>
    <w:rsid w:val="6F9B50FE"/>
    <w:rsid w:val="6F9E2AEE"/>
    <w:rsid w:val="6F9F6997"/>
    <w:rsid w:val="6FAE005D"/>
    <w:rsid w:val="6FB727C6"/>
    <w:rsid w:val="6FB97C2B"/>
    <w:rsid w:val="6FEC8857"/>
    <w:rsid w:val="6FEDC3CB"/>
    <w:rsid w:val="70FE120B"/>
    <w:rsid w:val="7156627F"/>
    <w:rsid w:val="71BBA26C"/>
    <w:rsid w:val="71F47640"/>
    <w:rsid w:val="71FBFEFB"/>
    <w:rsid w:val="72A51826"/>
    <w:rsid w:val="72AE5A41"/>
    <w:rsid w:val="72B41F7F"/>
    <w:rsid w:val="72F5934A"/>
    <w:rsid w:val="73BBA408"/>
    <w:rsid w:val="73C7F4C4"/>
    <w:rsid w:val="73DD4AC2"/>
    <w:rsid w:val="74444F58"/>
    <w:rsid w:val="747B72F1"/>
    <w:rsid w:val="747E3BA7"/>
    <w:rsid w:val="74DF4F9B"/>
    <w:rsid w:val="74E40B53"/>
    <w:rsid w:val="74E82D92"/>
    <w:rsid w:val="74EE3D6A"/>
    <w:rsid w:val="74EF833E"/>
    <w:rsid w:val="755469EE"/>
    <w:rsid w:val="75A0224E"/>
    <w:rsid w:val="75C10104"/>
    <w:rsid w:val="75DF99E3"/>
    <w:rsid w:val="76553EEB"/>
    <w:rsid w:val="766B20EE"/>
    <w:rsid w:val="769969A4"/>
    <w:rsid w:val="76BBEC53"/>
    <w:rsid w:val="76F95639"/>
    <w:rsid w:val="772F8025"/>
    <w:rsid w:val="773F8E2A"/>
    <w:rsid w:val="779798A8"/>
    <w:rsid w:val="77B7C2C0"/>
    <w:rsid w:val="77BF5A7B"/>
    <w:rsid w:val="77D5C8A3"/>
    <w:rsid w:val="77D76264"/>
    <w:rsid w:val="77D7B2EF"/>
    <w:rsid w:val="77F67F51"/>
    <w:rsid w:val="77FFD051"/>
    <w:rsid w:val="77FFD13E"/>
    <w:rsid w:val="781E0F73"/>
    <w:rsid w:val="786170B2"/>
    <w:rsid w:val="78961DA6"/>
    <w:rsid w:val="78BB4A14"/>
    <w:rsid w:val="78DE5373"/>
    <w:rsid w:val="79A90D10"/>
    <w:rsid w:val="79AC8678"/>
    <w:rsid w:val="79CF0D3A"/>
    <w:rsid w:val="79D96EC0"/>
    <w:rsid w:val="79EF5134"/>
    <w:rsid w:val="79F20909"/>
    <w:rsid w:val="79FA5A10"/>
    <w:rsid w:val="7A5944E4"/>
    <w:rsid w:val="7A8F598E"/>
    <w:rsid w:val="7A946659"/>
    <w:rsid w:val="7A9E58E0"/>
    <w:rsid w:val="7AE07E53"/>
    <w:rsid w:val="7AED003A"/>
    <w:rsid w:val="7B2F275D"/>
    <w:rsid w:val="7B320459"/>
    <w:rsid w:val="7B68737B"/>
    <w:rsid w:val="7B7D0227"/>
    <w:rsid w:val="7B7E8BD0"/>
    <w:rsid w:val="7B887754"/>
    <w:rsid w:val="7BA7127F"/>
    <w:rsid w:val="7BBB372C"/>
    <w:rsid w:val="7BC2430B"/>
    <w:rsid w:val="7BCC1FE6"/>
    <w:rsid w:val="7BF30BDF"/>
    <w:rsid w:val="7BFE7875"/>
    <w:rsid w:val="7BFEACB8"/>
    <w:rsid w:val="7C007EAC"/>
    <w:rsid w:val="7C0C7E4D"/>
    <w:rsid w:val="7C603B7A"/>
    <w:rsid w:val="7C616794"/>
    <w:rsid w:val="7CDB31FD"/>
    <w:rsid w:val="7D065993"/>
    <w:rsid w:val="7D5F80D5"/>
    <w:rsid w:val="7D8F646F"/>
    <w:rsid w:val="7D9E9618"/>
    <w:rsid w:val="7DD34180"/>
    <w:rsid w:val="7DEFDF44"/>
    <w:rsid w:val="7DF33BE9"/>
    <w:rsid w:val="7DF3F8DF"/>
    <w:rsid w:val="7DFCDC4C"/>
    <w:rsid w:val="7DFDDBA5"/>
    <w:rsid w:val="7DFE1A3A"/>
    <w:rsid w:val="7E33C6DA"/>
    <w:rsid w:val="7E627BA5"/>
    <w:rsid w:val="7E6CA13B"/>
    <w:rsid w:val="7E794852"/>
    <w:rsid w:val="7EF53F2F"/>
    <w:rsid w:val="7EF7E365"/>
    <w:rsid w:val="7EFD28E7"/>
    <w:rsid w:val="7F3FB066"/>
    <w:rsid w:val="7F5DA016"/>
    <w:rsid w:val="7F7771C5"/>
    <w:rsid w:val="7F794C30"/>
    <w:rsid w:val="7F7F8A10"/>
    <w:rsid w:val="7F8F2841"/>
    <w:rsid w:val="7F9776B4"/>
    <w:rsid w:val="7F9B0160"/>
    <w:rsid w:val="7FAD62DC"/>
    <w:rsid w:val="7FAFE6FD"/>
    <w:rsid w:val="7FBA074D"/>
    <w:rsid w:val="7FBD004E"/>
    <w:rsid w:val="7FC06F7B"/>
    <w:rsid w:val="7FD77445"/>
    <w:rsid w:val="7FD86751"/>
    <w:rsid w:val="7FDD7CA2"/>
    <w:rsid w:val="7FDF160F"/>
    <w:rsid w:val="7FED92C2"/>
    <w:rsid w:val="7FEDB5F1"/>
    <w:rsid w:val="7FEF0FFA"/>
    <w:rsid w:val="7FF73241"/>
    <w:rsid w:val="7FF9892F"/>
    <w:rsid w:val="7FFA4074"/>
    <w:rsid w:val="7FFC2FA5"/>
    <w:rsid w:val="7FFC5D97"/>
    <w:rsid w:val="7FFFC7B5"/>
    <w:rsid w:val="7FFFDF78"/>
    <w:rsid w:val="873C9228"/>
    <w:rsid w:val="8FEF9F80"/>
    <w:rsid w:val="8FFF238B"/>
    <w:rsid w:val="96F71D60"/>
    <w:rsid w:val="972FA3BC"/>
    <w:rsid w:val="9BDF1D0E"/>
    <w:rsid w:val="9EB9533C"/>
    <w:rsid w:val="9F6F9188"/>
    <w:rsid w:val="9F9EC5EA"/>
    <w:rsid w:val="9FCAF914"/>
    <w:rsid w:val="9FEF424C"/>
    <w:rsid w:val="9FFBCD32"/>
    <w:rsid w:val="9FFE81CC"/>
    <w:rsid w:val="A3BB643C"/>
    <w:rsid w:val="A3EBA0F2"/>
    <w:rsid w:val="A737A09D"/>
    <w:rsid w:val="AAFED353"/>
    <w:rsid w:val="ABFFE0C5"/>
    <w:rsid w:val="ACEF9576"/>
    <w:rsid w:val="ACFB2DA4"/>
    <w:rsid w:val="AF3E3C30"/>
    <w:rsid w:val="AF7C730F"/>
    <w:rsid w:val="AF7F945A"/>
    <w:rsid w:val="AFE2F8ED"/>
    <w:rsid w:val="AFF17F26"/>
    <w:rsid w:val="B30A6719"/>
    <w:rsid w:val="B46FBAF7"/>
    <w:rsid w:val="B66E0E8E"/>
    <w:rsid w:val="B7BEE6A2"/>
    <w:rsid w:val="B7FF706F"/>
    <w:rsid w:val="B9DEBE06"/>
    <w:rsid w:val="BAFBAC67"/>
    <w:rsid w:val="BB7DDB84"/>
    <w:rsid w:val="BBBE1D83"/>
    <w:rsid w:val="BBFF81C1"/>
    <w:rsid w:val="BDE3D2D9"/>
    <w:rsid w:val="BE7F5D52"/>
    <w:rsid w:val="BEEF6AB5"/>
    <w:rsid w:val="BF790068"/>
    <w:rsid w:val="BFDEDBED"/>
    <w:rsid w:val="BFFB024B"/>
    <w:rsid w:val="BFFF3F63"/>
    <w:rsid w:val="BFFF5ECF"/>
    <w:rsid w:val="BFFF730E"/>
    <w:rsid w:val="BFFF98E4"/>
    <w:rsid w:val="C31C7F9F"/>
    <w:rsid w:val="C7EF8172"/>
    <w:rsid w:val="CB7BF8AF"/>
    <w:rsid w:val="CBBF755B"/>
    <w:rsid w:val="CEBF0844"/>
    <w:rsid w:val="CFFDCD1A"/>
    <w:rsid w:val="D47F59D4"/>
    <w:rsid w:val="D6F4BD57"/>
    <w:rsid w:val="D6FFB3A4"/>
    <w:rsid w:val="DAEFBC49"/>
    <w:rsid w:val="DAFF7BD1"/>
    <w:rsid w:val="DBF7D636"/>
    <w:rsid w:val="DD5F2E2A"/>
    <w:rsid w:val="DDDA8E6D"/>
    <w:rsid w:val="DDFF358C"/>
    <w:rsid w:val="DE85BC5D"/>
    <w:rsid w:val="DEEAACF4"/>
    <w:rsid w:val="DEF7732E"/>
    <w:rsid w:val="DEF7CC30"/>
    <w:rsid w:val="DF3F31D2"/>
    <w:rsid w:val="DF9B99FC"/>
    <w:rsid w:val="DFE62CFA"/>
    <w:rsid w:val="DFEFD758"/>
    <w:rsid w:val="DFF443C2"/>
    <w:rsid w:val="E2F7D4D8"/>
    <w:rsid w:val="E5DFA944"/>
    <w:rsid w:val="E7D6888D"/>
    <w:rsid w:val="E7DE1D6D"/>
    <w:rsid w:val="E7FD5527"/>
    <w:rsid w:val="E7FE903A"/>
    <w:rsid w:val="E9FF80BF"/>
    <w:rsid w:val="EA9FAE63"/>
    <w:rsid w:val="EB9F2303"/>
    <w:rsid w:val="EBBD6AE9"/>
    <w:rsid w:val="EBBFB3CA"/>
    <w:rsid w:val="EBDC4D58"/>
    <w:rsid w:val="EBFF2554"/>
    <w:rsid w:val="ECFD40C6"/>
    <w:rsid w:val="EDBE4549"/>
    <w:rsid w:val="EDEFDB32"/>
    <w:rsid w:val="EEB38314"/>
    <w:rsid w:val="EEF3D61B"/>
    <w:rsid w:val="EEFD7E25"/>
    <w:rsid w:val="EF82EA65"/>
    <w:rsid w:val="EFE4C5E3"/>
    <w:rsid w:val="EFE7E01A"/>
    <w:rsid w:val="EFFF2784"/>
    <w:rsid w:val="EFFFBFA5"/>
    <w:rsid w:val="EFFFF477"/>
    <w:rsid w:val="F1F219C7"/>
    <w:rsid w:val="F231D101"/>
    <w:rsid w:val="F3A770E3"/>
    <w:rsid w:val="F3B6DFC4"/>
    <w:rsid w:val="F3FB2887"/>
    <w:rsid w:val="F5ABA62F"/>
    <w:rsid w:val="F5AF4381"/>
    <w:rsid w:val="F6E05873"/>
    <w:rsid w:val="F6F30F3A"/>
    <w:rsid w:val="F6F6FB74"/>
    <w:rsid w:val="F6FB930F"/>
    <w:rsid w:val="F6FEA59C"/>
    <w:rsid w:val="F6FFF963"/>
    <w:rsid w:val="F73D5530"/>
    <w:rsid w:val="F76B90DE"/>
    <w:rsid w:val="F77F3993"/>
    <w:rsid w:val="F794974F"/>
    <w:rsid w:val="F7AD2E50"/>
    <w:rsid w:val="F7BFBA86"/>
    <w:rsid w:val="F7DBDBEE"/>
    <w:rsid w:val="F7F68B4D"/>
    <w:rsid w:val="F8EEE40C"/>
    <w:rsid w:val="F9FB9B60"/>
    <w:rsid w:val="FA767A5D"/>
    <w:rsid w:val="FAD702CF"/>
    <w:rsid w:val="FAEFBA50"/>
    <w:rsid w:val="FB3A591E"/>
    <w:rsid w:val="FB6E23A7"/>
    <w:rsid w:val="FBB959D9"/>
    <w:rsid w:val="FBDE71E5"/>
    <w:rsid w:val="FBEF2635"/>
    <w:rsid w:val="FBFAEAF9"/>
    <w:rsid w:val="FC717D79"/>
    <w:rsid w:val="FC7757F6"/>
    <w:rsid w:val="FCAA4492"/>
    <w:rsid w:val="FD57A5B0"/>
    <w:rsid w:val="FD5FBB36"/>
    <w:rsid w:val="FD7D45B1"/>
    <w:rsid w:val="FD7EADB2"/>
    <w:rsid w:val="FD9F25B1"/>
    <w:rsid w:val="FDBD0791"/>
    <w:rsid w:val="FDD7B5A0"/>
    <w:rsid w:val="FDDBF60D"/>
    <w:rsid w:val="FDDFA9C1"/>
    <w:rsid w:val="FDEF2EFC"/>
    <w:rsid w:val="FDF56B5C"/>
    <w:rsid w:val="FDFB0F3D"/>
    <w:rsid w:val="FDFE7954"/>
    <w:rsid w:val="FE6F8823"/>
    <w:rsid w:val="FE7B35DE"/>
    <w:rsid w:val="FE93810B"/>
    <w:rsid w:val="FE9BE3DD"/>
    <w:rsid w:val="FEDF6605"/>
    <w:rsid w:val="FEEE4CBC"/>
    <w:rsid w:val="FEFD881F"/>
    <w:rsid w:val="FEFE9A53"/>
    <w:rsid w:val="FF1FA129"/>
    <w:rsid w:val="FF3EDFE3"/>
    <w:rsid w:val="FF5F9CD5"/>
    <w:rsid w:val="FF5FAF45"/>
    <w:rsid w:val="FF9FA0FF"/>
    <w:rsid w:val="FFAF3ECF"/>
    <w:rsid w:val="FFAF7F8B"/>
    <w:rsid w:val="FFB73514"/>
    <w:rsid w:val="FFBF65F1"/>
    <w:rsid w:val="FFCF67A5"/>
    <w:rsid w:val="FFD775BD"/>
    <w:rsid w:val="FFDA3331"/>
    <w:rsid w:val="FFE7FBC2"/>
    <w:rsid w:val="FFED00FC"/>
    <w:rsid w:val="FFF785AE"/>
    <w:rsid w:val="FFF7B004"/>
    <w:rsid w:val="FFFB82A0"/>
    <w:rsid w:val="FFFBB13F"/>
    <w:rsid w:val="FFFBC9D1"/>
    <w:rsid w:val="FFFC0EA1"/>
    <w:rsid w:val="FFFD9DB9"/>
    <w:rsid w:val="FFFF19F6"/>
    <w:rsid w:val="FFFF216B"/>
    <w:rsid w:val="FFFF7DEF"/>
    <w:rsid w:val="FFFFB6CE"/>
    <w:rsid w:val="FFFFCA71"/>
    <w:rsid w:val="FFFFD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spacing w:before="50" w:beforeLines="50" w:after="100" w:afterLines="100"/>
      <w:jc w:val="center"/>
      <w:outlineLvl w:val="0"/>
    </w:pPr>
    <w:rPr>
      <w:rFonts w:ascii="微软雅黑" w:hAnsi="微软雅黑" w:eastAsia="微软雅黑" w:cs="微软雅黑"/>
      <w:b/>
      <w:bCs/>
      <w:color w:val="auto"/>
      <w:kern w:val="44"/>
      <w:sz w:val="36"/>
      <w:szCs w:val="36"/>
    </w:rPr>
  </w:style>
  <w:style w:type="paragraph" w:styleId="3">
    <w:name w:val="heading 2"/>
    <w:basedOn w:val="1"/>
    <w:next w:val="1"/>
    <w:unhideWhenUsed/>
    <w:qFormat/>
    <w:uiPriority w:val="0"/>
    <w:pPr>
      <w:keepNext/>
      <w:pageBreakBefore w:val="0"/>
      <w:spacing w:before="100" w:beforeLines="100" w:after="50" w:afterLines="50"/>
      <w:jc w:val="center"/>
      <w:outlineLvl w:val="1"/>
    </w:pPr>
    <w:rPr>
      <w:rFonts w:ascii="黑体" w:hAnsi="黑体" w:eastAsia="黑体" w:cs="Times New Roman"/>
      <w:b/>
      <w:bCs/>
      <w:sz w:val="32"/>
      <w:szCs w:val="32"/>
    </w:rPr>
  </w:style>
  <w:style w:type="paragraph" w:styleId="4">
    <w:name w:val="heading 3"/>
    <w:basedOn w:val="1"/>
    <w:next w:val="5"/>
    <w:unhideWhenUsed/>
    <w:qFormat/>
    <w:uiPriority w:val="0"/>
    <w:pPr>
      <w:keepNext/>
      <w:keepLines/>
      <w:spacing w:before="120" w:beforeLines="0" w:after="120" w:afterLines="0" w:line="600" w:lineRule="exact"/>
      <w:ind w:firstLine="420" w:firstLineChars="200"/>
      <w:outlineLvl w:val="2"/>
    </w:pPr>
    <w:rPr>
      <w:rFonts w:ascii="楷体" w:hAnsi="楷体" w:eastAsia="FangSong_GB2312" w:cs="楷体"/>
      <w:b/>
      <w:sz w:val="32"/>
      <w:szCs w:val="32"/>
    </w:rPr>
  </w:style>
  <w:style w:type="paragraph" w:styleId="6">
    <w:name w:val="heading 4"/>
    <w:basedOn w:val="1"/>
    <w:next w:val="1"/>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7">
    <w:name w:val="heading 5"/>
    <w:basedOn w:val="1"/>
    <w:next w:val="1"/>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99"/>
    <w:pPr>
      <w:topLinePunct w:val="0"/>
      <w:spacing w:after="120" w:line="560" w:lineRule="exact"/>
      <w:ind w:firstLine="640" w:firstLineChars="200"/>
    </w:pPr>
    <w:rPr>
      <w:rFonts w:ascii="Times New Roman" w:hAnsi="Times New Roman" w:eastAsia="仿宋_GB2312" w:cs="Times New Roman"/>
      <w:sz w:val="32"/>
      <w:szCs w:val="20"/>
    </w:rPr>
  </w:style>
  <w:style w:type="paragraph" w:styleId="8">
    <w:name w:val="caption"/>
    <w:basedOn w:val="1"/>
    <w:next w:val="1"/>
    <w:link w:val="19"/>
    <w:unhideWhenUsed/>
    <w:qFormat/>
    <w:uiPriority w:val="0"/>
    <w:pPr>
      <w:spacing w:line="600" w:lineRule="exact"/>
      <w:jc w:val="center"/>
    </w:pPr>
    <w:rPr>
      <w:rFonts w:ascii="FangSong_GB2312" w:hAnsi="FangSong_GB2312" w:eastAsia="仿宋_GB2312" w:cs="仿宋"/>
      <w:b/>
      <w:bCs/>
      <w:color w:val="auto"/>
      <w:sz w:val="32"/>
      <w:szCs w:val="28"/>
      <w:highlight w:val="none"/>
      <w:shd w:val="clear" w:color="auto" w:fill="auto"/>
    </w:rPr>
  </w:style>
  <w:style w:type="paragraph" w:styleId="9">
    <w:name w:val="annotation text"/>
    <w:basedOn w:val="1"/>
    <w:qFormat/>
    <w:uiPriority w:val="0"/>
    <w:pPr>
      <w:jc w:val="left"/>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pPr>
      <w:tabs>
        <w:tab w:val="right" w:leader="dot" w:pos="8306"/>
      </w:tabs>
      <w:spacing w:line="600" w:lineRule="exact"/>
    </w:pPr>
    <w:rPr>
      <w:rFonts w:ascii="Times New Roman" w:hAnsi="Times New Roman" w:eastAsia="黑体"/>
      <w:sz w:val="32"/>
    </w:rPr>
  </w:style>
  <w:style w:type="paragraph" w:styleId="13">
    <w:name w:val="toc 2"/>
    <w:basedOn w:val="1"/>
    <w:next w:val="1"/>
    <w:qFormat/>
    <w:uiPriority w:val="0"/>
    <w:pPr>
      <w:spacing w:line="600" w:lineRule="exact"/>
      <w:ind w:left="420" w:leftChars="200"/>
    </w:pPr>
    <w:rPr>
      <w:rFonts w:ascii="Times New Roman" w:hAnsi="Times New Roman" w:eastAsia="仿宋_GB2312"/>
      <w:sz w:val="32"/>
    </w:rPr>
  </w:style>
  <w:style w:type="paragraph" w:styleId="14">
    <w:name w:val="Title"/>
    <w:basedOn w:val="1"/>
    <w:next w:val="1"/>
    <w:qFormat/>
    <w:uiPriority w:val="0"/>
    <w:pPr>
      <w:spacing w:line="1000" w:lineRule="exact"/>
      <w:ind w:left="-320" w:leftChars="-100" w:right="-320" w:rightChars="-100"/>
      <w:jc w:val="center"/>
      <w:outlineLvl w:val="0"/>
    </w:pPr>
    <w:rPr>
      <w:rFonts w:ascii="Times New Roman" w:hAnsi="Times New Roman" w:eastAsia="方正小标宋简体" w:cs="Times New Roman"/>
      <w:b/>
      <w:bCs/>
      <w:sz w:val="52"/>
      <w:szCs w:val="52"/>
    </w:rPr>
  </w:style>
  <w:style w:type="character" w:styleId="17">
    <w:name w:val="Strong"/>
    <w:basedOn w:val="16"/>
    <w:qFormat/>
    <w:uiPriority w:val="0"/>
    <w:rPr>
      <w:b/>
    </w:rPr>
  </w:style>
  <w:style w:type="paragraph" w:customStyle="1" w:styleId="18">
    <w:name w:val="专栏文字缩进"/>
    <w:basedOn w:val="1"/>
    <w:qFormat/>
    <w:uiPriority w:val="0"/>
    <w:pPr>
      <w:ind w:firstLine="640" w:firstLineChars="200"/>
    </w:pPr>
    <w:rPr>
      <w:rFonts w:hint="eastAsia" w:ascii="Times New Roman" w:hAnsi="Times New Roman" w:eastAsia="仿宋" w:cs="Times New Roman"/>
      <w:sz w:val="28"/>
      <w:szCs w:val="18"/>
    </w:rPr>
  </w:style>
  <w:style w:type="character" w:customStyle="1" w:styleId="19">
    <w:name w:val="题注 Char"/>
    <w:link w:val="8"/>
    <w:qFormat/>
    <w:uiPriority w:val="0"/>
    <w:rPr>
      <w:rFonts w:ascii="FangSong_GB2312" w:hAnsi="FangSong_GB2312" w:eastAsia="仿宋_GB2312" w:cs="仿宋"/>
      <w:b/>
      <w:bCs/>
      <w:color w:val="auto"/>
      <w:sz w:val="32"/>
      <w:szCs w:val="28"/>
      <w:highlight w:val="none"/>
      <w:shd w:val="clear" w:color="auto" w:fill="auto"/>
    </w:rPr>
  </w:style>
  <w:style w:type="character" w:customStyle="1" w:styleId="20">
    <w:name w:val="font31"/>
    <w:basedOn w:val="16"/>
    <w:qFormat/>
    <w:uiPriority w:val="0"/>
    <w:rPr>
      <w:rFonts w:hint="eastAsia" w:ascii="宋体" w:hAnsi="宋体" w:eastAsia="宋体" w:cs="宋体"/>
      <w:b/>
      <w:bCs/>
      <w:color w:val="000000"/>
      <w:sz w:val="20"/>
      <w:szCs w:val="20"/>
      <w:u w:val="none"/>
    </w:rPr>
  </w:style>
  <w:style w:type="character" w:customStyle="1" w:styleId="21">
    <w:name w:val="font21"/>
    <w:basedOn w:val="16"/>
    <w:qFormat/>
    <w:uiPriority w:val="0"/>
    <w:rPr>
      <w:rFonts w:hint="default" w:ascii="Times New Roman" w:hAnsi="Times New Roman" w:cs="Times New Roman"/>
      <w:b/>
      <w:bCs/>
      <w:color w:val="000000"/>
      <w:sz w:val="20"/>
      <w:szCs w:val="20"/>
      <w:u w:val="none"/>
    </w:rPr>
  </w:style>
  <w:style w:type="character" w:customStyle="1" w:styleId="22">
    <w:name w:val="font61"/>
    <w:basedOn w:val="16"/>
    <w:qFormat/>
    <w:uiPriority w:val="0"/>
    <w:rPr>
      <w:rFonts w:hint="eastAsia" w:ascii="宋体" w:hAnsi="宋体" w:eastAsia="宋体" w:cs="宋体"/>
      <w:color w:val="000000"/>
      <w:sz w:val="20"/>
      <w:szCs w:val="20"/>
      <w:u w:val="none"/>
    </w:rPr>
  </w:style>
  <w:style w:type="character" w:customStyle="1" w:styleId="23">
    <w:name w:val="font41"/>
    <w:basedOn w:val="16"/>
    <w:qFormat/>
    <w:uiPriority w:val="0"/>
    <w:rPr>
      <w:rFonts w:hint="default" w:ascii="Times New Roman" w:hAnsi="Times New Roman" w:cs="Times New Roman"/>
      <w:color w:val="000000"/>
      <w:sz w:val="20"/>
      <w:szCs w:val="20"/>
      <w:u w:val="none"/>
    </w:rPr>
  </w:style>
  <w:style w:type="character" w:customStyle="1" w:styleId="24">
    <w:name w:val="font81"/>
    <w:basedOn w:val="16"/>
    <w:qFormat/>
    <w:uiPriority w:val="0"/>
    <w:rPr>
      <w:rFonts w:hint="eastAsia" w:ascii="宋体" w:hAnsi="宋体" w:eastAsia="宋体" w:cs="宋体"/>
      <w:color w:val="000000"/>
      <w:sz w:val="20"/>
      <w:szCs w:val="20"/>
      <w:u w:val="none"/>
    </w:rPr>
  </w:style>
  <w:style w:type="character" w:customStyle="1" w:styleId="25">
    <w:name w:val="font51"/>
    <w:basedOn w:val="16"/>
    <w:qFormat/>
    <w:uiPriority w:val="0"/>
    <w:rPr>
      <w:rFonts w:hint="default" w:ascii="Times New Roman" w:hAnsi="Times New Roman" w:cs="Times New Roman"/>
      <w:color w:val="000000"/>
      <w:sz w:val="20"/>
      <w:szCs w:val="20"/>
      <w:u w:val="none"/>
    </w:rPr>
  </w:style>
  <w:style w:type="character" w:customStyle="1" w:styleId="26">
    <w:name w:val="font121"/>
    <w:basedOn w:val="16"/>
    <w:qFormat/>
    <w:uiPriority w:val="0"/>
    <w:rPr>
      <w:rFonts w:hint="eastAsia" w:ascii="宋体" w:hAnsi="宋体" w:eastAsia="宋体" w:cs="宋体"/>
      <w:color w:val="000000"/>
      <w:sz w:val="32"/>
      <w:szCs w:val="32"/>
      <w:u w:val="none"/>
    </w:rPr>
  </w:style>
  <w:style w:type="character" w:customStyle="1" w:styleId="27">
    <w:name w:val="font131"/>
    <w:basedOn w:val="16"/>
    <w:qFormat/>
    <w:uiPriority w:val="0"/>
    <w:rPr>
      <w:rFonts w:ascii="Arial" w:hAnsi="Arial" w:cs="Arial"/>
      <w:color w:val="000000"/>
      <w:sz w:val="32"/>
      <w:szCs w:val="32"/>
      <w:u w:val="none"/>
    </w:rPr>
  </w:style>
  <w:style w:type="character" w:customStyle="1" w:styleId="28">
    <w:name w:val="font141"/>
    <w:basedOn w:val="16"/>
    <w:qFormat/>
    <w:uiPriority w:val="0"/>
    <w:rPr>
      <w:rFonts w:hint="eastAsia" w:ascii="宋体" w:hAnsi="宋体" w:eastAsia="宋体" w:cs="宋体"/>
      <w:color w:val="000000"/>
      <w:sz w:val="32"/>
      <w:szCs w:val="32"/>
      <w:u w:val="none"/>
    </w:rPr>
  </w:style>
  <w:style w:type="character" w:customStyle="1" w:styleId="29">
    <w:name w:val="font151"/>
    <w:basedOn w:val="16"/>
    <w:qFormat/>
    <w:uiPriority w:val="0"/>
    <w:rPr>
      <w:rFonts w:hint="default" w:ascii="Times New Roman" w:hAnsi="Times New Roman" w:cs="Times New Roman"/>
      <w:color w:val="000000"/>
      <w:sz w:val="32"/>
      <w:szCs w:val="32"/>
      <w:u w:val="none"/>
    </w:rPr>
  </w:style>
  <w:style w:type="character" w:customStyle="1" w:styleId="30">
    <w:name w:val="font11"/>
    <w:basedOn w:val="16"/>
    <w:qFormat/>
    <w:uiPriority w:val="0"/>
    <w:rPr>
      <w:rFonts w:hint="default" w:ascii="Times New Roman" w:hAnsi="Times New Roman" w:cs="Times New Roman"/>
      <w:color w:val="000000"/>
      <w:sz w:val="40"/>
      <w:szCs w:val="40"/>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9be8348f-a7c7-47bd-b157-87102c80932f</errorID>
      <errorWord xmlns="http://schemas.wps.cn/vas-ai-hub/contract-review">城乡结合部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城乡接合部</item>
      </candidateList>
      <explain xmlns="http://schemas.wps.cn/vas-ai-hub/contract-review"/>
      <paraID xmlns="http://schemas.wps.cn/vas-ai-hub/contract-review">731BA6AF</paraID>
      <start xmlns="http://schemas.wps.cn/vas-ai-hub/contract-review">22</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9406d854-6fa0-4512-881e-97bbb2103311</errorID>
      <errorWord xmlns="http://schemas.wps.cn/vas-ai-hub/contract-review">、和</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和</item>
      </candidateList>
      <explain xmlns="http://schemas.wps.cn/vas-ai-hub/contract-review">“及”“和”“等”连词前不宜使用顿号，建议删除（或使用逗号）。</explain>
      <paraID xmlns="http://schemas.wps.cn/vas-ai-hub/contract-review">47B9D112</paraID>
      <start xmlns="http://schemas.wps.cn/vas-ai-hub/contract-review">11</start>
      <end xmlns="http://schemas.wps.cn/vas-ai-hub/contract-review">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b70462fa-a5f3-4254-a039-39bc40014b8f</errorID>
      <errorWord xmlns="http://schemas.wps.cn/vas-ai-hub/contract-review">条化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条</item>
      </candidateList>
      <explain xmlns="http://schemas.wps.cn/vas-ai-hub/contract-review"/>
      <paraID xmlns="http://schemas.wps.cn/vas-ai-hub/contract-review"> 7FE4082</paraID>
      <start xmlns="http://schemas.wps.cn/vas-ai-hub/contract-review">131</start>
      <end xmlns="http://schemas.wps.cn/vas-ai-hub/contract-review">133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fd0f72b7-f763-4f64-a09f-038a647445ca</errorID>
      <errorWord xmlns="http://schemas.wps.cn/vas-ai-hub/contract-review">主体主责</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主体责任</item>
      </candidateList>
      <explain xmlns="http://schemas.wps.cn/vas-ai-hub/contract-review"/>
      <paraID xmlns="http://schemas.wps.cn/vas-ai-hub/contract-review">  3702DC</paraID>
      <start xmlns="http://schemas.wps.cn/vas-ai-hub/contract-review">167</start>
      <end xmlns="http://schemas.wps.cn/vas-ai-hub/contract-review">171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38204b02-cef3-4ace-9e0a-266903590428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45E59AC8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fff7ef-f8d2-4d5c-8b14-807e953b0102}">
  <ds:schemaRefs/>
</ds:datastoreItem>
</file>

<file path=docProps/app.xml><?xml version="1.0" encoding="utf-8"?>
<Properties xmlns="http://schemas.openxmlformats.org/officeDocument/2006/extended-properties" xmlns:vt="http://schemas.openxmlformats.org/officeDocument/2006/docPropsVTypes">
  <Template>Normal.dotm</Template>
  <Pages>76</Pages>
  <Words>9143</Words>
  <Characters>9625</Characters>
  <Lines>0</Lines>
  <Paragraphs>0</Paragraphs>
  <TotalTime>12</TotalTime>
  <ScaleCrop>false</ScaleCrop>
  <LinksUpToDate>false</LinksUpToDate>
  <CharactersWithSpaces>9772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2025-06-04T15:46:00Z</dcterms:created>
  <dc:creator>ZLZ</dc:creator>
  <cp:lastModifiedBy>随心♥伟新</cp:lastModifiedBy>
  <cp:lastPrinted>2025-06-29T15:53:00Z</cp:lastPrinted>
  <dcterms:modified xsi:type="dcterms:W3CDTF">2026-05-18T06:46:14Z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eyJoZGlkIjoiZmVmNTQ0YjZkMjMxNzAyMGVjNzdlODZjYTVjZWUyMTMiLCJ1c2VySWQiOiI2OTc4NDkwNTYifQ==</vt:lpwstr>
  </property>
  <property fmtid="{D5CDD505-2E9C-101B-9397-08002B2CF9AE}" pid="4" name="ICV">
    <vt:lpwstr>E49B5031BBF2E4A99BACE169D64801DB_43</vt:lpwstr>
  </property>
</Properties>
</file>