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40" w:lineRule="exact"/>
        <w:jc w:val="center"/>
        <w:textAlignment w:val="auto"/>
        <w:outlineLvl w:val="0"/>
        <w:rPr>
          <w:rFonts w:hint="eastAsia" w:ascii="方正小标宋简体" w:hAnsi="方正小标宋简体" w:eastAsia="方正小标宋简体" w:cs="方正小标宋简体"/>
          <w:b w:val="0"/>
          <w:bCs/>
          <w:color w:val="auto"/>
          <w:sz w:val="44"/>
          <w:szCs w:val="44"/>
        </w:rPr>
      </w:pPr>
      <w:bookmarkStart w:id="0" w:name="_Toc18911641"/>
      <w:bookmarkStart w:id="1" w:name="OLE_LINK28"/>
      <w:bookmarkStart w:id="2" w:name="OLE_LINK29"/>
      <w:bookmarkStart w:id="3" w:name="OLE_LINK36"/>
      <w:bookmarkStart w:id="4" w:name="OLE_LINK37"/>
      <w:r>
        <w:rPr>
          <w:rFonts w:hint="eastAsia" w:ascii="方正小标宋简体" w:hAnsi="方正小标宋简体" w:eastAsia="方正小标宋简体" w:cs="方正小标宋简体"/>
          <w:b w:val="0"/>
          <w:bCs/>
          <w:color w:val="auto"/>
          <w:sz w:val="44"/>
          <w:szCs w:val="44"/>
        </w:rPr>
        <w:t>五华县数字乡村发展总体规划</w:t>
      </w:r>
      <w:bookmarkEnd w:id="0"/>
      <w:bookmarkEnd w:id="1"/>
      <w:bookmarkEnd w:id="2"/>
      <w:r>
        <w:rPr>
          <w:rFonts w:hint="eastAsia" w:ascii="方正小标宋简体" w:hAnsi="方正小标宋简体" w:eastAsia="方正小标宋简体" w:cs="方正小标宋简体"/>
          <w:b w:val="0"/>
          <w:bCs/>
          <w:color w:val="auto"/>
          <w:sz w:val="44"/>
          <w:szCs w:val="44"/>
        </w:rPr>
        <w:t>（2019-2024年）</w:t>
      </w:r>
    </w:p>
    <w:bookmarkEnd w:id="3"/>
    <w:bookmarkEnd w:id="4"/>
    <w:p>
      <w:pPr>
        <w:pageBreakBefore w:val="0"/>
        <w:kinsoku/>
        <w:wordWrap/>
        <w:overflowPunct/>
        <w:topLinePunct w:val="0"/>
        <w:autoSpaceDE/>
        <w:autoSpaceDN/>
        <w:bidi w:val="0"/>
        <w:adjustRightInd/>
        <w:snapToGrid/>
        <w:spacing w:beforeAutospacing="0" w:afterAutospacing="0" w:line="520" w:lineRule="exact"/>
        <w:ind w:firstLine="624" w:firstLineChars="200"/>
        <w:jc w:val="both"/>
        <w:textAlignment w:val="auto"/>
        <w:rPr>
          <w:rFonts w:hint="eastAsia" w:ascii="Times New Roman" w:hAnsi="Times New Roman" w:eastAsia="方正仿宋简体" w:cs="Times New Roman"/>
          <w:color w:val="auto"/>
          <w:sz w:val="32"/>
          <w:szCs w:val="32"/>
          <w:shd w:val="clear" w:color="auto" w:fill="FFFFFF"/>
        </w:rPr>
      </w:pP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shd w:val="clear" w:color="auto" w:fill="FFFFFF"/>
        </w:rPr>
      </w:pPr>
      <w:r>
        <w:rPr>
          <w:rFonts w:hint="eastAsia" w:ascii="Times New Roman" w:hAnsi="Times New Roman" w:eastAsia="方正仿宋简体" w:cs="Times New Roman"/>
          <w:color w:val="auto"/>
          <w:sz w:val="32"/>
          <w:szCs w:val="32"/>
          <w:shd w:val="clear" w:color="auto" w:fill="FFFFFF"/>
        </w:rPr>
        <w:t>为贯彻落实《中共中央、国务院关于实施乡村振兴战略的意见》《乡村振兴战略规划（2018-2022年）》《国家信息化发展战略纲要》和《数字乡村发展战略纲要》，根据广东省和梅州市相关文件精神，结合五华县实际情况，特编制本规划。</w:t>
      </w:r>
    </w:p>
    <w:p>
      <w:pPr>
        <w:pStyle w:val="2"/>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黑体" w:hAnsi="黑体" w:eastAsia="黑体" w:cs="黑体"/>
          <w:b w:val="0"/>
          <w:bCs w:val="0"/>
          <w:color w:val="auto"/>
          <w:sz w:val="32"/>
          <w:szCs w:val="32"/>
        </w:rPr>
      </w:pPr>
      <w:bookmarkStart w:id="5" w:name="_Toc18911642"/>
      <w:bookmarkStart w:id="6" w:name="OLE_LINK30"/>
      <w:bookmarkStart w:id="7" w:name="OLE_LINK31"/>
      <w:r>
        <w:rPr>
          <w:rFonts w:hint="eastAsia" w:ascii="黑体" w:hAnsi="黑体" w:eastAsia="黑体" w:cs="黑体"/>
          <w:b w:val="0"/>
          <w:bCs w:val="0"/>
          <w:color w:val="auto"/>
          <w:sz w:val="32"/>
          <w:szCs w:val="32"/>
        </w:rPr>
        <w:t>一、现状与形势</w:t>
      </w:r>
    </w:p>
    <w:bookmarkEnd w:id="5"/>
    <w:bookmarkEnd w:id="6"/>
    <w:bookmarkEnd w:id="7"/>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shd w:val="clear" w:color="auto" w:fill="FFFFFF"/>
        </w:rPr>
      </w:pPr>
      <w:r>
        <w:rPr>
          <w:rFonts w:hint="eastAsia" w:ascii="Times New Roman" w:hAnsi="Times New Roman" w:eastAsia="方正仿宋简体" w:cs="Times New Roman"/>
          <w:color w:val="auto"/>
          <w:sz w:val="32"/>
          <w:szCs w:val="32"/>
          <w:shd w:val="clear" w:color="auto" w:fill="FFFFFF"/>
        </w:rPr>
        <w:t>当前，新一代信息技术创新之势空前活跃，不断催生新技术、新产品、新模式，推动全球经济格局和产业形态深度变革。发展数字农业农村已经成为顺应信息化进入大数据新阶段的必然要求，成为抢占农业农村现代化制高点的迫切需要，成为创新推动农业农村信息化发展的重要途径。党的十八大以来，以习近平同志为核心的党中央高度重视网络安全和信息化工作，作出一系列战略决策，统筹推进网信事业快速发展。农村信息基础设施正在加快建设，现代农业的线上线下融合正在加快推进，农村信息服务体系正在加快完善，与此同时，顶层设计缺失、资源统筹不足、基础设施薄弱、区域差异明显等问题也逐渐出现，亟需进一步发掘信息化在乡村振兴中的巨大潜力，以更好地促进农业全面升级、农村全面进步、农民全面发展。</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shd w:val="clear" w:color="auto" w:fill="FFFFFF"/>
        </w:rPr>
      </w:pPr>
      <w:r>
        <w:rPr>
          <w:rFonts w:hint="eastAsia" w:ascii="Times New Roman" w:hAnsi="Times New Roman" w:eastAsia="方正仿宋简体" w:cs="Times New Roman"/>
          <w:color w:val="auto"/>
          <w:sz w:val="32"/>
          <w:szCs w:val="32"/>
          <w:shd w:val="clear" w:color="auto" w:fill="FFFFFF"/>
        </w:rPr>
        <w:t>数字乡村是指乡村依托数字经济的发展，以现代信息网络为重要载体，以数字技术创新为核心驱动力，实现乡村生产数据化、治理数据化与生活数据化，不断提高传统产业数字化、智能化水平，加速重构经济发展与农村治理模式的新型经济形态。数字乡村是伴随网络化、信息化和数字化在农业农村经济社会发展中的应用，以及农民现代信息技能的提高而内生的农业农村现代化发展和转型进程，既是乡村振兴的战略方向，也是建设数字中国的重要内容。</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shd w:val="clear" w:color="auto" w:fill="FFFFFF"/>
        </w:rPr>
      </w:pPr>
      <w:r>
        <w:rPr>
          <w:rFonts w:hint="eastAsia" w:ascii="Times New Roman" w:hAnsi="Times New Roman" w:eastAsia="方正仿宋简体" w:cs="Times New Roman"/>
          <w:color w:val="auto"/>
          <w:sz w:val="32"/>
          <w:szCs w:val="32"/>
          <w:shd w:val="clear" w:color="auto" w:fill="FFFFFF"/>
        </w:rPr>
        <w:t>五华县作为国家级</w:t>
      </w:r>
      <w:r>
        <w:rPr>
          <w:rFonts w:hint="eastAsia" w:ascii="Times New Roman" w:hAnsi="Times New Roman" w:eastAsia="方正仿宋简体" w:cs="Times New Roman"/>
          <w:color w:val="auto"/>
        </w:rPr>
        <w:fldChar w:fldCharType="begin"/>
      </w:r>
      <w:r>
        <w:rPr>
          <w:rFonts w:hint="eastAsia" w:ascii="Times New Roman" w:hAnsi="Times New Roman" w:eastAsia="方正仿宋简体" w:cs="Times New Roman"/>
          <w:color w:val="auto"/>
        </w:rPr>
        <w:instrText xml:space="preserve"> HYPERLINK "https://baike.baidu.com/item/%E5%86%9C%E4%BA%A7%E5%93%81/5686507" \t "_blank" </w:instrText>
      </w:r>
      <w:r>
        <w:rPr>
          <w:rFonts w:hint="eastAsia" w:ascii="Times New Roman" w:hAnsi="Times New Roman" w:eastAsia="方正仿宋简体" w:cs="Times New Roman"/>
          <w:color w:val="auto"/>
        </w:rPr>
        <w:fldChar w:fldCharType="separate"/>
      </w:r>
      <w:r>
        <w:rPr>
          <w:rFonts w:hint="eastAsia" w:ascii="Times New Roman" w:hAnsi="Times New Roman" w:eastAsia="方正仿宋简体" w:cs="Times New Roman"/>
          <w:color w:val="auto"/>
          <w:sz w:val="32"/>
          <w:szCs w:val="32"/>
          <w:shd w:val="clear" w:color="auto" w:fill="FFFFFF"/>
        </w:rPr>
        <w:t>农产品</w:t>
      </w:r>
      <w:r>
        <w:rPr>
          <w:rFonts w:hint="eastAsia" w:ascii="Times New Roman" w:hAnsi="Times New Roman" w:eastAsia="方正仿宋简体" w:cs="Times New Roman"/>
          <w:color w:val="auto"/>
          <w:sz w:val="32"/>
          <w:szCs w:val="32"/>
          <w:shd w:val="clear" w:color="auto" w:fill="FFFFFF"/>
        </w:rPr>
        <w:fldChar w:fldCharType="end"/>
      </w:r>
      <w:r>
        <w:rPr>
          <w:rFonts w:hint="eastAsia" w:ascii="Times New Roman" w:hAnsi="Times New Roman" w:eastAsia="方正仿宋简体" w:cs="Times New Roman"/>
          <w:color w:val="auto"/>
          <w:sz w:val="32"/>
          <w:szCs w:val="32"/>
          <w:shd w:val="clear" w:color="auto" w:fill="FFFFFF"/>
        </w:rPr>
        <w:t>主产区，农村人口基数大，土地面积广，农业产业升级空间大。面对新时期信息化带来的巨大变革和深远影响，五华县必须立足新时期县情农情，紧紧抓住信息化带来的历史机遇，将全县数字乡村建设作为五华县建设的重要方面。要加快信息化发展，以信息流带动资金流、技术流、人才流、物资流的高效循环，带动和提升农业农村现代化发展。要注重构建以知识更新、技术创新、数据驱动为一体的乡村经济发展政策体系，要注重建立层级更高、结构更优、可持续性更好的乡村现代化经济体系，要注重建立灵敏高效的现代乡村社会治理体系。通过乡村产业发展动力、农村经济发展效率、乡村公共服务模式、乡村治理方式等领域的大变革，开启五华县城乡融合发展和现代化建设新局面。</w:t>
      </w:r>
    </w:p>
    <w:p>
      <w:pPr>
        <w:pStyle w:val="2"/>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黑体" w:hAnsi="黑体" w:eastAsia="黑体" w:cs="黑体"/>
          <w:b w:val="0"/>
          <w:bCs w:val="0"/>
          <w:color w:val="auto"/>
          <w:sz w:val="32"/>
          <w:szCs w:val="32"/>
        </w:rPr>
      </w:pPr>
      <w:bookmarkStart w:id="8" w:name="_Toc18911666"/>
      <w:r>
        <w:rPr>
          <w:rFonts w:hint="eastAsia" w:ascii="黑体" w:hAnsi="黑体" w:eastAsia="黑体" w:cs="黑体"/>
          <w:b w:val="0"/>
          <w:bCs w:val="0"/>
          <w:color w:val="auto"/>
          <w:sz w:val="32"/>
          <w:szCs w:val="32"/>
        </w:rPr>
        <w:t>二、</w:t>
      </w:r>
      <w:bookmarkEnd w:id="8"/>
      <w:r>
        <w:rPr>
          <w:rFonts w:hint="eastAsia" w:ascii="黑体" w:hAnsi="黑体" w:eastAsia="黑体" w:cs="黑体"/>
          <w:b w:val="0"/>
          <w:bCs w:val="0"/>
          <w:color w:val="auto"/>
          <w:sz w:val="32"/>
          <w:szCs w:val="32"/>
        </w:rPr>
        <w:t>总体要求</w:t>
      </w:r>
    </w:p>
    <w:p>
      <w:pPr>
        <w:pStyle w:val="3"/>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方正楷体简体" w:hAnsi="方正楷体简体" w:eastAsia="方正楷体简体" w:cs="方正楷体简体"/>
          <w:b w:val="0"/>
          <w:color w:val="auto"/>
        </w:rPr>
      </w:pPr>
      <w:bookmarkStart w:id="9" w:name="_Toc18911667"/>
      <w:r>
        <w:rPr>
          <w:rFonts w:hint="eastAsia" w:ascii="方正楷体简体" w:hAnsi="方正楷体简体" w:eastAsia="方正楷体简体" w:cs="方正楷体简体"/>
          <w:b w:val="0"/>
          <w:color w:val="auto"/>
        </w:rPr>
        <w:t>（一）指导思想</w:t>
      </w:r>
      <w:bookmarkEnd w:id="9"/>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以习近平新时代中国特色社会主义思想为指导，全面贯彻党的十九大和十九届二中、三中全会精神，紧紧围绕统筹推进“五位一体”总体布局和协调推进“四个全面”战略布局，坚持稳中求进工作总基调，牢固树立新发展理念，落实高质量发展要求，坚持农业农村优先发展，按照产业兴旺、生态宜居、乡风文明、治理有效、生活富裕的总要求，着力发挥信息技术创新的扩散效应、信息和知识的溢出效应、数字技术释放的普惠效应，加快推进农业农村现代化；着力发挥信息化在推进乡村治理体系和治理能力现代化中的基础支撑作用，繁荣发展乡村网络文化，构建乡村数字治理新体系；着力弥合城乡“数字鸿沟”，培育信息时代新农民，走中国特色社会主义乡村振兴道路，让农业成为有奔头的产业，让农民成为有吸引力的职业，让农村成为安居乐业的美丽家园。</w:t>
      </w:r>
    </w:p>
    <w:p>
      <w:pPr>
        <w:pStyle w:val="3"/>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方正楷体简体" w:hAnsi="方正楷体简体" w:eastAsia="方正楷体简体" w:cs="方正楷体简体"/>
          <w:b w:val="0"/>
          <w:color w:val="auto"/>
        </w:rPr>
      </w:pPr>
      <w:bookmarkStart w:id="10" w:name="_Toc18911668"/>
      <w:r>
        <w:rPr>
          <w:rFonts w:hint="eastAsia" w:ascii="方正楷体简体" w:hAnsi="方正楷体简体" w:eastAsia="方正楷体简体" w:cs="方正楷体简体"/>
          <w:b w:val="0"/>
          <w:color w:val="auto"/>
        </w:rPr>
        <w:t>（二）基本原则</w:t>
      </w:r>
      <w:bookmarkEnd w:id="10"/>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坚持党的领导，全面加强党对农村工作的领导，把数字乡村摆在建设数字五华的重要位置，加强统筹协调、顶层设计、总体布局、整体推进和督促落实。坚持全面振兴，遵循乡村发展规律和信息化发展规律，统筹推进农村经济、政治、文化、社会、生态文明和党的建设等各领域信息化建设，助力乡村全面振兴。坚持城乡融合，创新城乡信息化融合发展体制机制，引导城市网络、信息、技术和人才等资源向乡村流动，促进城乡要素合理配置。坚持改革创新，深化农村改革，充分发挥网络、数据、技术和知识等新要素的作用，激活主体、激活要素、激活市场，不断催生乡村发展内生动力。坚持安全发展，处理好安全和发展的关系，以安全保发展，以发展促安全，积极防范、主动化解风险，确保数字乡村健康可持续发展。坚持以人民为中心，建立与乡村人口知识结构相匹配的数字乡村发展模式，着力解决农民最关心最直接最现实的利益问题，不断提升农民的获得感、幸福感、安全感。</w:t>
      </w:r>
    </w:p>
    <w:p>
      <w:pPr>
        <w:pStyle w:val="3"/>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方正楷体简体" w:hAnsi="方正楷体简体" w:eastAsia="方正楷体简体" w:cs="方正楷体简体"/>
          <w:b w:val="0"/>
          <w:color w:val="auto"/>
        </w:rPr>
      </w:pPr>
      <w:bookmarkStart w:id="11" w:name="_Toc18911669"/>
      <w:r>
        <w:rPr>
          <w:rFonts w:hint="eastAsia" w:ascii="方正楷体简体" w:hAnsi="方正楷体简体" w:eastAsia="方正楷体简体" w:cs="方正楷体简体"/>
          <w:b w:val="0"/>
          <w:color w:val="auto"/>
        </w:rPr>
        <w:t>（三）战略目标</w:t>
      </w:r>
      <w:bookmarkEnd w:id="11"/>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到2020年，数字乡村建设取得初步进展。全县农村互联网普及率明显提升。农村数字经济快速发展，建成特色乡村文化数字资源库，“互联网+政务服务”加快向乡村延伸。电子商务进农村综合示范工作和网络扶贫行动向纵深发展，信息化在美丽宜居乡村建设中的作用更加显著。</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到2022年，数字乡村建设取得重要进展。乡村5G创新应用，城乡“数字鸿沟”明显缩小。初步建成一批兼具创业孵化、技术创新、技能培训等功能于一体的新农民新技术创业创新中心，培育形成一批叫得响、质量优、特色显的农村电商产品品牌，基本形成乡村智慧物流配送体系。乡村网络文化繁荣发展，乡村数字治理体系日趋完善。</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到2024年，数字乡村建设取得长足进展。城乡“数字鸿沟”大幅缩小，农民数字化素养显著提升。农业农村现代化、城乡基本公共服务均等化、乡村治理体系和治理能力现代化在更高起点上实现更高水平发展，生态宜居的美丽乡村基本实现。建成具有五华特色的数字乡村，助力乡村全面振兴，实现农业强、农村美、农民富。</w:t>
      </w:r>
    </w:p>
    <w:p>
      <w:pPr>
        <w:pStyle w:val="2"/>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黑体" w:hAnsi="黑体" w:eastAsia="黑体" w:cs="黑体"/>
          <w:b w:val="0"/>
          <w:bCs w:val="0"/>
          <w:color w:val="auto"/>
          <w:sz w:val="32"/>
          <w:szCs w:val="32"/>
        </w:rPr>
      </w:pPr>
      <w:bookmarkStart w:id="12" w:name="_Toc18911670"/>
      <w:r>
        <w:rPr>
          <w:rFonts w:hint="eastAsia" w:ascii="黑体" w:hAnsi="黑体" w:eastAsia="黑体" w:cs="黑体"/>
          <w:b w:val="0"/>
          <w:bCs w:val="0"/>
          <w:color w:val="auto"/>
          <w:sz w:val="32"/>
          <w:szCs w:val="32"/>
        </w:rPr>
        <w:t>三、重点任务</w:t>
      </w:r>
      <w:bookmarkEnd w:id="12"/>
    </w:p>
    <w:p>
      <w:pPr>
        <w:pStyle w:val="3"/>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方正楷体简体" w:hAnsi="方正楷体简体" w:eastAsia="方正楷体简体" w:cs="方正楷体简体"/>
          <w:b w:val="0"/>
          <w:color w:val="auto"/>
        </w:rPr>
      </w:pPr>
      <w:bookmarkStart w:id="13" w:name="_Toc18911671"/>
      <w:r>
        <w:rPr>
          <w:rFonts w:hint="eastAsia" w:ascii="方正楷体简体" w:hAnsi="方正楷体简体" w:eastAsia="方正楷体简体" w:cs="方正楷体简体"/>
          <w:b w:val="0"/>
          <w:color w:val="auto"/>
        </w:rPr>
        <w:t>（一）实施信息网络基础设施和保障体系强化工程，突出5G网络试点应用</w:t>
      </w:r>
      <w:bookmarkEnd w:id="13"/>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b/>
          <w:bCs/>
          <w:color w:val="auto"/>
          <w:sz w:val="32"/>
          <w:szCs w:val="32"/>
        </w:rPr>
      </w:pPr>
      <w:r>
        <w:rPr>
          <w:rFonts w:hint="eastAsia" w:ascii="Times New Roman" w:hAnsi="Times New Roman" w:eastAsia="方正仿宋简体" w:cs="Times New Roman"/>
          <w:b/>
          <w:bCs/>
          <w:color w:val="auto"/>
          <w:sz w:val="32"/>
          <w:szCs w:val="32"/>
        </w:rPr>
        <w:t>提升乡村网络基础设施建设水平。</w:t>
      </w:r>
      <w:r>
        <w:rPr>
          <w:rFonts w:hint="eastAsia" w:ascii="Times New Roman" w:hAnsi="Times New Roman" w:eastAsia="方正仿宋简体" w:cs="Times New Roman"/>
          <w:color w:val="auto"/>
          <w:sz w:val="32"/>
          <w:szCs w:val="32"/>
        </w:rPr>
        <w:t>合理规划现有乡村网络路由，保障骨干线路节点带宽，保证5G应用骨干线路畅通，逐步建设冗余设备和线路。探索四网合一建设方案，集中规划乡村网络接入。突出5G在低时延、高可靠、高密度传输的优势，结合五华县实际使用需求，在“奥体中心”、五华县第三人民医院等多个场景进行试点应用。</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加快乡村基础设施数字化转型。</w:t>
      </w:r>
      <w:r>
        <w:rPr>
          <w:rFonts w:hint="eastAsia" w:ascii="Times New Roman" w:hAnsi="Times New Roman" w:eastAsia="方正仿宋简体" w:cs="Times New Roman"/>
          <w:color w:val="auto"/>
          <w:sz w:val="32"/>
          <w:szCs w:val="32"/>
        </w:rPr>
        <w:t>调研当前国垂系统、省垂系统、运营商溯源系统中数据前端采集方式和手段，加快推广信息化采集替代人工采集，充分利用5G技术，推动农村地区水利、公路、电力、冷链物流、农业生产加工等基础设施的数字化、智能化转型，推进智慧水利、智慧交通、智能电网、智慧农业、智慧物流的5G应用建设，为全县大数据分析提供实时、准确的数据支撑。</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实施信息进村入户工程。</w:t>
      </w:r>
      <w:r>
        <w:rPr>
          <w:rFonts w:hint="eastAsia" w:ascii="Times New Roman" w:hAnsi="Times New Roman" w:eastAsia="方正仿宋简体" w:cs="Times New Roman"/>
          <w:bCs/>
          <w:color w:val="auto"/>
          <w:sz w:val="32"/>
          <w:szCs w:val="32"/>
        </w:rPr>
        <w:t>全面推广乡村信息化应用服务</w:t>
      </w:r>
      <w:r>
        <w:rPr>
          <w:rFonts w:hint="eastAsia" w:ascii="Times New Roman" w:hAnsi="Times New Roman" w:eastAsia="方正仿宋简体" w:cs="Times New Roman"/>
          <w:b/>
          <w:bCs/>
          <w:color w:val="auto"/>
          <w:sz w:val="32"/>
          <w:szCs w:val="32"/>
        </w:rPr>
        <w:t>，</w:t>
      </w:r>
      <w:r>
        <w:rPr>
          <w:rFonts w:hint="eastAsia" w:ascii="Times New Roman" w:hAnsi="Times New Roman" w:eastAsia="方正仿宋简体" w:cs="Times New Roman"/>
          <w:color w:val="auto"/>
          <w:sz w:val="32"/>
          <w:szCs w:val="32"/>
        </w:rPr>
        <w:t>充分调研具体信息化需求，合理开发具有“三农”特点的信息终端、技术产品、移动互联网APP等，关注乡村特色个性化信息需求，完善面向农村的增值信息服务，重点开发老年人、青少年学习成本较低的智能化应用，将各类APP进行整合，构建为农综合服务平台。合理统筹全县信息化建设投入资金，集中考虑整体投入，分期分批集成实施，注意把控分期、分批执行质量和效率。</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完善配套体系建设。</w:t>
      </w:r>
      <w:r>
        <w:rPr>
          <w:rFonts w:hint="eastAsia" w:ascii="Times New Roman" w:hAnsi="Times New Roman" w:eastAsia="方正仿宋简体" w:cs="Times New Roman"/>
          <w:bCs/>
          <w:color w:val="auto"/>
          <w:sz w:val="32"/>
          <w:szCs w:val="32"/>
        </w:rPr>
        <w:t>协助运营商、铁塔公司推进5G基站架设工作，推广5G覆盖。</w:t>
      </w:r>
      <w:r>
        <w:rPr>
          <w:rFonts w:hint="eastAsia" w:ascii="Times New Roman" w:hAnsi="Times New Roman" w:eastAsia="方正仿宋简体" w:cs="Times New Roman"/>
          <w:color w:val="auto"/>
          <w:sz w:val="32"/>
          <w:szCs w:val="32"/>
        </w:rPr>
        <w:t>强化网络安全治理，在乡村基础设施建设中做好网络安全工作，依法打击破坏电信基础设施、生产销售使用“伪基站”设备和电信网络诈骗等违法犯罪行为，建设信息化设备巡检队伍和机制，建立安全保障机制，通过互联网安全检测平台提高网络安全防护能力，提高互联网络故障修复能力，保障乡村网络通畅。完善村级信息员学习培训、考核机制，建立集学习、培训、考核为一体的在线学习平台，定期对信息员进行考核，评定等级，提高信息化推广效率与质量。</w:t>
      </w:r>
    </w:p>
    <w:p>
      <w:pPr>
        <w:pStyle w:val="3"/>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方正楷体简体" w:hAnsi="方正楷体简体" w:eastAsia="方正楷体简体" w:cs="方正楷体简体"/>
          <w:b w:val="0"/>
          <w:color w:val="auto"/>
        </w:rPr>
      </w:pPr>
      <w:bookmarkStart w:id="14" w:name="_Toc18911672"/>
      <w:r>
        <w:rPr>
          <w:rFonts w:hint="eastAsia" w:ascii="方正楷体简体" w:hAnsi="方正楷体简体" w:eastAsia="方正楷体简体" w:cs="方正楷体简体"/>
          <w:b w:val="0"/>
          <w:color w:val="auto"/>
        </w:rPr>
        <w:t>（二）实施农业数字经济培育工程，促进农村数字经济发展</w:t>
      </w:r>
      <w:bookmarkEnd w:id="14"/>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夯实数字农业基础。</w:t>
      </w:r>
      <w:r>
        <w:rPr>
          <w:rFonts w:hint="eastAsia" w:ascii="Times New Roman" w:hAnsi="Times New Roman" w:eastAsia="方正仿宋简体" w:cs="Times New Roman"/>
          <w:color w:val="auto"/>
          <w:sz w:val="32"/>
          <w:szCs w:val="32"/>
        </w:rPr>
        <w:t>在“数字五华地理空间框架建设项目”基础上，汇总多个部门信息，以“粤政图”为底图，导入前期地理空间框架坐标数据和县自然资源局相关资源，将各类专项规划关于空间资源的安排叠加到统一的“五华一张图”呈现平台上，形成全县“一张底图”和“一个平台”，开发拓展应用，将县大数据中心数据八类专题数据仓库进行分类展示。引进高校、企业合作，将北斗卫星导航、高分辨对地观察等技术应用到农业中。推进县大数据中心数字经济专题、农业种植专题数据仓库建设，规划专题数据采集内容，建立农业数据推演系统，提高农业数据推演能力。</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推进农业数字化转型。</w:t>
      </w:r>
      <w:r>
        <w:rPr>
          <w:rFonts w:hint="eastAsia" w:ascii="Times New Roman" w:hAnsi="Times New Roman" w:eastAsia="方正仿宋简体" w:cs="Times New Roman"/>
          <w:color w:val="auto"/>
          <w:sz w:val="32"/>
          <w:szCs w:val="32"/>
        </w:rPr>
        <w:t>加快推广云计算、大数据、物联网、人工智能在农业生产经营管理中的运用。以汉光超顺作为试点，实现现有农业管理系统数据对接、传感器系统采集和爬虫数据填补等多种手段结合的农业数据采集方式，丰富采集数据内容；以中农批为试点，将现有溯源数据与农产品交易数据对接，建立“农产品价格预测与竞价系统”，实现农产品价格监控与预测，依托宏观层面和微观层面的农业大数据分析，逐步实现精细管理、精益生产、精准营销、精确规划，进一步优化产业供应链和资源配置效率。促进新一代信息技术与种植业、农产品加工业全面深度融合应用，打造建立茶叶、果蔬现代化农业产业园，推广精准化农业作业，逐步实现科技农业、智慧农业、品牌农业。</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以信息节点建设完善农村流通体系。</w:t>
      </w:r>
      <w:r>
        <w:rPr>
          <w:rFonts w:hint="eastAsia" w:ascii="Times New Roman" w:hAnsi="Times New Roman" w:eastAsia="方正仿宋简体" w:cs="Times New Roman"/>
          <w:color w:val="auto"/>
          <w:sz w:val="32"/>
          <w:szCs w:val="32"/>
        </w:rPr>
        <w:t>在现有县镇村三级物流体系的基础上，完善三级网络仓配中心、分拨中心、快递中心的节点建设，加快县级快递物流分拨中心建设，以农村菜市场、城镇集贸中心、传统集市的升级改造，建设镇级物流配送中心，完善村级物流配送服务网点，重点围绕中农批、汉光超顺等多个关键流通节点，建立产业链上下游加工、包装、冷链、仓储等信息设施建设，完善流通体系扩展功能。彻底打通农村物流“最后一公里”，打通农村物流双向流通渠道。</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加强农业数字经济培育。</w:t>
      </w:r>
      <w:r>
        <w:rPr>
          <w:rFonts w:hint="eastAsia" w:ascii="Times New Roman" w:hAnsi="Times New Roman" w:eastAsia="方正仿宋简体" w:cs="Times New Roman"/>
          <w:color w:val="auto"/>
          <w:sz w:val="32"/>
          <w:szCs w:val="32"/>
        </w:rPr>
        <w:t>深化电子商务进农村综合示范，依托农村电子商务实现联合多元化创新，培育本地电商企业，带动IT、营销、物流、设计等周边行业发展。建设贯通全产业链的订单农业、农产品期货、大宗农产品电子交易等交易形式，建立农产品智能供应链。引入具备技术研发能力和方案解决服务能力的电商企业，设计基于电子商务进农村战略框架下的平台化运营模式，推广众筹农业、直播农业等新型农村电商销售模式，指导农民通过电商平台、朋友圈、短视频平台等推广绿色农户产品。扎实推进农电商，刺激电商上下行，推广面向农村的博览节、电商节、购物节等活动。推进各类电商实体店建设，建立线上线下对接桥梁，促进线上线下渠道融合发展，拓宽上行渠道，推进农户产品对外输出。推进质量强县建设，创建一批富有五华特色的驰名商标、地理标志产品。</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积极发展乡村新业态。</w:t>
      </w:r>
      <w:r>
        <w:rPr>
          <w:rFonts w:hint="eastAsia" w:ascii="Times New Roman" w:hAnsi="Times New Roman" w:eastAsia="方正仿宋简体" w:cs="Times New Roman"/>
          <w:color w:val="auto"/>
          <w:sz w:val="32"/>
          <w:szCs w:val="32"/>
        </w:rPr>
        <w:t>推动互联网与特色农业深度融合，打造集蔬菜种植、旅游观光、体验农事、了解客家民俗于一体的现代化农业产业园，带领农民发展创意农业、认养农业、观光农业、体验农业、都市农业等新业态，建立农业公园、观光农园、教育农园等新模式，促进游憩休闲、健康养生、创意民宿等新产业发展，规范有序发展乡村共享经济。</w:t>
      </w:r>
    </w:p>
    <w:p>
      <w:pPr>
        <w:pStyle w:val="3"/>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方正楷体简体" w:hAnsi="方正楷体简体" w:eastAsia="方正楷体简体" w:cs="方正楷体简体"/>
          <w:b w:val="0"/>
          <w:color w:val="auto"/>
        </w:rPr>
      </w:pPr>
      <w:bookmarkStart w:id="15" w:name="_Toc18911673"/>
      <w:r>
        <w:rPr>
          <w:rFonts w:hint="eastAsia" w:ascii="方正楷体简体" w:hAnsi="方正楷体简体" w:eastAsia="方正楷体简体" w:cs="方正楷体简体"/>
          <w:b w:val="0"/>
          <w:color w:val="auto"/>
        </w:rPr>
        <w:t>（三）实施多元农科平台打造工程，丰富农业农村科技创新供给</w:t>
      </w:r>
      <w:bookmarkEnd w:id="15"/>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建立农科生产信息化平台。</w:t>
      </w:r>
      <w:r>
        <w:rPr>
          <w:rFonts w:hint="eastAsia" w:ascii="Times New Roman" w:hAnsi="Times New Roman" w:eastAsia="方正仿宋简体" w:cs="Times New Roman"/>
          <w:color w:val="auto"/>
          <w:sz w:val="32"/>
          <w:szCs w:val="32"/>
        </w:rPr>
        <w:t>鼓励运营商依托五华龙头企业，重点发展农业物联网、工业互联网，建立柔性化、智能化和高度集成化的制造自动化“5G+应用标杆”项目。鼓励引进、创立产业链上下游科技公司，提高五华农业、工业生产技术含量，填补产业链技术空白，注重引进生态型和科技型产业，发展无污染、小空间、高科技、资源型的绿色工业之路。逐步引进智能化农业装备生产企业，以合作形式研制推广农业智能装备，提升五华农业装备智能化水平，推动信息化与农业装备、农机作业服务和农机管理融合应用。</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建立农科产学研对接平台。</w:t>
      </w:r>
      <w:r>
        <w:rPr>
          <w:rFonts w:hint="eastAsia" w:ascii="Times New Roman" w:hAnsi="Times New Roman" w:eastAsia="方正仿宋简体" w:cs="Times New Roman"/>
          <w:color w:val="auto"/>
          <w:sz w:val="32"/>
          <w:szCs w:val="32"/>
        </w:rPr>
        <w:t>面向大专院校、研究机构建立长效合作对接机制，建立产学研、技术引进等机制，积极引入科技成果，建立多元化的农业科技成果转化网络服务体系；建设农业技术在线交易市场，鼓励科研人员参与科技成果产业化，针对现代工业、农业发展需求开展技术、应用攻关和优质高效农业种植示范。完善农业科技信息服务平台，鼓励技术专家在线为农民解决农业生产难题，形成产、学、研、用、种协调联动发展。吸纳各行业专家，建设“五华智库”，为五华企业转型的方向、目标、路径和方法提供决策建议，建立相关政策机制，确保将先进技术实际引到五华本地。充分利用对接平台，协助企业争取奖补资金。</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建立农科数据挖掘平台。</w:t>
      </w:r>
      <w:r>
        <w:rPr>
          <w:rFonts w:hint="eastAsia" w:ascii="Times New Roman" w:hAnsi="Times New Roman" w:eastAsia="方正仿宋简体" w:cs="Times New Roman"/>
          <w:color w:val="auto"/>
          <w:sz w:val="32"/>
          <w:szCs w:val="32"/>
        </w:rPr>
        <w:t>充分利用县大数据中心数字经济专题和农业种植专题数据仓库，引入大专院校、科研院所，通过数据模拟和验证，实现科学假设和科学推理的模态还原与仿真测试，构建集知识更新、技术创新、数据驱动于一体的农科数据挖掘平台，推动农科大数据应用，提高市场的预见性，辅助农业生产决策，实现农产品精准营销。</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b/>
          <w:bCs/>
          <w:color w:val="auto"/>
          <w:sz w:val="32"/>
          <w:szCs w:val="32"/>
        </w:rPr>
      </w:pPr>
      <w:r>
        <w:rPr>
          <w:rFonts w:hint="eastAsia" w:ascii="Times New Roman" w:hAnsi="Times New Roman" w:eastAsia="方正仿宋简体" w:cs="Times New Roman"/>
          <w:b/>
          <w:bCs/>
          <w:color w:val="auto"/>
          <w:sz w:val="32"/>
          <w:szCs w:val="32"/>
        </w:rPr>
        <w:t>建立农科创业创新平台。</w:t>
      </w:r>
      <w:r>
        <w:rPr>
          <w:rFonts w:hint="eastAsia" w:ascii="Times New Roman" w:hAnsi="Times New Roman" w:eastAsia="方正仿宋简体" w:cs="Times New Roman"/>
          <w:color w:val="auto"/>
          <w:sz w:val="32"/>
          <w:szCs w:val="32"/>
        </w:rPr>
        <w:t>充分利用信息化，建立新农民新技术创业创新中心，建立远程异地农业科技创新联盟，实现各创新主体互动、创新资源组织和创新成果转化等方式的网络化、信息化和快捷化，促进形成更开放、更灵活、更快速、更贴近五华企业的融合创新、系统创新、大众创新、微创新模式。</w:t>
      </w:r>
    </w:p>
    <w:p>
      <w:pPr>
        <w:pStyle w:val="3"/>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方正楷体简体" w:hAnsi="方正楷体简体" w:eastAsia="方正楷体简体" w:cs="方正楷体简体"/>
          <w:b w:val="0"/>
          <w:color w:val="auto"/>
        </w:rPr>
      </w:pPr>
      <w:bookmarkStart w:id="16" w:name="_Toc18911674"/>
      <w:r>
        <w:rPr>
          <w:rFonts w:hint="eastAsia" w:ascii="方正楷体简体" w:hAnsi="方正楷体简体" w:eastAsia="方正楷体简体" w:cs="方正楷体简体"/>
          <w:b w:val="0"/>
          <w:color w:val="auto"/>
        </w:rPr>
        <w:t>（四）实施智慧绿色乡村建设工程，引导乡村绿色生产生活</w:t>
      </w:r>
      <w:bookmarkEnd w:id="16"/>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kern w:val="2"/>
          <w:sz w:val="32"/>
          <w:szCs w:val="32"/>
        </w:rPr>
      </w:pPr>
      <w:r>
        <w:rPr>
          <w:rFonts w:hint="eastAsia" w:ascii="Times New Roman" w:hAnsi="Times New Roman" w:eastAsia="方正仿宋简体" w:cs="Times New Roman"/>
          <w:b/>
          <w:bCs/>
          <w:color w:val="auto"/>
          <w:sz w:val="32"/>
          <w:szCs w:val="32"/>
        </w:rPr>
        <w:t>推动农业绿色生产。</w:t>
      </w:r>
      <w:r>
        <w:rPr>
          <w:rFonts w:hint="eastAsia" w:ascii="Times New Roman" w:hAnsi="Times New Roman" w:eastAsia="方正仿宋简体" w:cs="Times New Roman"/>
          <w:color w:val="auto"/>
          <w:kern w:val="2"/>
          <w:sz w:val="32"/>
          <w:szCs w:val="32"/>
        </w:rPr>
        <w:t>建立基于精细种植的农业物联网应用实验基地，</w:t>
      </w:r>
      <w:r>
        <w:rPr>
          <w:rFonts w:hint="eastAsia" w:ascii="Times New Roman" w:hAnsi="Times New Roman" w:eastAsia="方正仿宋简体" w:cs="Times New Roman"/>
          <w:color w:val="auto"/>
        </w:rPr>
        <w:t>加大</w:t>
      </w:r>
      <w:r>
        <w:rPr>
          <w:rFonts w:hint="eastAsia" w:ascii="Times New Roman" w:hAnsi="Times New Roman" w:eastAsia="方正仿宋简体" w:cs="Times New Roman"/>
          <w:color w:val="auto"/>
          <w:kern w:val="2"/>
          <w:sz w:val="32"/>
          <w:szCs w:val="32"/>
        </w:rPr>
        <w:t>农业种植过程的传感器设备投入，全面推广各类环境监测、个体感知的物联网设备，建立智能终端报送网络，减少人工录入数据环节，提高采样信息报送效率，将种植过程数据、土地墒情数据、气候数据与溯源监控体系打通，提高数据实时性、准确性和关联性，集成农业滴灌设备，减少化肥农药使用，促进农田节水，集成推广应用农业绿色发展技术，探索建立农业绿色生产长效机制。</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推进乡村管理服务智慧化。</w:t>
      </w:r>
      <w:r>
        <w:rPr>
          <w:rFonts w:hint="eastAsia" w:ascii="Times New Roman" w:hAnsi="Times New Roman" w:eastAsia="方正仿宋简体" w:cs="Times New Roman"/>
          <w:color w:val="auto"/>
          <w:sz w:val="32"/>
          <w:szCs w:val="32"/>
        </w:rPr>
        <w:t>加强物联网、传感网、云计算、大数据等信息技术在城镇运行管理和服务中的应用。推进智能楼宇、智能家居、智能安防以及社区管理综合服务平台建设、推进人口、计生、水电气、气象、物业管理等社区服务的智能化应用，推进在线办理、居家养老、家庭病床、应急救助等智慧化便民服务，提高社区精细化管理和智能化服务水平，建设智慧城镇运营平台，开展智慧城镇大数据应用、推动城镇创新发展。</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提升乡村生态保护信息化水平。</w:t>
      </w:r>
      <w:r>
        <w:rPr>
          <w:rFonts w:hint="eastAsia" w:ascii="Times New Roman" w:hAnsi="Times New Roman" w:eastAsia="方正仿宋简体" w:cs="Times New Roman"/>
          <w:color w:val="auto"/>
          <w:sz w:val="32"/>
          <w:szCs w:val="32"/>
        </w:rPr>
        <w:t>依托县大数据中心生态保护专题建设，汇聚县自然资源局、县农业农村局、县林业局、县水务局的山水林田湖草系统治理数据，建立农村生态系统监测系统，强化农田土壤生态环境监测与保护。引入大专院校、科研院所和专业企业的先进技术，进行卫星遥感技术、无人机、高清远程视频监控系统，对农村生态系统脆弱区和敏感区实施监测项目研究，利用监控数据实现应急救灾预警，全面提升美丽乡村建设水平。</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倡导乡村绿色生活方式。</w:t>
      </w:r>
      <w:r>
        <w:rPr>
          <w:rFonts w:hint="eastAsia" w:ascii="Times New Roman" w:hAnsi="Times New Roman" w:eastAsia="方正仿宋简体" w:cs="Times New Roman"/>
          <w:color w:val="auto"/>
          <w:sz w:val="32"/>
          <w:szCs w:val="32"/>
        </w:rPr>
        <w:t>依托县大数据中心城市规划专题建设，汇集县环保局、县水务局、县住建局、县应急管理局的各类监控数据、河道数据和污染源、垃圾填埋、危化品定位数据，集成中国移动实时热力图数据。建设生态环境综合监测系统、农村人居环境综合监测系统，强化农村饮用水水源水质监测与保护，实现对农村污染物、污染源多角度、全时、全程监控。通过系统公布监控数据，引导公众积极参与农村环境网络监督，共同维护绿色生活环境。</w:t>
      </w:r>
    </w:p>
    <w:p>
      <w:pPr>
        <w:pStyle w:val="3"/>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方正楷体简体" w:hAnsi="方正楷体简体" w:eastAsia="方正楷体简体" w:cs="方正楷体简体"/>
          <w:b w:val="0"/>
          <w:color w:val="auto"/>
        </w:rPr>
      </w:pPr>
      <w:bookmarkStart w:id="17" w:name="_Toc18911675"/>
      <w:r>
        <w:rPr>
          <w:rFonts w:hint="eastAsia" w:ascii="方正楷体简体" w:hAnsi="方正楷体简体" w:eastAsia="方正楷体简体" w:cs="方正楷体简体"/>
          <w:b w:val="0"/>
          <w:color w:val="auto"/>
        </w:rPr>
        <w:t>（五）实施乡村网络文化</w:t>
      </w:r>
      <w:bookmarkEnd w:id="17"/>
      <w:r>
        <w:rPr>
          <w:rFonts w:hint="eastAsia" w:ascii="方正楷体简体" w:hAnsi="方正楷体简体" w:eastAsia="方正楷体简体" w:cs="方正楷体简体"/>
          <w:b w:val="0"/>
          <w:color w:val="auto"/>
        </w:rPr>
        <w:t>建设工程，促进乡村民俗民风文化内容产出</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加强农村网络文化阵地建设。</w:t>
      </w:r>
      <w:r>
        <w:rPr>
          <w:rFonts w:hint="eastAsia" w:ascii="Times New Roman" w:hAnsi="Times New Roman" w:eastAsia="方正仿宋简体" w:cs="Times New Roman"/>
          <w:color w:val="auto"/>
          <w:sz w:val="32"/>
          <w:szCs w:val="32"/>
        </w:rPr>
        <w:t>利用互联网宣传中国特色社会主义文化和社会主义思想道德，推进新时代文明实践中心建设，将原“五华县惠民服务平台”转型为“五华融媒体APP”，围绕培育文明乡风、良好家风、淳朴民风，统筹城乡互动，宣传思想政策，传递文明风尚，打通宣传群众、教育群众、关心群众、服务群众的“最后一公里”，打造融思想引领、道德教化、文化传承等多种功能于一体的基层综合平台，建设“传播思想、实践文明、成就梦想”的百姓之家，建设互联网助推乡村文化振兴建设示范基地。建立“五华县融媒体中心”，建设面向专家和文化人的“融媒体产业园”孵化器，引入专业人才，进行专业化运营。</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color w:val="auto"/>
          <w:sz w:val="32"/>
          <w:szCs w:val="32"/>
        </w:rPr>
        <w:t>推进乡村优秀文化资源数字化</w:t>
      </w:r>
      <w:r>
        <w:rPr>
          <w:rFonts w:hint="eastAsia" w:ascii="Times New Roman" w:hAnsi="Times New Roman" w:eastAsia="方正仿宋简体" w:cs="Times New Roman"/>
          <w:color w:val="auto"/>
          <w:sz w:val="32"/>
          <w:szCs w:val="32"/>
        </w:rPr>
        <w:t>。依托县大数据中心旅游专题建设，建立小程序、APP等数据采集接口，推动全民建设，结合“粤菜（客家菜）师傅”工程，运用互联网宣传家乡、宣传美景、宣传美食、宣传特产，为旅游大数据产出具体数据。从流量运营的角度建立五华历史文化名镇、名村和传统村落的民俗民风数字资源，将数据整合建设成“五华传统民俗民风数字博物馆”，加强农村优秀传统文化的保护与传承，建成特色乡村文化数字资源库。以“互联网+中华文明”行动计划为抓手，推进文物数字资源进乡村。开展重要农业文化遗产网络展览，大力宣传中华优秀农耕文化。</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加强乡村文化内容产出。</w:t>
      </w:r>
      <w:r>
        <w:rPr>
          <w:rFonts w:hint="eastAsia" w:ascii="Times New Roman" w:hAnsi="Times New Roman" w:eastAsia="方正仿宋简体" w:cs="Times New Roman"/>
          <w:color w:val="auto"/>
          <w:sz w:val="32"/>
          <w:szCs w:val="32"/>
        </w:rPr>
        <w:t>建设有辨识度、有传播度的五华特色“三农”主题IP，讲述五华好故事、传播五华好声音、树立五华好形象、传递五华正能量；利用五华足球资源，发展“足球+”相关内容产出；利用红色资源，建立智慧党建资源。加强网络巡查监督，遏制封建迷信、攀比等低俗消极文化的网络传播，针对五华人口现状，做好青少年防沉迷和老年人防非法宗教的相关宣传，对农民进行互联网诈骗等知识的普及和网络安全应急处置方面的培训，切实提高农民网络安全防范意识和处理此类事件的能力，筛选有利信息，屏蔽不利信息，安全上网。</w:t>
      </w:r>
    </w:p>
    <w:p>
      <w:pPr>
        <w:pStyle w:val="3"/>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方正楷体简体" w:hAnsi="方正楷体简体" w:eastAsia="方正楷体简体" w:cs="方正楷体简体"/>
          <w:b w:val="0"/>
          <w:color w:val="auto"/>
        </w:rPr>
      </w:pPr>
      <w:bookmarkStart w:id="18" w:name="_Toc18911676"/>
      <w:r>
        <w:rPr>
          <w:rFonts w:hint="eastAsia" w:ascii="方正楷体简体" w:hAnsi="方正楷体简体" w:eastAsia="方正楷体简体" w:cs="方正楷体简体"/>
          <w:b w:val="0"/>
          <w:color w:val="auto"/>
        </w:rPr>
        <w:t>（六）实施政务大数据发展推进工程，实现乡村治理能力现代化</w:t>
      </w:r>
      <w:bookmarkEnd w:id="18"/>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推动“互联网+党建”。</w:t>
      </w:r>
      <w:r>
        <w:rPr>
          <w:rFonts w:hint="eastAsia" w:ascii="Times New Roman" w:hAnsi="Times New Roman" w:eastAsia="方正仿宋简体" w:cs="Times New Roman"/>
          <w:color w:val="auto"/>
          <w:sz w:val="32"/>
          <w:szCs w:val="32"/>
        </w:rPr>
        <w:t>建立政务治理模式创新改革应用，建立与政务OA系统联动的“政务事件追踪系统”，提出“文件串联事件”、“自上而下、自下而上”、“看到基层做事、听到群众声音”的新管理模式，推动党务、村务、财务网上公开，畅通社情民意，使“互联网+政务服务”加快向乡村延伸。依托“五华融媒体APP”，建设完善农村基层党建信息平台，优化升级全县党员干部现代远程教育，推广网络党课教育。推动政务公开，推动政府由传统管理方式向公开透明、精简高效的现代化治理方式转变，为社会公众行使知情权、参与权、表达权、监督权开辟新渠道。注重舆情建设，利用舆情监控系统，建立舆情热力图，监控群众在互联网上的舆论宣传、诉求表达、组织动员，通过互联网组织群众、宣传群众、引导群众、服务群众，让广大农民有更多获得感、幸福感、安全感。</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提升乡村治理能力。</w:t>
      </w:r>
      <w:r>
        <w:rPr>
          <w:rFonts w:hint="eastAsia" w:ascii="Times New Roman" w:hAnsi="Times New Roman" w:eastAsia="方正仿宋简体" w:cs="Times New Roman"/>
          <w:color w:val="auto"/>
          <w:sz w:val="32"/>
          <w:szCs w:val="32"/>
        </w:rPr>
        <w:t>拓宽各管理部门信息化治理思路，提高部门领导信息化管理意识，思考部门信息化治理改革方向，提高部门信息化应用程度，提高农村社会综合治理精细化、现代化水平，充分利用小资金，建设小应用，实现有效管理。推进“互联网+社区”模式，提高乡村政务应用类型，提高村级综合服务信息化水平，大力推动乡村建设和规划管理信息化。推进村委会规范化建设，开展在线组织帮扶，充分对接基层人民，感知群众情感温度，培养村民公共精神。加快推进实施农村“雪亮工程”，深化“平安乡村”建设，完成综治视联网系统建设。充分利用现有系统，加快推进“互联网+公共法律服务”，建设法治乡村，进一步完善“梅州五华普法”公众号，开通“掌上律师”功能，积极运用小程序、小游戏、抖音等开展普法，提升普法的吸引力和趣味性，智慧普法。</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提高政务服务水平。</w:t>
      </w:r>
      <w:r>
        <w:rPr>
          <w:rFonts w:hint="eastAsia" w:ascii="Times New Roman" w:hAnsi="Times New Roman" w:eastAsia="方正仿宋简体" w:cs="Times New Roman"/>
          <w:color w:val="auto"/>
          <w:sz w:val="32"/>
          <w:szCs w:val="32"/>
        </w:rPr>
        <w:t>按照“一张网、一朵云、一个号、一扇门、一支笔、一次成”的政务服务格局，坚持业务办理集中化、政务服务标准化、技术支撑专业化、业务协同数据化，加快推进政务服务“一网通办、一门服务、一次办成”，实现更多服务事项“马上办、网上办、就近办、一次办”。进一步提升“粤省事”“粤商通”移动政务服务平台服务事项的广度和深度，加大平台宣传推广力度，优化平台已上线服务事项业务流程，实现政务服务“掌上办”。</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推进信息资源整合化。</w:t>
      </w:r>
      <w:r>
        <w:rPr>
          <w:rFonts w:hint="eastAsia" w:ascii="Times New Roman" w:hAnsi="Times New Roman" w:eastAsia="方正仿宋简体" w:cs="Times New Roman"/>
          <w:color w:val="auto"/>
          <w:sz w:val="32"/>
          <w:szCs w:val="32"/>
        </w:rPr>
        <w:t>加强信息资源整合共享与利用。依托国家数据共享交换平台体系、市级数据交换共享平台，建立数据交换共享五华节点，建立“县大数据中心”，推进各部门涉农政务信息资源共享开放、有效整合。充分利用前期各部门建立的镇级、村级信息点，统筹建设，推广一站多用，避免重复建设。</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建设政务大数据。</w:t>
      </w:r>
      <w:r>
        <w:rPr>
          <w:rFonts w:hint="eastAsia" w:ascii="Times New Roman" w:hAnsi="Times New Roman" w:eastAsia="方正仿宋简体" w:cs="Times New Roman"/>
          <w:color w:val="auto"/>
          <w:sz w:val="32"/>
          <w:szCs w:val="32"/>
        </w:rPr>
        <w:t>主动适应“互联网+政务服务”、大数据发展等要求，统筹县域数据治理建设，精准发力落实各部门数据交换共享工作。从数据产出、数据聚合角度策划“县大数据中心”专题应用，建立生态保护、城市规划、教育、农业、数字经济、卫生健康、旅游、扶贫八大专题数据仓库，建立配套采集平台和采集机制。在数据仓库的基础上再促进政务流程优化、整合。逐步实现政府各部门和公共服务机构通过数据监测和数据共享，促使社会治理和公共服务走向“量化决策”和“数据治国”，推动创新型、服务型、智慧型政府建设，推进五华县治理体系和治理能力现代化。</w:t>
      </w:r>
    </w:p>
    <w:p>
      <w:pPr>
        <w:pStyle w:val="3"/>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方正楷体简体" w:hAnsi="方正楷体简体" w:eastAsia="方正楷体简体" w:cs="方正楷体简体"/>
          <w:b w:val="0"/>
          <w:color w:val="auto"/>
        </w:rPr>
      </w:pPr>
      <w:bookmarkStart w:id="19" w:name="_Toc18911677"/>
      <w:r>
        <w:rPr>
          <w:rFonts w:hint="eastAsia" w:ascii="方正楷体简体" w:hAnsi="方正楷体简体" w:eastAsia="方正楷体简体" w:cs="方正楷体简体"/>
          <w:b w:val="0"/>
          <w:color w:val="auto"/>
        </w:rPr>
        <w:t>（七）实施教育、医疗等民生信息化工程，普及信息惠民服务</w:t>
      </w:r>
      <w:bookmarkEnd w:id="19"/>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全面发展乡村教育信息化。</w:t>
      </w:r>
      <w:r>
        <w:rPr>
          <w:rFonts w:hint="eastAsia" w:ascii="Times New Roman" w:hAnsi="Times New Roman" w:eastAsia="方正仿宋简体" w:cs="Times New Roman"/>
          <w:color w:val="auto"/>
          <w:sz w:val="32"/>
          <w:szCs w:val="32"/>
        </w:rPr>
        <w:t>利用“广东省推进教育现代化先进县”的基础优势，围绕“省创建国家教师教育创新实验区”项目，与本地高校合作建立教育资源对接平台，推动城市优质资源与乡村中小学对接，充分发挥信息化优势，建立教育资源平台和教师网络学习空间，为山区学校建立“1拖N”课堂，帮助乡村学校开足开好开齐国家课程，探索解决城乡教育发展失衡、教育资源分布不均困境的方法。建立教师教育在线培训平台，扎实开展教师学历提升和培训工作。</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科学调配教育资源。</w:t>
      </w:r>
      <w:r>
        <w:rPr>
          <w:rFonts w:hint="eastAsia" w:ascii="Times New Roman" w:hAnsi="Times New Roman" w:eastAsia="方正仿宋简体" w:cs="Times New Roman"/>
          <w:color w:val="auto"/>
          <w:sz w:val="32"/>
          <w:szCs w:val="32"/>
        </w:rPr>
        <w:t>依托县大数据中心教育专题建设，建立教育资源分析决策系统，汇聚县教育局的生源数据、学籍数据、招生数据、教育装备数据、教育信息化数据和教师信息数据，利用中国移动“和教育”系统的学生、家长、教师关联关系数据，对接县市场监管局、县民政局和县社保局相关数据，进行教育资源统筹分析，包括学生入学率、出勤率、辍学率、升学率，向县教育局、学校、教师提供了解学生学习方式的更多、更好、更精确的信息，寻找提高升学率、降低辍学率的根源，科学推进中小学教师“县管校聘”管理改革工作，大力引进急需紧缺学科人才，达到科学调配、对症下药。</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推进全民健康管理。</w:t>
      </w:r>
      <w:r>
        <w:rPr>
          <w:rFonts w:hint="eastAsia" w:ascii="Times New Roman" w:hAnsi="Times New Roman" w:eastAsia="方正仿宋简体" w:cs="Times New Roman"/>
          <w:color w:val="auto"/>
          <w:sz w:val="32"/>
          <w:szCs w:val="32"/>
        </w:rPr>
        <w:t>依托县大数据中心卫生健康专题建设，建设全民健康信息综合管理系统，实现全县居民电子档案实时动态更新，联动县医保局、县社保局数据，加强指导医疗和公共卫生数据的综合运用，推进全面覆盖乡村的社会保障、社会救助系统建设，加快实现城乡居民基本医疗保险异地就医直接结算、社会保险关系网上转移接续。大力发展“互联网+医疗健康”，对接部分医院HIS系统，启动智慧医疗信息化建设及应用，方便群众随时随地了解掌握自己身体健康状况，通过智慧医疗信息化应用获得相关医疗健康知识等，将个人健康的行为模式从被动的就医问诊治疗的模式变为自主诊断治疗的模式，实现向主动强化个人预防保健和病后照护与服务发展两端进展，便利群众的健康诊断和治疗。</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深化医疗卫生体制改革。</w:t>
      </w:r>
      <w:r>
        <w:rPr>
          <w:rFonts w:hint="eastAsia" w:ascii="Times New Roman" w:hAnsi="Times New Roman" w:eastAsia="方正仿宋简体" w:cs="Times New Roman"/>
          <w:color w:val="auto"/>
          <w:sz w:val="32"/>
          <w:szCs w:val="32"/>
        </w:rPr>
        <w:t>加快医联体、分级诊疗，推进医疗信息化推动5G应用试点工作，推促县人民医院与国内知名“三甲”医院合作办医并启动“三甲”医院创建，支持乡镇和村级医疗机构提高信息化水平，引导医疗机构向农村医疗卫生机构提供远程医疗、远程教学、远程培训等服务，开展远程医疗，积极探索城乡居民医保普通门诊镇村一体化管理试点工作。推进创建“国家中医药改革试验区”工作，遴选1-2间卫生院和4-5间中医药技术开展基础好的村卫生站，重点改造，突出中医文化氛围和中医特色，建设完善中医馆健康信息平台，提升中医药服务能力。扎实开展家庭医生签约服务，开发面向孤寡老人、留守老人、留守儿童、困境儿童、残障人群的定位服务和线上紧急服务应用。</w:t>
      </w:r>
    </w:p>
    <w:p>
      <w:pPr>
        <w:pStyle w:val="3"/>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方正楷体简体" w:hAnsi="方正楷体简体" w:eastAsia="方正楷体简体" w:cs="方正楷体简体"/>
          <w:b w:val="0"/>
          <w:color w:val="auto"/>
        </w:rPr>
      </w:pPr>
      <w:bookmarkStart w:id="20" w:name="_Toc18911678"/>
      <w:bookmarkStart w:id="21" w:name="OLE_LINK56"/>
      <w:bookmarkStart w:id="22" w:name="OLE_LINK55"/>
      <w:r>
        <w:rPr>
          <w:rFonts w:hint="eastAsia" w:ascii="方正楷体简体" w:hAnsi="方正楷体简体" w:eastAsia="方正楷体简体" w:cs="方正楷体简体"/>
          <w:b w:val="0"/>
          <w:color w:val="auto"/>
        </w:rPr>
        <w:t>（八）实施农村要素资源激活工程，带动乡村振兴内生动力</w:t>
      </w:r>
      <w:bookmarkEnd w:id="20"/>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激活农村要素资源。</w:t>
      </w:r>
      <w:r>
        <w:rPr>
          <w:rFonts w:hint="eastAsia" w:ascii="Times New Roman" w:hAnsi="Times New Roman" w:eastAsia="方正仿宋简体" w:cs="Times New Roman"/>
          <w:color w:val="auto"/>
          <w:sz w:val="32"/>
          <w:szCs w:val="32"/>
        </w:rPr>
        <w:t>推进对农民合作社和家庭农场网络提速降费，服务新型农业经营主体和服务主体发展。加快推进农村集体经营性资产股份合作制改革，继续扩大改革范围。建立产权交易平台，完善农村集体产权管理，探索集体资产股权质押贷款办法。壮大村级集体经济，引导贫困村、集体经济空壳村和薄弱村实施“三变”改革，有效增加村集体和农民收入。健全农村产权流转交易市场，推动农村各类产权流转交易公开规范运行。加强基层农村经营管理体系建设。整合资源，因地制宜，发展数字农业、智慧旅游业、智慧产业园区，充分利用电子商务优势，利用信息化开辟外销渠道，引入先进营销模式，设立对应岗位，调动物流、仓储资源，完成营销渠道商务链条部署。创新农村普惠金融服务，改善网络支付、移动支付、网络信贷等普惠金融发展环境，为农民提供足不出村的便捷金融服务。降低农村金融服务门槛，为农业经营主体提供小额存贷款、支付结算和保险等金融服务。鼓励涉农金融机构提升大数据应用能力，丰富数字金融产品，完善对新型农业经营主体发展的数字信贷政策，加大数字信贷支持，创新普惠金融服务方式。培育一批具有一定经营规模、信息化程度较高的生产经营组织和社会化服务组织，促进现代农业发展。</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大力培育新型职业农民。</w:t>
      </w:r>
      <w:r>
        <w:rPr>
          <w:rFonts w:hint="eastAsia" w:ascii="Times New Roman" w:hAnsi="Times New Roman" w:eastAsia="方正仿宋简体" w:cs="Times New Roman"/>
          <w:color w:val="auto"/>
          <w:sz w:val="32"/>
          <w:szCs w:val="32"/>
        </w:rPr>
        <w:t>随着数字乡村的发展需求，数字技术赋予农民职业更大的灵活性，新农民职业边界逐渐形成，建立培训体系、机制、平台，培育传统农民向生产经营型、专业技能型和社会服务型新农民转型，培养了解科学知识、懂得专业技术、能够熟练使用网络电商的新型职业农民，培养造就一支爱农业、懂技术、善经营的新型职业农民队伍。组织培养一批分工明确、具有一定经营规模、信息化程度较高的生产组织，做强做大“一镇一业、一村一品”，形成团队化、品牌化管理。实施“互联网+小农户”计划，提升小农户发展能力。</w:t>
      </w:r>
    </w:p>
    <w:bookmarkEnd w:id="21"/>
    <w:bookmarkEnd w:id="22"/>
    <w:p>
      <w:pPr>
        <w:pStyle w:val="3"/>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方正楷体简体" w:hAnsi="方正楷体简体" w:eastAsia="方正楷体简体" w:cs="方正楷体简体"/>
          <w:b w:val="0"/>
          <w:color w:val="auto"/>
        </w:rPr>
      </w:pPr>
      <w:bookmarkStart w:id="23" w:name="_Toc18911679"/>
      <w:r>
        <w:rPr>
          <w:rFonts w:hint="eastAsia" w:ascii="方正楷体简体" w:hAnsi="方正楷体简体" w:eastAsia="方正楷体简体" w:cs="方正楷体简体"/>
          <w:b w:val="0"/>
          <w:color w:val="auto"/>
        </w:rPr>
        <w:t>（九）实施扶贫效果信息追踪工程，推动网络扶贫向纵深发展</w:t>
      </w:r>
      <w:bookmarkEnd w:id="23"/>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助力打赢脱贫攻坚战。</w:t>
      </w:r>
      <w:r>
        <w:rPr>
          <w:rFonts w:hint="eastAsia" w:ascii="Times New Roman" w:hAnsi="Times New Roman" w:eastAsia="方正仿宋简体" w:cs="Times New Roman"/>
          <w:color w:val="auto"/>
          <w:sz w:val="32"/>
          <w:szCs w:val="32"/>
        </w:rPr>
        <w:t>依托县大数据中心扶贫专题建设，建立扶贫效果追踪系统，以“广东扶贫云” “全国最低生活保障信息系统”数据为主数据源，联动教育数据、市场管理数据、自然资源数据、金融数据，分析扶贫户扶贫效果，构建扶贫大数据应用生态体系。充分运用大数据平台开展对脱贫人员的跟踪及分析，寻找脱贫致富合适路径，持续巩固脱贫成果。</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巩固和提升网络扶贫成效。</w:t>
      </w:r>
      <w:r>
        <w:rPr>
          <w:rFonts w:hint="eastAsia" w:ascii="Times New Roman" w:hAnsi="Times New Roman" w:eastAsia="方正仿宋简体" w:cs="Times New Roman"/>
          <w:color w:val="auto"/>
          <w:sz w:val="32"/>
          <w:szCs w:val="32"/>
        </w:rPr>
        <w:t>通过信息网络系统协同，推广实施“公司（合作社）+基地+贫困户”等扶贫模式，大力发展茶叶、果蔬等特色扶贫产业，建设一批红色农旅扶贫、电商扶贫、农业产业扶贫、“客家菜师傅”技能培训扶贫等特色产业扶贫示范村，扶持每户贫困户发展1项以上种养项目，开展网络扶志和扶智，不断提升贫困群众生产经营技能，激发贫困人口内生动力。健全贫困人口长效稳定脱贫机制，继续实施金融、基建、就业等扶贫措施，落实教育补助、危房改造、医疗保险及低保五保补助政策，确保全部建档立卡贫困人口实现预期脱贫目标。通过信息化手段，加大扶贫资金监管力度，规范发展光伏发电、购买商铺、农村“三变”等资产收益项目。</w:t>
      </w:r>
    </w:p>
    <w:p>
      <w:pPr>
        <w:pStyle w:val="3"/>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方正楷体简体" w:hAnsi="方正楷体简体" w:eastAsia="方正楷体简体" w:cs="方正楷体简体"/>
          <w:b w:val="0"/>
          <w:color w:val="auto"/>
        </w:rPr>
      </w:pPr>
      <w:bookmarkStart w:id="24" w:name="_Toc18911680"/>
      <w:r>
        <w:rPr>
          <w:rFonts w:hint="eastAsia" w:ascii="方正楷体简体" w:hAnsi="方正楷体简体" w:eastAsia="方正楷体简体" w:cs="方正楷体简体"/>
          <w:b w:val="0"/>
          <w:color w:val="auto"/>
        </w:rPr>
        <w:t>（十）实施城乡信息化融合发展工程，实现智慧城乡一体化发展</w:t>
      </w:r>
      <w:bookmarkEnd w:id="24"/>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推进城镇发展规划数字化。</w:t>
      </w:r>
      <w:r>
        <w:rPr>
          <w:rFonts w:hint="eastAsia" w:ascii="Times New Roman" w:hAnsi="Times New Roman" w:eastAsia="方正仿宋简体" w:cs="Times New Roman"/>
          <w:color w:val="auto"/>
          <w:sz w:val="32"/>
          <w:szCs w:val="32"/>
        </w:rPr>
        <w:t>将信息化建设纳入顶层设计中，因地制宜，设计符合五华现状的城市规划，设立绿色发展先导区，分类推进，做强特色点。强化一体设计、同步实施、协同并进、融合创新，促进城乡生产、生活、生态空间的数字化、网络化、智能化发展，加快形成共建共享、互联互通、各具特色、交相辉映的数字城乡融合发展格局。鼓励有条件的小城镇规划先行，依托四个产业园发展“互联网+”特色主导产业，建设以“智能工厂”“智能生产”“智能物流”为特色，以生态、创新为理念，集居住、生产、研发、物流、商展等功能于一体的智慧园区，打造感知体验、智慧应用、要素集聚、融合创新的“互联网+”产业生态圈，辐射和带动乡村创业创新。</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推进城镇基础设施智能化。</w:t>
      </w:r>
      <w:r>
        <w:rPr>
          <w:rFonts w:hint="eastAsia" w:ascii="Times New Roman" w:hAnsi="Times New Roman" w:eastAsia="方正仿宋简体" w:cs="Times New Roman"/>
          <w:bCs/>
          <w:color w:val="auto"/>
          <w:sz w:val="32"/>
          <w:szCs w:val="32"/>
        </w:rPr>
        <w:t>加快5G站址规划纳入城乡总体规划的进程，统筹整合全行业基站建设需求，积极推进资源共建共享平台建设，深入推动社会资源开放共享，支持移动通信基础设施建设。</w:t>
      </w:r>
      <w:r>
        <w:rPr>
          <w:rFonts w:hint="eastAsia" w:ascii="Times New Roman" w:hAnsi="Times New Roman" w:eastAsia="方正仿宋简体" w:cs="Times New Roman"/>
          <w:color w:val="auto"/>
          <w:sz w:val="32"/>
          <w:szCs w:val="32"/>
        </w:rPr>
        <w:t>加快传感器技术、地理空间信息技术、卫星定位与导航技术、新一代信息网络技术在城镇化建设中的应用。在数字乡村运行关键领域建设一批城镇基础设施智能感应系统、环境感知系统、远程监控服务系统。推进RFID网络、视频监控网络、无线电监测网络的共建共享，统筹传感设备、无线通信设备、控制设备和摄像头等各类智能终端在交通、给排水、能源、通信、环保、防灾与安全生产等城镇公共基础设施的布局和应用，加强对地下管线的实时监控，形成全面覆盖、泛在互联的智能感知网络，提升公共基础设施智能化水平。</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推进城镇生活应用智能化。</w:t>
      </w:r>
      <w:r>
        <w:rPr>
          <w:rFonts w:hint="eastAsia" w:ascii="Times New Roman" w:hAnsi="Times New Roman" w:eastAsia="方正仿宋简体" w:cs="Times New Roman"/>
          <w:color w:val="auto"/>
          <w:sz w:val="32"/>
          <w:szCs w:val="32"/>
        </w:rPr>
        <w:t>组织五华互联网、信息化企业，利用各大互联网公司平台、五华电商平台等完善的“互联网+”平台，将贴近五华人民生活的产品、服务在各大APP上线，为五华人民服务的同时，运用互联网向外宣传家乡风土人情、美食特产，利用智能生活应用改变城乡人民生活，缩小城乡数字差距。</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b/>
          <w:bCs/>
          <w:color w:val="auto"/>
          <w:sz w:val="32"/>
          <w:szCs w:val="32"/>
        </w:rPr>
        <w:t>推进城镇分类发展特色化。</w:t>
      </w:r>
      <w:r>
        <w:rPr>
          <w:rFonts w:hint="eastAsia" w:ascii="Times New Roman" w:hAnsi="Times New Roman" w:eastAsia="方正仿宋简体" w:cs="Times New Roman"/>
          <w:color w:val="auto"/>
          <w:sz w:val="32"/>
          <w:szCs w:val="32"/>
        </w:rPr>
        <w:t>智慧乡村建设从乡情出发，充分考虑乡村的特点和需求，遵循乡村建设规律，实现“智慧”与“特色”有机融合，从思想上打破智慧城市建设理念推进智慧乡村建设的误区。引导集聚提升类村庄全面深化网络信息技术应用，培育乡村新业态。引导城郊融合类村庄发展数字经济，不断满足城乡居民消费需求。引导特色保护类村庄发掘独特资源，建设互联网特色乡村。引导搬迁撤并类村庄完善网络设施和信息服务，避免形成新的“数字鸿沟”。</w:t>
      </w:r>
    </w:p>
    <w:p>
      <w:pPr>
        <w:pStyle w:val="2"/>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黑体" w:hAnsi="黑体" w:eastAsia="黑体" w:cs="黑体"/>
          <w:b w:val="0"/>
          <w:bCs w:val="0"/>
          <w:color w:val="auto"/>
          <w:sz w:val="32"/>
          <w:szCs w:val="32"/>
        </w:rPr>
      </w:pPr>
      <w:bookmarkStart w:id="25" w:name="_Toc18911681"/>
      <w:r>
        <w:rPr>
          <w:rFonts w:hint="eastAsia" w:ascii="黑体" w:hAnsi="黑体" w:eastAsia="黑体" w:cs="黑体"/>
          <w:b w:val="0"/>
          <w:bCs w:val="0"/>
          <w:color w:val="auto"/>
          <w:sz w:val="32"/>
          <w:szCs w:val="32"/>
        </w:rPr>
        <w:t>四、保障措施</w:t>
      </w:r>
      <w:bookmarkEnd w:id="25"/>
    </w:p>
    <w:p>
      <w:pPr>
        <w:pStyle w:val="3"/>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方正楷体简体" w:hAnsi="方正楷体简体" w:eastAsia="方正楷体简体" w:cs="方正楷体简体"/>
          <w:color w:val="auto"/>
        </w:rPr>
      </w:pPr>
      <w:bookmarkStart w:id="26" w:name="_Toc18911682"/>
      <w:r>
        <w:rPr>
          <w:rFonts w:hint="eastAsia" w:ascii="方正楷体简体" w:hAnsi="方正楷体简体" w:eastAsia="方正楷体简体" w:cs="方正楷体简体"/>
          <w:b w:val="0"/>
          <w:color w:val="auto"/>
        </w:rPr>
        <w:t>（一）加强组织领导</w:t>
      </w:r>
      <w:bookmarkEnd w:id="26"/>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建立五华县数字乡村建设发展统筹协调机制，借助大专院校、科研院所做好规划设计，研究重大政策、重点工程和重要举措，督促落实各项任务，形成工作合力。将数字乡村工作摆上重要位置，抓好组织推动和督促检查。</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深化“放管服”改革，处理好政府与市场的关系，充分调动各方力量和广大农民参与数字乡村建设。加强数字乡村理论研究，加强数字乡村理论学习，切实将数字乡村思想结合到工作中。建立绩效考核和工作奖惩机制等，组织第三方机构开展数字乡村发展评价工作，多管齐下持续提升数字乡村发展水平。</w:t>
      </w:r>
    </w:p>
    <w:p>
      <w:pPr>
        <w:pStyle w:val="3"/>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方正楷体简体" w:hAnsi="方正楷体简体" w:eastAsia="方正楷体简体" w:cs="方正楷体简体"/>
          <w:b w:val="0"/>
          <w:color w:val="auto"/>
        </w:rPr>
      </w:pPr>
      <w:bookmarkStart w:id="27" w:name="_Toc18911683"/>
      <w:r>
        <w:rPr>
          <w:rFonts w:hint="eastAsia" w:ascii="方正楷体简体" w:hAnsi="方正楷体简体" w:eastAsia="方正楷体简体" w:cs="方正楷体简体"/>
          <w:b w:val="0"/>
          <w:color w:val="auto"/>
        </w:rPr>
        <w:t>（二）完善政策支持</w:t>
      </w:r>
      <w:bookmarkEnd w:id="27"/>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县内各有关部门要依据总体规划，将数字乡村建设融入各部门、各镇村的信息化规划和乡村振兴重点工程，完善产业、财政、金融、教育、医疗等领域配套政策措施，综合运用政策导向、经济、法律等手段，统筹协调，持续推进落实。</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加强“数字乡村”建设中信息基础设施建设，重点对公共服务、社会治理等方面相关的网络建设要加大投资力度，充分发挥财政资金与国家级投资基金的引导作用，撬动金融和社会资本支持数字乡村战略实施。</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加大对农村网络基础设施的资金投入力度，加大项目补贴，降低贷款利息，提供融资担保和政策性保险，使农民用得上、用得起、用得好网络。</w:t>
      </w:r>
    </w:p>
    <w:p>
      <w:pPr>
        <w:pStyle w:val="3"/>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方正楷体简体" w:hAnsi="方正楷体简体" w:eastAsia="方正楷体简体" w:cs="方正楷体简体"/>
          <w:b w:val="0"/>
          <w:color w:val="auto"/>
        </w:rPr>
      </w:pPr>
      <w:bookmarkStart w:id="28" w:name="_Toc18911684"/>
      <w:r>
        <w:rPr>
          <w:rFonts w:hint="eastAsia" w:ascii="方正楷体简体" w:hAnsi="方正楷体简体" w:eastAsia="方正楷体简体" w:cs="方正楷体简体"/>
          <w:b w:val="0"/>
          <w:color w:val="auto"/>
        </w:rPr>
        <w:t>（三）开展试点示范</w:t>
      </w:r>
      <w:bookmarkEnd w:id="28"/>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按照统筹规划、整合共享、集聚提升的原则，选择应用较为成熟的部门、镇村进行试点应用改革推广，统筹开展数字乡村应用试点示范工作，走五华特色的数字乡村发展，边试点、边总结、边推广，探索有益经验。</w:t>
      </w:r>
    </w:p>
    <w:p>
      <w:pPr>
        <w:pStyle w:val="3"/>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方正楷体简体" w:hAnsi="方正楷体简体" w:eastAsia="方正楷体简体" w:cs="方正楷体简体"/>
          <w:b w:val="0"/>
          <w:color w:val="auto"/>
        </w:rPr>
      </w:pPr>
      <w:bookmarkStart w:id="29" w:name="_Toc18911685"/>
      <w:r>
        <w:rPr>
          <w:rFonts w:hint="eastAsia" w:ascii="方正楷体简体" w:hAnsi="方正楷体简体" w:eastAsia="方正楷体简体" w:cs="方正楷体简体"/>
          <w:b w:val="0"/>
          <w:color w:val="auto"/>
        </w:rPr>
        <w:t>（四）强化人才支撑</w:t>
      </w:r>
      <w:bookmarkEnd w:id="29"/>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建设堪当大用的“五华智库”，围绕经济、政治、科技、文化、社会、生态、党建等领域，充分整合党政部门、大专院校、科研院所、企业和社会团队的智力资源，搭建一支相对稳定的多学科交叉融合、跨部门、跨机构的研究团队，打造熟悉五华现状民情、善于研究政策、具有专业化素养的智库高端人才团队。</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加快培育农业农村信息化方面的领军人才，想方设法提高农村对信息化人才的吸引力，积极鼓励和引导高校毕业生到基层去从事农业农村信息化服务工作。进一步支持农民工、高校毕业生和退役士兵等各类人员返乡下乡创业，推动更多人才、技术、资本等资源要素向农村汇聚，以大众创业、万众创新开辟就业新渠道、培育“三农”发展新动能。</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开展信息化人才下乡活动，加强对农村留守儿童和妇女、老年人网络知识普及。充分发挥第一书记、驻村工作队员、大学生村官、科技特派员、电商等主体作用，加强农民信息素养培训，增强农民网络安全防护意识和技能。</w:t>
      </w:r>
    </w:p>
    <w:p>
      <w:pPr>
        <w:pStyle w:val="3"/>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方正楷体简体" w:hAnsi="方正楷体简体" w:eastAsia="方正楷体简体" w:cs="方正楷体简体"/>
          <w:b w:val="0"/>
          <w:color w:val="auto"/>
        </w:rPr>
      </w:pPr>
      <w:r>
        <w:rPr>
          <w:rFonts w:hint="eastAsia" w:ascii="方正楷体简体" w:hAnsi="方正楷体简体" w:eastAsia="方正楷体简体" w:cs="方正楷体简体"/>
          <w:b w:val="0"/>
          <w:color w:val="auto"/>
        </w:rPr>
        <w:t>（五）完善技术保障</w:t>
      </w:r>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sz w:val="32"/>
          <w:szCs w:val="32"/>
        </w:rPr>
      </w:pPr>
      <w:r>
        <w:rPr>
          <w:rFonts w:hint="eastAsia" w:ascii="Times New Roman" w:hAnsi="Times New Roman" w:eastAsia="方正仿宋简体" w:cs="Times New Roman"/>
          <w:color w:val="auto"/>
          <w:sz w:val="32"/>
          <w:szCs w:val="32"/>
        </w:rPr>
        <w:t>引进先进技术促进五华三大产业发展，发展高技术含量高附加值产业，加快推广云计算、大数据、物联网、人工智能在农业生产经营管理中的运用。引进、培育一批农业农村信息化龙头企业，形成技术先进、产业链条健全、专业协作机制完善的企业集群。提高信息化企业水平，保证数字乡村建设项目建设质量。</w:t>
      </w:r>
    </w:p>
    <w:p>
      <w:pPr>
        <w:pStyle w:val="3"/>
        <w:pageBreakBefore w:val="0"/>
        <w:kinsoku/>
        <w:wordWrap/>
        <w:overflowPunct/>
        <w:topLinePunct w:val="0"/>
        <w:autoSpaceDE/>
        <w:autoSpaceDN/>
        <w:bidi w:val="0"/>
        <w:adjustRightInd/>
        <w:snapToGrid/>
        <w:spacing w:before="0" w:beforeAutospacing="0" w:after="0" w:afterAutospacing="0" w:line="530" w:lineRule="exact"/>
        <w:ind w:firstLine="624" w:firstLineChars="200"/>
        <w:textAlignment w:val="auto"/>
        <w:rPr>
          <w:rFonts w:hint="eastAsia" w:ascii="方正楷体简体" w:hAnsi="方正楷体简体" w:eastAsia="方正楷体简体" w:cs="方正楷体简体"/>
          <w:b w:val="0"/>
          <w:color w:val="auto"/>
        </w:rPr>
      </w:pPr>
      <w:bookmarkStart w:id="30" w:name="_Toc18911686"/>
      <w:r>
        <w:rPr>
          <w:rFonts w:hint="eastAsia" w:ascii="方正楷体简体" w:hAnsi="方正楷体简体" w:eastAsia="方正楷体简体" w:cs="方正楷体简体"/>
          <w:b w:val="0"/>
          <w:color w:val="auto"/>
        </w:rPr>
        <w:t>（六）营造良好氛围</w:t>
      </w:r>
      <w:bookmarkEnd w:id="30"/>
    </w:p>
    <w:p>
      <w:pPr>
        <w:pageBreakBefore w:val="0"/>
        <w:kinsoku/>
        <w:wordWrap/>
        <w:overflowPunct/>
        <w:topLinePunct w:val="0"/>
        <w:autoSpaceDE/>
        <w:autoSpaceDN/>
        <w:bidi w:val="0"/>
        <w:adjustRightInd/>
        <w:snapToGrid/>
        <w:spacing w:beforeAutospacing="0" w:afterAutospacing="0" w:line="530" w:lineRule="exact"/>
        <w:ind w:firstLine="624" w:firstLineChars="200"/>
        <w:jc w:val="both"/>
        <w:textAlignment w:val="auto"/>
        <w:rPr>
          <w:rFonts w:hint="eastAsia" w:ascii="Times New Roman" w:hAnsi="Times New Roman" w:eastAsia="方正仿宋简体" w:cs="Times New Roman"/>
          <w:color w:val="auto"/>
        </w:rPr>
      </w:pPr>
      <w:r>
        <w:rPr>
          <w:rFonts w:hint="eastAsia" w:ascii="Times New Roman" w:hAnsi="Times New Roman" w:eastAsia="方正仿宋简体" w:cs="Times New Roman"/>
          <w:color w:val="auto"/>
          <w:sz w:val="32"/>
          <w:szCs w:val="32"/>
        </w:rPr>
        <w:t>创新宣传方式，抓好宣传引导，及时宣传党的路线方针政策，营造全社会关注农业、关心农村、关爱农民的浓厚氛围。充分发挥主流媒体和重点新闻网站作用，讲好乡村振兴故事，做好网上舆情引导，为全面实施乡村振兴战略凝聚共识、汇聚力量。</w:t>
      </w:r>
      <w:bookmarkStart w:id="31" w:name="_GoBack"/>
      <w:bookmarkEnd w:id="31"/>
    </w:p>
    <w:sectPr>
      <w:headerReference r:id="rId3" w:type="default"/>
      <w:footerReference r:id="rId4" w:type="default"/>
      <w:footerReference r:id="rId5" w:type="even"/>
      <w:pgSz w:w="11906" w:h="16838"/>
      <w:pgMar w:top="2041" w:right="1587" w:bottom="1701" w:left="1587" w:header="851" w:footer="1474" w:gutter="0"/>
      <w:pgNumType w:fmt="decimal"/>
      <w:cols w:space="0" w:num="1"/>
      <w:rtlGutter w:val="0"/>
      <w:docGrid w:type="linesAndChars" w:linePitch="595" w:charSpace="-16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
    <w:altName w:val="Segoe Print"/>
    <w:panose1 w:val="00000000000000000000"/>
    <w:charset w:val="00"/>
    <w:family w:val="auto"/>
    <w:pitch w:val="default"/>
    <w:sig w:usb0="00000000" w:usb1="00000000" w:usb2="00000000" w:usb3="00000000" w:csb0="00000000" w:csb1="00000000"/>
  </w:font>
  <w:font w:name="Tim">
    <w:altName w:val="Segoe Print"/>
    <w:panose1 w:val="00000000000000000000"/>
    <w:charset w:val="00"/>
    <w:family w:val="auto"/>
    <w:pitch w:val="default"/>
    <w:sig w:usb0="00000000" w:usb1="00000000" w:usb2="00000000" w:usb3="00000000" w:csb0="00000000" w:csb1="00000000"/>
  </w:font>
  <w:font w:name="Time">
    <w:altName w:val="Segoe Print"/>
    <w:panose1 w:val="00000000000000000000"/>
    <w:charset w:val="00"/>
    <w:family w:val="auto"/>
    <w:pitch w:val="default"/>
    <w:sig w:usb0="00000000" w:usb1="00000000" w:usb2="00000000" w:usb3="00000000" w:csb0="00000000" w:csb1="00000000"/>
  </w:font>
  <w:font w:name="(使用中文字体)t">
    <w:altName w:val="Segoe Print"/>
    <w:panose1 w:val="00000000000000000000"/>
    <w:charset w:val="00"/>
    <w:family w:val="auto"/>
    <w:pitch w:val="default"/>
    <w:sig w:usb0="00000000" w:usb1="00000000" w:usb2="00000000" w:usb3="00000000" w:csb0="00000000" w:csb1="00000000"/>
  </w:font>
  <w:font w:name="(使用中文字体">
    <w:altName w:val="Segoe Print"/>
    <w:panose1 w:val="00000000000000000000"/>
    <w:charset w:val="00"/>
    <w:family w:val="auto"/>
    <w:pitch w:val="default"/>
    <w:sig w:usb0="00000000" w:usb1="00000000" w:usb2="00000000" w:usb3="00000000" w:csb0="00000000" w:csb1="00000000"/>
  </w:font>
  <w:font w:name="(使用中文字">
    <w:altName w:val="Segoe Print"/>
    <w:panose1 w:val="00000000000000000000"/>
    <w:charset w:val="00"/>
    <w:family w:val="auto"/>
    <w:pitch w:val="default"/>
    <w:sig w:usb0="00000000" w:usb1="00000000" w:usb2="00000000" w:usb3="00000000" w:csb0="00000000" w:csb1="00000000"/>
  </w:font>
  <w:font w:name="(使用中文">
    <w:altName w:val="Segoe Print"/>
    <w:panose1 w:val="00000000000000000000"/>
    <w:charset w:val="00"/>
    <w:family w:val="auto"/>
    <w:pitch w:val="default"/>
    <w:sig w:usb0="00000000" w:usb1="00000000" w:usb2="00000000" w:usb3="00000000" w:csb0="00000000" w:csb1="00000000"/>
  </w:font>
  <w:font w:name="(使用中">
    <w:altName w:val="Segoe Print"/>
    <w:panose1 w:val="00000000000000000000"/>
    <w:charset w:val="00"/>
    <w:family w:val="auto"/>
    <w:pitch w:val="default"/>
    <w:sig w:usb0="00000000" w:usb1="00000000" w:usb2="00000000" w:usb3="00000000" w:csb0="00000000" w:csb1="00000000"/>
  </w:font>
  <w:font w:name="(使用">
    <w:altName w:val="Segoe Print"/>
    <w:panose1 w:val="00000000000000000000"/>
    <w:charset w:val="00"/>
    <w:family w:val="auto"/>
    <w:pitch w:val="default"/>
    <w:sig w:usb0="00000000" w:usb1="00000000" w:usb2="00000000" w:usb3="00000000" w:csb0="00000000" w:csb1="00000000"/>
  </w:font>
  <w:font w:name="(使">
    <w:altName w:val="Segoe Print"/>
    <w:panose1 w:val="00000000000000000000"/>
    <w:charset w:val="00"/>
    <w:family w:val="auto"/>
    <w:pitch w:val="default"/>
    <w:sig w:usb0="00000000" w:usb1="00000000" w:usb2="00000000" w:usb3="00000000" w:csb0="00000000" w:csb1="00000000"/>
  </w:font>
  <w:font w:name="(">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sdt>
                <w:sdtPr>
                  <w:rPr>
                    <w:rStyle w:val="17"/>
                    <w:rFonts w:hint="eastAsia" w:ascii="Times New Roman" w:hAnsi="Times New Roman" w:eastAsia="宋体" w:cs="Times New Roman"/>
                    <w:sz w:val="28"/>
                    <w:szCs w:val="28"/>
                  </w:rPr>
                  <w:id w:val="2129502964"/>
                </w:sdtPr>
                <w:sdtEndPr>
                  <w:rPr>
                    <w:rStyle w:val="17"/>
                    <w:rFonts w:hint="eastAsia" w:ascii="Times New Roman" w:hAnsi="Times New Roman" w:eastAsia="宋体" w:cs="Times New Roman"/>
                    <w:sz w:val="28"/>
                    <w:szCs w:val="28"/>
                  </w:rPr>
                </w:sdtEndPr>
                <w:sdtContent>
                  <w:p>
                    <w:pPr>
                      <w:pStyle w:val="8"/>
                      <w:rPr>
                        <w:rStyle w:val="17"/>
                        <w:rFonts w:hint="eastAsia" w:ascii="Times New Roman" w:hAnsi="Times New Roman" w:eastAsia="宋体" w:cs="Times New Roman"/>
                        <w:sz w:val="28"/>
                        <w:szCs w:val="28"/>
                      </w:rPr>
                    </w:pPr>
                    <w:r>
                      <w:rPr>
                        <w:rStyle w:val="17"/>
                        <w:rFonts w:hint="eastAsia" w:ascii="Times New Roman" w:hAnsi="Times New Roman" w:eastAsia="宋体" w:cs="Times New Roman"/>
                        <w:sz w:val="28"/>
                        <w:szCs w:val="28"/>
                        <w:lang w:eastAsia="zh-CN"/>
                      </w:rPr>
                      <w:t>—</w:t>
                    </w:r>
                    <w:r>
                      <w:rPr>
                        <w:rStyle w:val="17"/>
                        <w:rFonts w:hint="eastAsia" w:ascii="Times New Roman" w:hAnsi="Times New Roman" w:eastAsia="宋体" w:cs="Times New Roman"/>
                        <w:sz w:val="28"/>
                        <w:szCs w:val="28"/>
                        <w:lang w:val="en-US" w:eastAsia="zh-CN"/>
                      </w:rPr>
                      <w:t xml:space="preserve"> </w:t>
                    </w:r>
                    <w:r>
                      <w:rPr>
                        <w:rStyle w:val="17"/>
                        <w:rFonts w:hint="eastAsia" w:ascii="Times New Roman" w:hAnsi="Times New Roman" w:eastAsia="宋体" w:cs="Times New Roman"/>
                        <w:sz w:val="28"/>
                        <w:szCs w:val="28"/>
                      </w:rPr>
                      <w:fldChar w:fldCharType="begin"/>
                    </w:r>
                    <w:r>
                      <w:rPr>
                        <w:rStyle w:val="17"/>
                        <w:rFonts w:hint="eastAsia" w:ascii="Times New Roman" w:hAnsi="Times New Roman" w:eastAsia="宋体" w:cs="Times New Roman"/>
                        <w:sz w:val="28"/>
                        <w:szCs w:val="28"/>
                      </w:rPr>
                      <w:instrText xml:space="preserve"> PAGE </w:instrText>
                    </w:r>
                    <w:r>
                      <w:rPr>
                        <w:rStyle w:val="17"/>
                        <w:rFonts w:hint="eastAsia" w:ascii="Times New Roman" w:hAnsi="Times New Roman" w:eastAsia="宋体" w:cs="Times New Roman"/>
                        <w:sz w:val="28"/>
                        <w:szCs w:val="28"/>
                      </w:rPr>
                      <w:fldChar w:fldCharType="separate"/>
                    </w:r>
                    <w:r>
                      <w:rPr>
                        <w:rStyle w:val="17"/>
                        <w:rFonts w:hint="eastAsia" w:ascii="Times New Roman" w:hAnsi="Times New Roman" w:eastAsia="宋体" w:cs="Times New Roman"/>
                        <w:sz w:val="28"/>
                        <w:szCs w:val="28"/>
                      </w:rPr>
                      <w:t>1</w:t>
                    </w:r>
                    <w:r>
                      <w:rPr>
                        <w:rStyle w:val="17"/>
                        <w:rFonts w:hint="eastAsia" w:ascii="Times New Roman" w:hAnsi="Times New Roman" w:eastAsia="宋体" w:cs="Times New Roman"/>
                        <w:sz w:val="28"/>
                        <w:szCs w:val="28"/>
                      </w:rPr>
                      <w:fldChar w:fldCharType="end"/>
                    </w:r>
                    <w:r>
                      <w:rPr>
                        <w:rStyle w:val="17"/>
                        <w:rFonts w:hint="eastAsia" w:ascii="Times New Roman" w:hAnsi="Times New Roman" w:eastAsia="宋体" w:cs="Times New Roman"/>
                        <w:sz w:val="28"/>
                        <w:szCs w:val="28"/>
                        <w:lang w:val="en-US" w:eastAsia="zh-CN"/>
                      </w:rPr>
                      <w:t xml:space="preserve"> —</w:t>
                    </w:r>
                  </w:p>
                </w:sdtContent>
              </w:sdt>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imes New Roman" w:hAnsi="Times New Roman" w:eastAsia="宋体"/>
        <w:sz w:val="28"/>
      </w:rPr>
    </w:pPr>
    <w:r>
      <w:rPr>
        <w:rFonts w:ascii="Times New Roman" w:hAnsi="Times New Roman" w:eastAsia="宋体"/>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sdt>
                <w:sdtPr>
                  <w:rPr>
                    <w:rStyle w:val="17"/>
                    <w:rFonts w:hint="eastAsia" w:ascii="Times New Roman" w:hAnsi="Times New Roman" w:eastAsia="宋体" w:cs="Times New Roman"/>
                    <w:sz w:val="28"/>
                    <w:szCs w:val="28"/>
                  </w:rPr>
                  <w:id w:val="764726479"/>
                </w:sdtPr>
                <w:sdtEndPr>
                  <w:rPr>
                    <w:rStyle w:val="17"/>
                    <w:rFonts w:hint="eastAsia" w:ascii="Times New Roman" w:hAnsi="Times New Roman" w:eastAsia="宋体" w:cs="Times New Roman"/>
                    <w:sz w:val="28"/>
                    <w:szCs w:val="28"/>
                  </w:rPr>
                </w:sdtEndPr>
                <w:sdtContent>
                  <w:p>
                    <w:pPr>
                      <w:pStyle w:val="8"/>
                      <w:jc w:val="left"/>
                      <w:rPr>
                        <w:rStyle w:val="17"/>
                        <w:rFonts w:hint="eastAsia" w:ascii="Times New Roman" w:hAnsi="Times New Roman" w:eastAsia="宋体" w:cs="Times New Roman"/>
                        <w:sz w:val="28"/>
                        <w:szCs w:val="28"/>
                      </w:rPr>
                    </w:pPr>
                    <w:r>
                      <w:rPr>
                        <w:rStyle w:val="17"/>
                        <w:rFonts w:hint="eastAsia" w:ascii="Times New Roman" w:hAnsi="Times New Roman" w:eastAsia="宋体" w:cs="Times New Roman"/>
                        <w:sz w:val="28"/>
                        <w:szCs w:val="28"/>
                        <w:lang w:eastAsia="zh-CN"/>
                      </w:rPr>
                      <w:t>—</w:t>
                    </w:r>
                    <w:r>
                      <w:rPr>
                        <w:rStyle w:val="17"/>
                        <w:rFonts w:hint="eastAsia" w:ascii="Times New Roman" w:hAnsi="Times New Roman" w:eastAsia="宋体" w:cs="Times New Roman"/>
                        <w:sz w:val="28"/>
                        <w:szCs w:val="28"/>
                        <w:lang w:val="en-US" w:eastAsia="zh-CN"/>
                      </w:rPr>
                      <w:t xml:space="preserve"> </w:t>
                    </w:r>
                    <w:r>
                      <w:rPr>
                        <w:rStyle w:val="17"/>
                        <w:rFonts w:hint="eastAsia" w:ascii="Times New Roman" w:hAnsi="Times New Roman" w:eastAsia="宋体" w:cs="Times New Roman"/>
                        <w:sz w:val="28"/>
                        <w:szCs w:val="28"/>
                      </w:rPr>
                      <w:fldChar w:fldCharType="begin"/>
                    </w:r>
                    <w:r>
                      <w:rPr>
                        <w:rStyle w:val="17"/>
                        <w:rFonts w:hint="eastAsia" w:ascii="Times New Roman" w:hAnsi="Times New Roman" w:eastAsia="宋体" w:cs="Times New Roman"/>
                        <w:sz w:val="28"/>
                        <w:szCs w:val="28"/>
                      </w:rPr>
                      <w:instrText xml:space="preserve"> PAGE </w:instrText>
                    </w:r>
                    <w:r>
                      <w:rPr>
                        <w:rStyle w:val="17"/>
                        <w:rFonts w:hint="eastAsia" w:ascii="Times New Roman" w:hAnsi="Times New Roman" w:eastAsia="宋体" w:cs="Times New Roman"/>
                        <w:sz w:val="28"/>
                        <w:szCs w:val="28"/>
                      </w:rPr>
                      <w:fldChar w:fldCharType="end"/>
                    </w:r>
                    <w:r>
                      <w:rPr>
                        <w:rStyle w:val="17"/>
                        <w:rFonts w:hint="eastAsia" w:ascii="Times New Roman" w:hAnsi="Times New Roman" w:eastAsia="宋体" w:cs="Times New Roman"/>
                        <w:sz w:val="28"/>
                        <w:szCs w:val="28"/>
                        <w:lang w:val="en-US" w:eastAsia="zh-CN"/>
                      </w:rPr>
                      <w:t xml:space="preserve"> </w:t>
                    </w:r>
                    <w:r>
                      <w:rPr>
                        <w:rStyle w:val="17"/>
                        <w:rFonts w:hint="eastAsia" w:ascii="Times New Roman" w:hAnsi="Times New Roman" w:eastAsia="宋体" w:cs="Times New Roman"/>
                        <w:sz w:val="28"/>
                        <w:szCs w:val="28"/>
                        <w:lang w:eastAsia="zh-CN"/>
                      </w:rPr>
                      <w:t>—</w:t>
                    </w:r>
                  </w:p>
                </w:sdtContent>
              </w:sdt>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evenAndOddHeaders w:val="1"/>
  <w:drawingGridHorizontalSpacing w:val="156"/>
  <w:drawingGridVerticalSpacing w:val="298"/>
  <w:displayHorizontalDrawingGridEvery w:val="2"/>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B1841"/>
    <w:rsid w:val="00016452"/>
    <w:rsid w:val="00031B33"/>
    <w:rsid w:val="00032E92"/>
    <w:rsid w:val="000443A5"/>
    <w:rsid w:val="00047DE6"/>
    <w:rsid w:val="00050063"/>
    <w:rsid w:val="00051F94"/>
    <w:rsid w:val="00083061"/>
    <w:rsid w:val="000A3CDD"/>
    <w:rsid w:val="000A61F4"/>
    <w:rsid w:val="000B09C9"/>
    <w:rsid w:val="000B25E5"/>
    <w:rsid w:val="000B380E"/>
    <w:rsid w:val="000C4342"/>
    <w:rsid w:val="000C6DBD"/>
    <w:rsid w:val="000E36DC"/>
    <w:rsid w:val="000E4F0E"/>
    <w:rsid w:val="000F0D80"/>
    <w:rsid w:val="000F3861"/>
    <w:rsid w:val="00100414"/>
    <w:rsid w:val="00110F29"/>
    <w:rsid w:val="00116474"/>
    <w:rsid w:val="00121DEE"/>
    <w:rsid w:val="0012280B"/>
    <w:rsid w:val="00135818"/>
    <w:rsid w:val="00141823"/>
    <w:rsid w:val="001453D1"/>
    <w:rsid w:val="00157C44"/>
    <w:rsid w:val="00162614"/>
    <w:rsid w:val="001733EA"/>
    <w:rsid w:val="00180531"/>
    <w:rsid w:val="001A41AC"/>
    <w:rsid w:val="001A4A8F"/>
    <w:rsid w:val="001B5708"/>
    <w:rsid w:val="001C58B8"/>
    <w:rsid w:val="001D3256"/>
    <w:rsid w:val="001D4591"/>
    <w:rsid w:val="001D570F"/>
    <w:rsid w:val="001F4D46"/>
    <w:rsid w:val="001F617B"/>
    <w:rsid w:val="002036D4"/>
    <w:rsid w:val="00211778"/>
    <w:rsid w:val="0022128D"/>
    <w:rsid w:val="00222F2B"/>
    <w:rsid w:val="002242E2"/>
    <w:rsid w:val="002460C3"/>
    <w:rsid w:val="00251B6E"/>
    <w:rsid w:val="00260EC5"/>
    <w:rsid w:val="00264707"/>
    <w:rsid w:val="0026558A"/>
    <w:rsid w:val="00266661"/>
    <w:rsid w:val="00281AA9"/>
    <w:rsid w:val="0028784C"/>
    <w:rsid w:val="00290DF1"/>
    <w:rsid w:val="00294D84"/>
    <w:rsid w:val="002B07AA"/>
    <w:rsid w:val="002B50A7"/>
    <w:rsid w:val="002C0A9B"/>
    <w:rsid w:val="002C183B"/>
    <w:rsid w:val="002D48F9"/>
    <w:rsid w:val="002E099E"/>
    <w:rsid w:val="002F6F58"/>
    <w:rsid w:val="00301062"/>
    <w:rsid w:val="00322DF8"/>
    <w:rsid w:val="00330F11"/>
    <w:rsid w:val="003334C6"/>
    <w:rsid w:val="00356C6F"/>
    <w:rsid w:val="0036604D"/>
    <w:rsid w:val="0037065D"/>
    <w:rsid w:val="003733CC"/>
    <w:rsid w:val="00377F7F"/>
    <w:rsid w:val="00385F7F"/>
    <w:rsid w:val="00391BE4"/>
    <w:rsid w:val="003A7D78"/>
    <w:rsid w:val="003B4E71"/>
    <w:rsid w:val="003B77C1"/>
    <w:rsid w:val="003C7678"/>
    <w:rsid w:val="003D5636"/>
    <w:rsid w:val="003E4E3D"/>
    <w:rsid w:val="003E6191"/>
    <w:rsid w:val="003F3D13"/>
    <w:rsid w:val="00400E55"/>
    <w:rsid w:val="00404A06"/>
    <w:rsid w:val="0041348F"/>
    <w:rsid w:val="004504D9"/>
    <w:rsid w:val="00452543"/>
    <w:rsid w:val="0045265A"/>
    <w:rsid w:val="00454F19"/>
    <w:rsid w:val="00455CA1"/>
    <w:rsid w:val="004618A0"/>
    <w:rsid w:val="004639F4"/>
    <w:rsid w:val="0046733E"/>
    <w:rsid w:val="00472FEA"/>
    <w:rsid w:val="00475AD9"/>
    <w:rsid w:val="00480F1F"/>
    <w:rsid w:val="004912E4"/>
    <w:rsid w:val="00496016"/>
    <w:rsid w:val="004A0C35"/>
    <w:rsid w:val="004A0CA0"/>
    <w:rsid w:val="004A39DC"/>
    <w:rsid w:val="004A4024"/>
    <w:rsid w:val="004B44D6"/>
    <w:rsid w:val="004B6910"/>
    <w:rsid w:val="004B784D"/>
    <w:rsid w:val="004C56E4"/>
    <w:rsid w:val="004C7902"/>
    <w:rsid w:val="004C7D43"/>
    <w:rsid w:val="004D1852"/>
    <w:rsid w:val="004D5FF8"/>
    <w:rsid w:val="004F0C2E"/>
    <w:rsid w:val="00502C35"/>
    <w:rsid w:val="00505001"/>
    <w:rsid w:val="00513BA5"/>
    <w:rsid w:val="00533B54"/>
    <w:rsid w:val="005340FD"/>
    <w:rsid w:val="00543736"/>
    <w:rsid w:val="00564362"/>
    <w:rsid w:val="005741B7"/>
    <w:rsid w:val="00582CBA"/>
    <w:rsid w:val="00587D37"/>
    <w:rsid w:val="00590142"/>
    <w:rsid w:val="00590EC1"/>
    <w:rsid w:val="005A3B54"/>
    <w:rsid w:val="005B78E2"/>
    <w:rsid w:val="005C3C7B"/>
    <w:rsid w:val="005D2A15"/>
    <w:rsid w:val="005E0900"/>
    <w:rsid w:val="005E2F54"/>
    <w:rsid w:val="005F5B1A"/>
    <w:rsid w:val="00600DC7"/>
    <w:rsid w:val="006437D3"/>
    <w:rsid w:val="00643EB6"/>
    <w:rsid w:val="006510EE"/>
    <w:rsid w:val="00661A72"/>
    <w:rsid w:val="0066257B"/>
    <w:rsid w:val="0066544C"/>
    <w:rsid w:val="006662EB"/>
    <w:rsid w:val="006726F1"/>
    <w:rsid w:val="00672F5B"/>
    <w:rsid w:val="0067508D"/>
    <w:rsid w:val="00691559"/>
    <w:rsid w:val="00695A67"/>
    <w:rsid w:val="006A413A"/>
    <w:rsid w:val="006A5A4E"/>
    <w:rsid w:val="006A65EC"/>
    <w:rsid w:val="006B571D"/>
    <w:rsid w:val="006D687A"/>
    <w:rsid w:val="006F1584"/>
    <w:rsid w:val="006F2982"/>
    <w:rsid w:val="0070044A"/>
    <w:rsid w:val="00711144"/>
    <w:rsid w:val="00717C13"/>
    <w:rsid w:val="0072669B"/>
    <w:rsid w:val="00735561"/>
    <w:rsid w:val="007505FE"/>
    <w:rsid w:val="007523C7"/>
    <w:rsid w:val="007544AA"/>
    <w:rsid w:val="007805DE"/>
    <w:rsid w:val="007854A5"/>
    <w:rsid w:val="00785939"/>
    <w:rsid w:val="00796B76"/>
    <w:rsid w:val="007B18B9"/>
    <w:rsid w:val="007C4512"/>
    <w:rsid w:val="007D08AC"/>
    <w:rsid w:val="007D765C"/>
    <w:rsid w:val="007E47F2"/>
    <w:rsid w:val="007F1737"/>
    <w:rsid w:val="007F6410"/>
    <w:rsid w:val="00804473"/>
    <w:rsid w:val="008126E9"/>
    <w:rsid w:val="00845902"/>
    <w:rsid w:val="00851237"/>
    <w:rsid w:val="008609E5"/>
    <w:rsid w:val="00861971"/>
    <w:rsid w:val="00864162"/>
    <w:rsid w:val="00881558"/>
    <w:rsid w:val="008959B2"/>
    <w:rsid w:val="00897A24"/>
    <w:rsid w:val="008A1B54"/>
    <w:rsid w:val="008A2B3B"/>
    <w:rsid w:val="008B1841"/>
    <w:rsid w:val="008F0F09"/>
    <w:rsid w:val="008F6E4E"/>
    <w:rsid w:val="009118DF"/>
    <w:rsid w:val="009259E3"/>
    <w:rsid w:val="00945691"/>
    <w:rsid w:val="0094594E"/>
    <w:rsid w:val="00946C71"/>
    <w:rsid w:val="0095221E"/>
    <w:rsid w:val="009572E6"/>
    <w:rsid w:val="00973987"/>
    <w:rsid w:val="00981ED2"/>
    <w:rsid w:val="009A195D"/>
    <w:rsid w:val="009A47D5"/>
    <w:rsid w:val="009B3D93"/>
    <w:rsid w:val="009B72E9"/>
    <w:rsid w:val="009F0D64"/>
    <w:rsid w:val="009F23FF"/>
    <w:rsid w:val="009F2872"/>
    <w:rsid w:val="009F6F31"/>
    <w:rsid w:val="009F728E"/>
    <w:rsid w:val="009F7F90"/>
    <w:rsid w:val="00A0634D"/>
    <w:rsid w:val="00A0652C"/>
    <w:rsid w:val="00A14AA8"/>
    <w:rsid w:val="00A15AD6"/>
    <w:rsid w:val="00A21570"/>
    <w:rsid w:val="00A23E84"/>
    <w:rsid w:val="00A532BD"/>
    <w:rsid w:val="00A55123"/>
    <w:rsid w:val="00A55E2A"/>
    <w:rsid w:val="00A6522F"/>
    <w:rsid w:val="00A74D61"/>
    <w:rsid w:val="00A7727C"/>
    <w:rsid w:val="00A81725"/>
    <w:rsid w:val="00A86CC9"/>
    <w:rsid w:val="00A90A86"/>
    <w:rsid w:val="00A93983"/>
    <w:rsid w:val="00AA6D60"/>
    <w:rsid w:val="00AB2C7A"/>
    <w:rsid w:val="00AB360D"/>
    <w:rsid w:val="00AC0EE9"/>
    <w:rsid w:val="00AC3FD7"/>
    <w:rsid w:val="00AD4C27"/>
    <w:rsid w:val="00AE2B67"/>
    <w:rsid w:val="00AF441F"/>
    <w:rsid w:val="00B04244"/>
    <w:rsid w:val="00B14070"/>
    <w:rsid w:val="00B2373F"/>
    <w:rsid w:val="00B43231"/>
    <w:rsid w:val="00B50070"/>
    <w:rsid w:val="00B512ED"/>
    <w:rsid w:val="00B51FC5"/>
    <w:rsid w:val="00B565F1"/>
    <w:rsid w:val="00B57A67"/>
    <w:rsid w:val="00B61DBF"/>
    <w:rsid w:val="00B744CA"/>
    <w:rsid w:val="00B76830"/>
    <w:rsid w:val="00B92D39"/>
    <w:rsid w:val="00BA447C"/>
    <w:rsid w:val="00BA6D56"/>
    <w:rsid w:val="00BB1E94"/>
    <w:rsid w:val="00BE678C"/>
    <w:rsid w:val="00BE7825"/>
    <w:rsid w:val="00C01574"/>
    <w:rsid w:val="00C04A07"/>
    <w:rsid w:val="00C05082"/>
    <w:rsid w:val="00C06BBF"/>
    <w:rsid w:val="00C110E2"/>
    <w:rsid w:val="00C216EF"/>
    <w:rsid w:val="00C4369D"/>
    <w:rsid w:val="00C56D6F"/>
    <w:rsid w:val="00C60BB1"/>
    <w:rsid w:val="00C61AF5"/>
    <w:rsid w:val="00C63B94"/>
    <w:rsid w:val="00C76DBF"/>
    <w:rsid w:val="00C83831"/>
    <w:rsid w:val="00C8407D"/>
    <w:rsid w:val="00C857C4"/>
    <w:rsid w:val="00C94D5F"/>
    <w:rsid w:val="00CA041B"/>
    <w:rsid w:val="00CA7A73"/>
    <w:rsid w:val="00CB58A6"/>
    <w:rsid w:val="00CC2786"/>
    <w:rsid w:val="00CC358F"/>
    <w:rsid w:val="00CC7C10"/>
    <w:rsid w:val="00CD5073"/>
    <w:rsid w:val="00CE1C2D"/>
    <w:rsid w:val="00CE3215"/>
    <w:rsid w:val="00CF663E"/>
    <w:rsid w:val="00CF7C40"/>
    <w:rsid w:val="00D02697"/>
    <w:rsid w:val="00D0502C"/>
    <w:rsid w:val="00D215D2"/>
    <w:rsid w:val="00D250E7"/>
    <w:rsid w:val="00D2575E"/>
    <w:rsid w:val="00D27469"/>
    <w:rsid w:val="00D2751E"/>
    <w:rsid w:val="00D33049"/>
    <w:rsid w:val="00D44244"/>
    <w:rsid w:val="00D4465B"/>
    <w:rsid w:val="00D46029"/>
    <w:rsid w:val="00D47E4E"/>
    <w:rsid w:val="00D518C4"/>
    <w:rsid w:val="00D566F6"/>
    <w:rsid w:val="00D80836"/>
    <w:rsid w:val="00D86934"/>
    <w:rsid w:val="00D9208A"/>
    <w:rsid w:val="00DA1394"/>
    <w:rsid w:val="00DA1931"/>
    <w:rsid w:val="00DA26C9"/>
    <w:rsid w:val="00DB7058"/>
    <w:rsid w:val="00DD2478"/>
    <w:rsid w:val="00DD282F"/>
    <w:rsid w:val="00DD2B9E"/>
    <w:rsid w:val="00DD394C"/>
    <w:rsid w:val="00DE7A5C"/>
    <w:rsid w:val="00DF3B9D"/>
    <w:rsid w:val="00E06740"/>
    <w:rsid w:val="00E10630"/>
    <w:rsid w:val="00E12C22"/>
    <w:rsid w:val="00E12CB7"/>
    <w:rsid w:val="00E13380"/>
    <w:rsid w:val="00E50118"/>
    <w:rsid w:val="00E60C5A"/>
    <w:rsid w:val="00E62A7D"/>
    <w:rsid w:val="00E63D11"/>
    <w:rsid w:val="00E641BA"/>
    <w:rsid w:val="00E8272A"/>
    <w:rsid w:val="00E83819"/>
    <w:rsid w:val="00E85C95"/>
    <w:rsid w:val="00E86219"/>
    <w:rsid w:val="00E873B6"/>
    <w:rsid w:val="00E9177A"/>
    <w:rsid w:val="00E94AAF"/>
    <w:rsid w:val="00EA30E1"/>
    <w:rsid w:val="00EB2EAB"/>
    <w:rsid w:val="00EB56F5"/>
    <w:rsid w:val="00EB6FC9"/>
    <w:rsid w:val="00EC421B"/>
    <w:rsid w:val="00EC5DDA"/>
    <w:rsid w:val="00ED19A0"/>
    <w:rsid w:val="00ED7288"/>
    <w:rsid w:val="00EE3375"/>
    <w:rsid w:val="00EE35B6"/>
    <w:rsid w:val="00EF5ECE"/>
    <w:rsid w:val="00EF618C"/>
    <w:rsid w:val="00EF6F67"/>
    <w:rsid w:val="00F00C8E"/>
    <w:rsid w:val="00F0616B"/>
    <w:rsid w:val="00F24460"/>
    <w:rsid w:val="00F33014"/>
    <w:rsid w:val="00F34F3D"/>
    <w:rsid w:val="00F62070"/>
    <w:rsid w:val="00F6360B"/>
    <w:rsid w:val="00F73B9C"/>
    <w:rsid w:val="00F74361"/>
    <w:rsid w:val="00F817F3"/>
    <w:rsid w:val="00F84445"/>
    <w:rsid w:val="00F85F09"/>
    <w:rsid w:val="00F86CF3"/>
    <w:rsid w:val="00F915D1"/>
    <w:rsid w:val="00F9746F"/>
    <w:rsid w:val="00FB482B"/>
    <w:rsid w:val="00FC71C4"/>
    <w:rsid w:val="00FE5BF3"/>
    <w:rsid w:val="00FE60A5"/>
    <w:rsid w:val="00FF1F6C"/>
    <w:rsid w:val="18C36816"/>
    <w:rsid w:val="2201685E"/>
    <w:rsid w:val="28EE664E"/>
    <w:rsid w:val="2CFE2902"/>
    <w:rsid w:val="31195F2E"/>
    <w:rsid w:val="3ABC6075"/>
    <w:rsid w:val="4BE40FFA"/>
    <w:rsid w:val="4C386F18"/>
    <w:rsid w:val="4EEB42D7"/>
    <w:rsid w:val="58D57C77"/>
    <w:rsid w:val="6D5D74F9"/>
    <w:rsid w:val="74D921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方正仿宋简体" w:cs="Times New Roman"/>
      <w:sz w:val="32"/>
      <w:szCs w:val="24"/>
      <w:lang w:val="en-US" w:eastAsia="zh-CN" w:bidi="ar-SA"/>
    </w:rPr>
  </w:style>
  <w:style w:type="paragraph" w:styleId="2">
    <w:name w:val="heading 1"/>
    <w:basedOn w:val="1"/>
    <w:next w:val="1"/>
    <w:link w:val="22"/>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23"/>
    <w:unhideWhenUsed/>
    <w:qFormat/>
    <w:uiPriority w:val="9"/>
    <w:pPr>
      <w:keepNext/>
      <w:keepLines/>
      <w:widowControl w:val="0"/>
      <w:spacing w:before="260" w:after="260" w:line="416" w:lineRule="auto"/>
      <w:jc w:val="both"/>
      <w:outlineLvl w:val="1"/>
    </w:pPr>
    <w:rPr>
      <w:rFonts w:asciiTheme="majorHAnsi" w:hAnsiTheme="majorHAnsi" w:eastAsiaTheme="majorEastAsia" w:cstheme="majorBidi"/>
      <w:b/>
      <w:bCs/>
      <w:kern w:val="2"/>
      <w:sz w:val="32"/>
      <w:szCs w:val="32"/>
    </w:rPr>
  </w:style>
  <w:style w:type="paragraph" w:styleId="4">
    <w:name w:val="heading 3"/>
    <w:basedOn w:val="1"/>
    <w:next w:val="1"/>
    <w:link w:val="24"/>
    <w:semiHidden/>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link w:val="28"/>
    <w:semiHidden/>
    <w:unhideWhenUsed/>
    <w:qFormat/>
    <w:uiPriority w:val="99"/>
  </w:style>
  <w:style w:type="paragraph" w:styleId="6">
    <w:name w:val="toc 3"/>
    <w:basedOn w:val="1"/>
    <w:next w:val="1"/>
    <w:unhideWhenUsed/>
    <w:qFormat/>
    <w:uiPriority w:val="39"/>
    <w:pPr>
      <w:widowControl w:val="0"/>
      <w:ind w:left="840" w:leftChars="400"/>
      <w:jc w:val="both"/>
    </w:pPr>
    <w:rPr>
      <w:rFonts w:asciiTheme="minorHAnsi" w:hAnsiTheme="minorHAnsi" w:eastAsiaTheme="minorEastAsia" w:cstheme="minorBidi"/>
      <w:kern w:val="2"/>
      <w:sz w:val="21"/>
      <w:szCs w:val="22"/>
    </w:rPr>
  </w:style>
  <w:style w:type="paragraph" w:styleId="7">
    <w:name w:val="Balloon Text"/>
    <w:basedOn w:val="1"/>
    <w:link w:val="27"/>
    <w:semiHidden/>
    <w:unhideWhenUsed/>
    <w:qFormat/>
    <w:uiPriority w:val="99"/>
    <w:rPr>
      <w:sz w:val="18"/>
      <w:szCs w:val="18"/>
    </w:rPr>
  </w:style>
  <w:style w:type="paragraph" w:styleId="8">
    <w:name w:val="footer"/>
    <w:basedOn w:val="1"/>
    <w:link w:val="2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9">
    <w:name w:val="header"/>
    <w:basedOn w:val="1"/>
    <w:link w:val="20"/>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10">
    <w:name w:val="toc 1"/>
    <w:basedOn w:val="1"/>
    <w:next w:val="1"/>
    <w:unhideWhenUsed/>
    <w:qFormat/>
    <w:uiPriority w:val="39"/>
    <w:pPr>
      <w:widowControl w:val="0"/>
      <w:jc w:val="both"/>
    </w:pPr>
    <w:rPr>
      <w:rFonts w:asciiTheme="minorHAnsi" w:hAnsiTheme="minorHAnsi" w:eastAsiaTheme="minorEastAsia" w:cstheme="minorBidi"/>
      <w:kern w:val="2"/>
      <w:sz w:val="21"/>
      <w:szCs w:val="22"/>
    </w:rPr>
  </w:style>
  <w:style w:type="paragraph" w:styleId="11">
    <w:name w:val="toc 2"/>
    <w:basedOn w:val="1"/>
    <w:next w:val="1"/>
    <w:unhideWhenUsed/>
    <w:qFormat/>
    <w:uiPriority w:val="39"/>
    <w:pPr>
      <w:widowControl w:val="0"/>
      <w:ind w:left="420" w:leftChars="200"/>
      <w:jc w:val="both"/>
    </w:pPr>
    <w:rPr>
      <w:rFonts w:asciiTheme="minorHAnsi" w:hAnsiTheme="minorHAnsi" w:eastAsiaTheme="minorEastAsia" w:cstheme="minorBidi"/>
      <w:kern w:val="2"/>
      <w:sz w:val="21"/>
      <w:szCs w:val="22"/>
    </w:rPr>
  </w:style>
  <w:style w:type="paragraph" w:styleId="12">
    <w:name w:val="Normal (Web)"/>
    <w:basedOn w:val="1"/>
    <w:unhideWhenUsed/>
    <w:qFormat/>
    <w:uiPriority w:val="99"/>
    <w:pPr>
      <w:spacing w:before="100" w:beforeAutospacing="1" w:after="100" w:afterAutospacing="1"/>
    </w:pPr>
  </w:style>
  <w:style w:type="paragraph" w:styleId="13">
    <w:name w:val="annotation subject"/>
    <w:basedOn w:val="5"/>
    <w:next w:val="5"/>
    <w:link w:val="29"/>
    <w:semiHidden/>
    <w:unhideWhenUsed/>
    <w:qFormat/>
    <w:uiPriority w:val="99"/>
    <w:rPr>
      <w:b/>
      <w:bCs/>
    </w:rPr>
  </w:style>
  <w:style w:type="character" w:styleId="16">
    <w:name w:val="Strong"/>
    <w:basedOn w:val="15"/>
    <w:qFormat/>
    <w:uiPriority w:val="22"/>
    <w:rPr>
      <w:b/>
      <w:bCs/>
    </w:rPr>
  </w:style>
  <w:style w:type="character" w:styleId="17">
    <w:name w:val="page number"/>
    <w:basedOn w:val="15"/>
    <w:semiHidden/>
    <w:unhideWhenUsed/>
    <w:qFormat/>
    <w:uiPriority w:val="99"/>
  </w:style>
  <w:style w:type="character" w:styleId="18">
    <w:name w:val="Hyperlink"/>
    <w:basedOn w:val="15"/>
    <w:unhideWhenUsed/>
    <w:qFormat/>
    <w:uiPriority w:val="99"/>
    <w:rPr>
      <w:color w:val="0563C1" w:themeColor="hyperlink"/>
      <w:u w:val="single"/>
    </w:rPr>
  </w:style>
  <w:style w:type="character" w:styleId="19">
    <w:name w:val="annotation reference"/>
    <w:basedOn w:val="15"/>
    <w:semiHidden/>
    <w:unhideWhenUsed/>
    <w:qFormat/>
    <w:uiPriority w:val="99"/>
    <w:rPr>
      <w:sz w:val="21"/>
      <w:szCs w:val="21"/>
    </w:rPr>
  </w:style>
  <w:style w:type="character" w:customStyle="1" w:styleId="20">
    <w:name w:val="页眉 字符"/>
    <w:basedOn w:val="15"/>
    <w:link w:val="9"/>
    <w:qFormat/>
    <w:uiPriority w:val="99"/>
    <w:rPr>
      <w:sz w:val="18"/>
      <w:szCs w:val="18"/>
    </w:rPr>
  </w:style>
  <w:style w:type="character" w:customStyle="1" w:styleId="21">
    <w:name w:val="页脚 字符"/>
    <w:basedOn w:val="15"/>
    <w:link w:val="8"/>
    <w:qFormat/>
    <w:uiPriority w:val="99"/>
    <w:rPr>
      <w:sz w:val="18"/>
      <w:szCs w:val="18"/>
    </w:rPr>
  </w:style>
  <w:style w:type="character" w:customStyle="1" w:styleId="22">
    <w:name w:val="标题 1 字符"/>
    <w:basedOn w:val="15"/>
    <w:link w:val="2"/>
    <w:qFormat/>
    <w:uiPriority w:val="9"/>
    <w:rPr>
      <w:b/>
      <w:bCs/>
      <w:kern w:val="44"/>
      <w:sz w:val="44"/>
      <w:szCs w:val="44"/>
    </w:rPr>
  </w:style>
  <w:style w:type="character" w:customStyle="1" w:styleId="23">
    <w:name w:val="标题 2 字符"/>
    <w:basedOn w:val="15"/>
    <w:link w:val="3"/>
    <w:qFormat/>
    <w:uiPriority w:val="9"/>
    <w:rPr>
      <w:rFonts w:asciiTheme="majorHAnsi" w:hAnsiTheme="majorHAnsi" w:eastAsiaTheme="majorEastAsia" w:cstheme="majorBidi"/>
      <w:b/>
      <w:bCs/>
      <w:sz w:val="32"/>
      <w:szCs w:val="32"/>
    </w:rPr>
  </w:style>
  <w:style w:type="character" w:customStyle="1" w:styleId="24">
    <w:name w:val="标题 3 字符"/>
    <w:basedOn w:val="15"/>
    <w:link w:val="4"/>
    <w:semiHidden/>
    <w:qFormat/>
    <w:uiPriority w:val="9"/>
    <w:rPr>
      <w:b/>
      <w:bCs/>
      <w:sz w:val="32"/>
      <w:szCs w:val="32"/>
    </w:rPr>
  </w:style>
  <w:style w:type="paragraph" w:styleId="25">
    <w:name w:val="List Paragraph"/>
    <w:basedOn w:val="1"/>
    <w:qFormat/>
    <w:uiPriority w:val="34"/>
    <w:pPr>
      <w:ind w:firstLine="420" w:firstLineChars="200"/>
    </w:pPr>
  </w:style>
  <w:style w:type="character" w:customStyle="1" w:styleId="26">
    <w:name w:val="bjh-p"/>
    <w:basedOn w:val="15"/>
    <w:qFormat/>
    <w:uiPriority w:val="0"/>
  </w:style>
  <w:style w:type="character" w:customStyle="1" w:styleId="27">
    <w:name w:val="批注框文本 字符"/>
    <w:basedOn w:val="15"/>
    <w:link w:val="7"/>
    <w:semiHidden/>
    <w:qFormat/>
    <w:uiPriority w:val="99"/>
    <w:rPr>
      <w:rFonts w:ascii="宋体" w:hAnsi="宋体" w:eastAsia="宋体" w:cs="宋体"/>
      <w:kern w:val="0"/>
      <w:sz w:val="18"/>
      <w:szCs w:val="18"/>
    </w:rPr>
  </w:style>
  <w:style w:type="character" w:customStyle="1" w:styleId="28">
    <w:name w:val="批注文字 字符"/>
    <w:basedOn w:val="15"/>
    <w:link w:val="5"/>
    <w:semiHidden/>
    <w:qFormat/>
    <w:uiPriority w:val="99"/>
    <w:rPr>
      <w:rFonts w:ascii="宋体" w:hAnsi="宋体" w:eastAsia="宋体" w:cs="宋体"/>
      <w:kern w:val="0"/>
      <w:sz w:val="24"/>
      <w:szCs w:val="24"/>
    </w:rPr>
  </w:style>
  <w:style w:type="character" w:customStyle="1" w:styleId="29">
    <w:name w:val="批注主题 字符"/>
    <w:basedOn w:val="28"/>
    <w:link w:val="13"/>
    <w:semiHidden/>
    <w:qFormat/>
    <w:uiPriority w:val="99"/>
    <w:rPr>
      <w:rFonts w:ascii="宋体" w:hAnsi="宋体" w:eastAsia="宋体" w:cs="宋体"/>
      <w:b/>
      <w:bCs/>
      <w:kern w:val="0"/>
      <w:sz w:val="24"/>
      <w:szCs w:val="24"/>
    </w:rPr>
  </w:style>
  <w:style w:type="paragraph" w:customStyle="1" w:styleId="30">
    <w:name w:val="修订1"/>
    <w:hidden/>
    <w:semiHidden/>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4AD108A-C5C0-4EDD-A8E9-B2C66E008A8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1914</Words>
  <Characters>10914</Characters>
  <Lines>90</Lines>
  <Paragraphs>25</Paragraphs>
  <TotalTime>8</TotalTime>
  <ScaleCrop>false</ScaleCrop>
  <LinksUpToDate>false</LinksUpToDate>
  <CharactersWithSpaces>12803</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2019-10-16T02:00:00Z</dcterms:created>
  <dc:creator>Administrator</dc:creator>
  <cp:lastModifiedBy>532169458ka</cp:lastModifiedBy>
  <cp:lastPrinted>2019-10-17T03:36:00Z</cp:lastPrinted>
  <dcterms:modified xsi:type="dcterms:W3CDTF">2019-10-24T02:34:23Z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