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asciiTheme="minorHAnsi" w:hAnsiTheme="minorHAnsi" w:cstheme="minorHAnsi"/>
          <w:b/>
          <w:bCs/>
          <w:color w:val="auto"/>
          <w:sz w:val="52"/>
          <w:szCs w:val="52"/>
        </w:rPr>
      </w:pPr>
    </w:p>
    <w:p>
      <w:pPr>
        <w:jc w:val="center"/>
        <w:rPr>
          <w:rFonts w:eastAsia="宋体" w:asciiTheme="minorHAnsi" w:hAnsiTheme="minorHAnsi" w:cstheme="minorHAnsi"/>
          <w:b/>
          <w:bCs/>
          <w:color w:val="auto"/>
          <w:sz w:val="52"/>
          <w:szCs w:val="52"/>
        </w:rPr>
      </w:pPr>
      <w:r>
        <w:rPr>
          <w:rFonts w:hint="eastAsia" w:eastAsia="宋体" w:asciiTheme="minorHAnsi" w:hAnsiTheme="minorHAnsi" w:cstheme="minorHAnsi"/>
          <w:b/>
          <w:bCs/>
          <w:color w:val="auto"/>
          <w:sz w:val="52"/>
          <w:szCs w:val="52"/>
        </w:rPr>
        <w:t xml:space="preserve">   </w:t>
      </w:r>
    </w:p>
    <w:p>
      <w:pPr>
        <w:pStyle w:val="2"/>
        <w:rPr>
          <w:color w:val="auto"/>
        </w:rPr>
      </w:pPr>
    </w:p>
    <w:p>
      <w:pPr>
        <w:jc w:val="center"/>
        <w:rPr>
          <w:rFonts w:eastAsia="宋体" w:asciiTheme="minorHAnsi" w:hAnsiTheme="minorHAnsi" w:cstheme="minorHAnsi"/>
          <w:b/>
          <w:bCs/>
          <w:color w:val="auto"/>
          <w:sz w:val="52"/>
          <w:szCs w:val="52"/>
        </w:rPr>
      </w:pPr>
      <w:r>
        <w:rPr>
          <w:rFonts w:eastAsia="宋体" w:asciiTheme="minorHAnsi" w:hAnsiTheme="minorHAnsi" w:cstheme="minorHAnsi"/>
          <w:b/>
          <w:bCs/>
          <w:color w:val="auto"/>
          <w:sz w:val="52"/>
          <w:szCs w:val="52"/>
        </w:rPr>
        <w:t>五华县农村物流建设发展规划</w:t>
      </w:r>
    </w:p>
    <w:p>
      <w:pPr>
        <w:jc w:val="center"/>
        <w:rPr>
          <w:rFonts w:eastAsia="宋体" w:asciiTheme="minorHAnsi" w:hAnsiTheme="minorHAnsi" w:cstheme="minorHAnsi"/>
          <w:b/>
          <w:bCs/>
          <w:color w:val="auto"/>
          <w:sz w:val="52"/>
          <w:szCs w:val="52"/>
        </w:rPr>
      </w:pPr>
      <w:r>
        <w:rPr>
          <w:rFonts w:eastAsia="宋体" w:asciiTheme="minorHAnsi" w:hAnsiTheme="minorHAnsi" w:cstheme="minorHAnsi"/>
          <w:b/>
          <w:bCs/>
          <w:color w:val="auto"/>
          <w:sz w:val="52"/>
          <w:szCs w:val="52"/>
        </w:rPr>
        <w:t>（</w:t>
      </w:r>
      <w:r>
        <w:rPr>
          <w:rFonts w:hint="eastAsia" w:eastAsia="宋体" w:asciiTheme="minorHAnsi" w:hAnsiTheme="minorHAnsi" w:cstheme="minorHAnsi"/>
          <w:b/>
          <w:bCs/>
          <w:color w:val="auto"/>
          <w:sz w:val="52"/>
          <w:szCs w:val="52"/>
          <w:lang w:eastAsia="zh-CN"/>
        </w:rPr>
        <w:t>2020-2024</w:t>
      </w:r>
      <w:r>
        <w:rPr>
          <w:rFonts w:eastAsia="宋体" w:asciiTheme="minorHAnsi" w:hAnsiTheme="minorHAnsi" w:cstheme="minorHAnsi"/>
          <w:b/>
          <w:bCs/>
          <w:color w:val="auto"/>
          <w:sz w:val="52"/>
          <w:szCs w:val="52"/>
        </w:rPr>
        <w:t>）</w:t>
      </w:r>
    </w:p>
    <w:p>
      <w:pPr>
        <w:pStyle w:val="2"/>
        <w:ind w:left="0" w:leftChars="0" w:firstLine="0" w:firstLineChars="0"/>
        <w:jc w:val="center"/>
        <w:rPr>
          <w:rFonts w:asciiTheme="minorHAnsi" w:hAnsiTheme="minorHAnsi" w:cstheme="minorHAnsi"/>
          <w:color w:val="auto"/>
          <w:lang w:val="en-US"/>
        </w:rPr>
      </w:pPr>
      <w:r>
        <w:rPr>
          <w:rFonts w:hint="eastAsia" w:eastAsia="宋体" w:asciiTheme="minorHAnsi" w:hAnsiTheme="minorHAnsi" w:cstheme="minorHAnsi"/>
          <w:color w:val="auto"/>
          <w:sz w:val="44"/>
          <w:szCs w:val="44"/>
          <w:lang w:val="en-US" w:eastAsia="zh-CN"/>
        </w:rPr>
        <w:t>征求意见稿</w:t>
      </w:r>
    </w:p>
    <w:p>
      <w:pPr>
        <w:pStyle w:val="2"/>
        <w:rPr>
          <w:rFonts w:asciiTheme="minorHAnsi" w:hAnsiTheme="minorHAnsi" w:cstheme="minorHAnsi"/>
          <w:color w:val="auto"/>
        </w:rPr>
      </w:pPr>
    </w:p>
    <w:p>
      <w:pPr>
        <w:pStyle w:val="2"/>
        <w:rPr>
          <w:rFonts w:asciiTheme="minorHAnsi" w:hAnsiTheme="minorHAnsi" w:cstheme="minorHAnsi"/>
          <w:color w:val="auto"/>
        </w:rPr>
      </w:pPr>
    </w:p>
    <w:p>
      <w:pPr>
        <w:pStyle w:val="2"/>
        <w:rPr>
          <w:rFonts w:asciiTheme="minorHAnsi" w:hAnsiTheme="minorHAnsi" w:cstheme="minorHAnsi"/>
          <w:color w:val="auto"/>
        </w:rPr>
      </w:pPr>
    </w:p>
    <w:p>
      <w:pPr>
        <w:pStyle w:val="2"/>
        <w:rPr>
          <w:rFonts w:asciiTheme="minorHAnsi" w:hAnsiTheme="minorHAnsi" w:cstheme="minorHAnsi"/>
          <w:color w:val="auto"/>
        </w:rPr>
      </w:pPr>
    </w:p>
    <w:p>
      <w:pPr>
        <w:pStyle w:val="2"/>
        <w:rPr>
          <w:rFonts w:asciiTheme="minorHAnsi" w:hAnsiTheme="minorHAnsi" w:cstheme="minorHAnsi"/>
          <w:color w:val="auto"/>
        </w:rPr>
      </w:pPr>
    </w:p>
    <w:p>
      <w:pPr>
        <w:pStyle w:val="2"/>
        <w:rPr>
          <w:rFonts w:asciiTheme="minorHAnsi" w:hAnsiTheme="minorHAnsi" w:cstheme="minorHAnsi"/>
          <w:color w:val="auto"/>
        </w:rPr>
      </w:pPr>
    </w:p>
    <w:p>
      <w:pPr>
        <w:pStyle w:val="2"/>
        <w:rPr>
          <w:rFonts w:asciiTheme="minorHAnsi" w:hAnsiTheme="minorHAnsi" w:cstheme="minorHAnsi"/>
          <w:color w:val="auto"/>
        </w:rPr>
      </w:pPr>
    </w:p>
    <w:p>
      <w:pPr>
        <w:pStyle w:val="2"/>
        <w:rPr>
          <w:rFonts w:asciiTheme="minorHAnsi" w:hAnsiTheme="minorHAnsi" w:cstheme="minorHAnsi"/>
          <w:color w:val="auto"/>
        </w:rPr>
      </w:pPr>
    </w:p>
    <w:p>
      <w:pPr>
        <w:pStyle w:val="2"/>
        <w:rPr>
          <w:rFonts w:asciiTheme="minorHAnsi" w:hAnsiTheme="minorHAnsi" w:cstheme="minorHAnsi"/>
          <w:color w:val="auto"/>
        </w:rPr>
      </w:pPr>
    </w:p>
    <w:p>
      <w:pPr>
        <w:pStyle w:val="2"/>
        <w:rPr>
          <w:rFonts w:asciiTheme="minorHAnsi" w:hAnsiTheme="minorHAnsi" w:cstheme="minorHAnsi"/>
          <w:color w:val="auto"/>
        </w:rPr>
      </w:pPr>
    </w:p>
    <w:p>
      <w:pPr>
        <w:pStyle w:val="2"/>
        <w:rPr>
          <w:rFonts w:asciiTheme="minorHAnsi" w:hAnsiTheme="minorHAnsi" w:cstheme="minorHAnsi"/>
          <w:color w:val="auto"/>
        </w:rPr>
      </w:pPr>
    </w:p>
    <w:p>
      <w:pPr>
        <w:pStyle w:val="2"/>
        <w:rPr>
          <w:rFonts w:asciiTheme="minorHAnsi" w:hAnsiTheme="minorHAnsi" w:cstheme="minorHAnsi"/>
          <w:color w:val="auto"/>
        </w:rPr>
      </w:pPr>
    </w:p>
    <w:p>
      <w:pPr>
        <w:pStyle w:val="2"/>
        <w:rPr>
          <w:rFonts w:asciiTheme="minorHAnsi" w:hAnsiTheme="minorHAnsi" w:cstheme="minorHAnsi"/>
          <w:color w:val="auto"/>
        </w:rPr>
      </w:pPr>
    </w:p>
    <w:p>
      <w:pPr>
        <w:pStyle w:val="2"/>
        <w:rPr>
          <w:rFonts w:asciiTheme="minorHAnsi" w:hAnsiTheme="minorHAnsi" w:cstheme="minorHAnsi"/>
          <w:color w:val="auto"/>
        </w:rPr>
      </w:pPr>
    </w:p>
    <w:p>
      <w:pPr>
        <w:pStyle w:val="2"/>
        <w:rPr>
          <w:rFonts w:asciiTheme="minorHAnsi" w:hAnsiTheme="minorHAnsi" w:eastAsiaTheme="majorEastAsia" w:cstheme="minorHAnsi"/>
          <w:color w:val="auto"/>
        </w:rPr>
      </w:pPr>
    </w:p>
    <w:p>
      <w:pPr>
        <w:pStyle w:val="2"/>
        <w:rPr>
          <w:rFonts w:asciiTheme="minorHAnsi" w:hAnsiTheme="minorHAnsi" w:eastAsiaTheme="majorEastAsia" w:cstheme="minorHAnsi"/>
          <w:color w:val="auto"/>
        </w:rPr>
      </w:pPr>
    </w:p>
    <w:p>
      <w:pPr>
        <w:pStyle w:val="2"/>
        <w:rPr>
          <w:rFonts w:asciiTheme="minorHAnsi" w:hAnsiTheme="minorHAnsi" w:eastAsiaTheme="majorEastAsia" w:cstheme="minorHAnsi"/>
          <w:color w:val="auto"/>
        </w:rPr>
      </w:pPr>
    </w:p>
    <w:p>
      <w:pPr>
        <w:pStyle w:val="2"/>
        <w:rPr>
          <w:rFonts w:asciiTheme="minorHAnsi" w:hAnsiTheme="minorHAnsi" w:eastAsiaTheme="majorEastAsia" w:cstheme="minorHAnsi"/>
          <w:color w:val="auto"/>
        </w:rPr>
      </w:pPr>
    </w:p>
    <w:p>
      <w:pPr>
        <w:pStyle w:val="2"/>
        <w:ind w:firstLine="0" w:firstLineChars="0"/>
        <w:jc w:val="center"/>
        <w:rPr>
          <w:rFonts w:asciiTheme="minorHAnsi" w:hAnsiTheme="minorHAnsi" w:eastAsiaTheme="majorEastAsia" w:cstheme="minorHAnsi"/>
          <w:b/>
          <w:color w:val="auto"/>
          <w:sz w:val="36"/>
        </w:rPr>
      </w:pPr>
      <w:r>
        <w:rPr>
          <w:rFonts w:asciiTheme="minorHAnsi" w:hAnsiTheme="minorHAnsi" w:eastAsiaTheme="majorEastAsia" w:cstheme="minorHAnsi"/>
          <w:b/>
          <w:color w:val="auto"/>
          <w:sz w:val="36"/>
        </w:rPr>
        <w:t>五华县科工商务局</w:t>
      </w:r>
    </w:p>
    <w:p>
      <w:pPr>
        <w:pStyle w:val="2"/>
        <w:ind w:firstLine="0" w:firstLineChars="0"/>
        <w:jc w:val="center"/>
        <w:rPr>
          <w:rFonts w:asciiTheme="minorHAnsi" w:hAnsiTheme="minorHAnsi" w:eastAsiaTheme="majorEastAsia" w:cstheme="minorHAnsi"/>
          <w:b/>
          <w:color w:val="auto"/>
          <w:sz w:val="36"/>
        </w:rPr>
      </w:pPr>
      <w:r>
        <w:rPr>
          <w:rFonts w:asciiTheme="minorHAnsi" w:hAnsiTheme="minorHAnsi" w:eastAsiaTheme="majorEastAsia" w:cstheme="minorHAnsi"/>
          <w:b/>
          <w:color w:val="auto"/>
          <w:sz w:val="36"/>
        </w:rPr>
        <w:t>广东省物流行业协会</w:t>
      </w:r>
    </w:p>
    <w:p>
      <w:pPr>
        <w:pStyle w:val="2"/>
        <w:ind w:firstLine="3373" w:firstLineChars="1200"/>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20</w:t>
      </w:r>
      <w:r>
        <w:rPr>
          <w:rFonts w:hint="eastAsia" w:asciiTheme="minorEastAsia" w:hAnsiTheme="minorEastAsia" w:eastAsiaTheme="minorEastAsia" w:cstheme="minorEastAsia"/>
          <w:b/>
          <w:bCs/>
          <w:color w:val="auto"/>
          <w:sz w:val="28"/>
          <w:szCs w:val="28"/>
          <w:lang w:val="en-US" w:eastAsia="zh-CN"/>
        </w:rPr>
        <w:t>19</w:t>
      </w:r>
      <w:r>
        <w:rPr>
          <w:rFonts w:hint="eastAsia" w:asciiTheme="minorEastAsia" w:hAnsiTheme="minorEastAsia" w:eastAsiaTheme="minorEastAsia" w:cstheme="minorEastAsia"/>
          <w:b/>
          <w:bCs/>
          <w:color w:val="auto"/>
          <w:sz w:val="28"/>
          <w:szCs w:val="28"/>
        </w:rPr>
        <w:t>年</w:t>
      </w:r>
      <w:r>
        <w:rPr>
          <w:rFonts w:hint="eastAsia" w:asciiTheme="minorEastAsia" w:hAnsiTheme="minorEastAsia" w:eastAsiaTheme="minorEastAsia" w:cstheme="minorEastAsia"/>
          <w:b/>
          <w:bCs/>
          <w:color w:val="auto"/>
          <w:sz w:val="28"/>
          <w:szCs w:val="28"/>
          <w:lang w:val="en-US" w:eastAsia="zh-CN"/>
        </w:rPr>
        <w:t>12</w:t>
      </w:r>
      <w:r>
        <w:rPr>
          <w:rFonts w:hint="eastAsia" w:asciiTheme="minorEastAsia" w:hAnsiTheme="minorEastAsia" w:eastAsiaTheme="minorEastAsia" w:cstheme="minorEastAsia"/>
          <w:b/>
          <w:bCs/>
          <w:color w:val="auto"/>
          <w:sz w:val="28"/>
          <w:szCs w:val="28"/>
        </w:rPr>
        <w:t>月</w:t>
      </w:r>
    </w:p>
    <w:p>
      <w:pPr>
        <w:pStyle w:val="2"/>
        <w:rPr>
          <w:rFonts w:asciiTheme="minorHAnsi" w:hAnsiTheme="minorHAnsi" w:cstheme="minorHAnsi"/>
          <w:color w:val="auto"/>
        </w:rPr>
      </w:pPr>
    </w:p>
    <w:p>
      <w:pPr>
        <w:pStyle w:val="2"/>
        <w:rPr>
          <w:rFonts w:asciiTheme="minorHAnsi" w:hAnsiTheme="minorHAnsi" w:cstheme="minorHAnsi"/>
          <w:color w:val="auto"/>
        </w:rPr>
      </w:pPr>
    </w:p>
    <w:p>
      <w:pPr>
        <w:pStyle w:val="2"/>
        <w:ind w:firstLine="0" w:firstLineChars="0"/>
        <w:rPr>
          <w:rFonts w:asciiTheme="minorHAnsi" w:hAnsiTheme="minorHAnsi" w:cstheme="minorHAnsi"/>
          <w:color w:val="auto"/>
        </w:rPr>
      </w:pPr>
    </w:p>
    <w:p>
      <w:pPr>
        <w:pStyle w:val="2"/>
        <w:ind w:firstLine="0" w:firstLineChars="0"/>
        <w:rPr>
          <w:rFonts w:asciiTheme="minorHAnsi" w:hAnsiTheme="minorHAnsi" w:cstheme="minorHAnsi"/>
          <w:color w:val="auto"/>
        </w:rPr>
      </w:pPr>
      <w:bookmarkStart w:id="71" w:name="_GoBack"/>
      <w:bookmarkEnd w:id="71"/>
    </w:p>
    <w:p>
      <w:pPr>
        <w:pStyle w:val="2"/>
        <w:ind w:firstLine="0" w:firstLineChars="0"/>
        <w:rPr>
          <w:rFonts w:hint="eastAsia" w:asciiTheme="minorHAnsi" w:hAnsiTheme="minorHAnsi" w:cstheme="minorHAnsi"/>
          <w:color w:val="auto"/>
        </w:rPr>
      </w:pPr>
    </w:p>
    <w:sdt>
      <w:sdtPr>
        <w:rPr>
          <w:rFonts w:hint="eastAsia" w:ascii="仿宋_GB2312" w:hAnsi="仿宋_GB2312" w:cs="仿宋_GB2312"/>
          <w:color w:val="auto"/>
          <w:sz w:val="30"/>
          <w:szCs w:val="30"/>
        </w:rPr>
        <w:id w:val="-1366210965"/>
        <w:docPartObj>
          <w:docPartGallery w:val="Table of Contents"/>
          <w:docPartUnique/>
        </w:docPartObj>
      </w:sdtPr>
      <w:sdtEndPr>
        <w:rPr>
          <w:rFonts w:hint="eastAsia" w:ascii="仿宋_GB2312" w:hAnsi="仿宋_GB2312" w:cs="仿宋_GB2312"/>
          <w:b/>
          <w:bCs/>
          <w:color w:val="auto"/>
          <w:sz w:val="24"/>
          <w:szCs w:val="24"/>
          <w:lang w:val="zh-CN"/>
        </w:rPr>
      </w:sdtEndPr>
      <w:sdtContent>
        <w:p>
          <w:pPr>
            <w:spacing w:line="380" w:lineRule="exact"/>
            <w:jc w:val="center"/>
            <w:rPr>
              <w:rFonts w:ascii="仿宋_GB2312" w:hAnsi="仿宋_GB2312" w:cs="仿宋_GB2312"/>
              <w:b/>
              <w:bCs/>
              <w:color w:val="auto"/>
              <w:sz w:val="32"/>
              <w:szCs w:val="32"/>
            </w:rPr>
          </w:pPr>
          <w:r>
            <w:rPr>
              <w:rFonts w:hint="eastAsia" w:ascii="仿宋_GB2312" w:hAnsi="仿宋_GB2312" w:cs="仿宋_GB2312"/>
              <w:b/>
              <w:bCs/>
              <w:color w:val="auto"/>
              <w:sz w:val="32"/>
              <w:szCs w:val="32"/>
            </w:rPr>
            <w:t>目 录</w:t>
          </w:r>
        </w:p>
        <w:p>
          <w:pPr>
            <w:pStyle w:val="9"/>
            <w:tabs>
              <w:tab w:val="right" w:leader="dot" w:pos="8306"/>
              <w:tab w:val="clear" w:pos="8296"/>
            </w:tabs>
            <w:spacing w:line="380" w:lineRule="exact"/>
            <w:rPr>
              <w:rFonts w:ascii="仿宋_GB2312" w:hAnsi="仿宋_GB2312" w:cs="仿宋_GB2312"/>
              <w:color w:val="auto"/>
              <w:sz w:val="28"/>
              <w:szCs w:val="28"/>
            </w:rPr>
          </w:pP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TOC \o "1-3" \h \z \u </w:instrText>
          </w:r>
          <w:r>
            <w:rPr>
              <w:rFonts w:hint="eastAsia" w:ascii="仿宋_GB2312" w:hAnsi="仿宋_GB2312" w:cs="仿宋_GB2312"/>
              <w:color w:val="auto"/>
              <w:sz w:val="28"/>
              <w:szCs w:val="28"/>
            </w:rPr>
            <w:fldChar w:fldCharType="separate"/>
          </w:r>
          <w:r>
            <w:rPr>
              <w:color w:val="auto"/>
            </w:rPr>
            <w:fldChar w:fldCharType="begin"/>
          </w:r>
          <w:r>
            <w:rPr>
              <w:color w:val="auto"/>
            </w:rPr>
            <w:instrText xml:space="preserve"> HYPERLINK \l "_Toc7625" </w:instrText>
          </w:r>
          <w:r>
            <w:rPr>
              <w:color w:val="auto"/>
            </w:rPr>
            <w:fldChar w:fldCharType="separate"/>
          </w:r>
          <w:r>
            <w:rPr>
              <w:rFonts w:hint="eastAsia" w:ascii="仿宋_GB2312" w:hAnsi="仿宋_GB2312" w:cs="仿宋_GB2312"/>
              <w:color w:val="auto"/>
              <w:sz w:val="28"/>
              <w:szCs w:val="28"/>
            </w:rPr>
            <w:t>一、发展现状</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_Toc7625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"_Toc2478" </w:instrText>
          </w:r>
          <w:r>
            <w:rPr>
              <w:color w:val="auto"/>
            </w:rPr>
            <w:fldChar w:fldCharType="separate"/>
          </w:r>
          <w:r>
            <w:rPr>
              <w:rFonts w:hint="eastAsia" w:ascii="仿宋_GB2312" w:hAnsi="仿宋_GB2312" w:cs="仿宋_GB2312"/>
              <w:color w:val="auto"/>
              <w:sz w:val="28"/>
              <w:szCs w:val="28"/>
            </w:rPr>
            <w:t>（一）发展基础</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_Toc2478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"_Toc13462" </w:instrText>
          </w:r>
          <w:r>
            <w:rPr>
              <w:color w:val="auto"/>
            </w:rPr>
            <w:fldChar w:fldCharType="separate"/>
          </w:r>
          <w:r>
            <w:rPr>
              <w:rFonts w:hint="eastAsia" w:ascii="仿宋_GB2312" w:hAnsi="仿宋_GB2312" w:cs="仿宋_GB2312"/>
              <w:color w:val="auto"/>
              <w:sz w:val="28"/>
              <w:szCs w:val="28"/>
            </w:rPr>
            <w:t>（二）发展瓶颈</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_Toc13462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3</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9"/>
            <w:tabs>
              <w:tab w:val="right" w:leader="dot" w:pos="8306"/>
              <w:tab w:val="clear" w:pos="829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"_Toc9092" </w:instrText>
          </w:r>
          <w:r>
            <w:rPr>
              <w:color w:val="auto"/>
            </w:rPr>
            <w:fldChar w:fldCharType="separate"/>
          </w:r>
          <w:r>
            <w:rPr>
              <w:rFonts w:hint="eastAsia" w:ascii="仿宋_GB2312" w:hAnsi="仿宋_GB2312" w:cs="仿宋_GB2312"/>
              <w:color w:val="auto"/>
              <w:sz w:val="28"/>
              <w:szCs w:val="28"/>
            </w:rPr>
            <w:t>二、总体要求</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_Toc9092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6</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"_Toc5491" </w:instrText>
          </w:r>
          <w:r>
            <w:rPr>
              <w:color w:val="auto"/>
            </w:rPr>
            <w:fldChar w:fldCharType="separate"/>
          </w:r>
          <w:r>
            <w:rPr>
              <w:rFonts w:hint="eastAsia" w:ascii="仿宋_GB2312" w:hAnsi="仿宋_GB2312" w:cs="仿宋_GB2312"/>
              <w:color w:val="auto"/>
              <w:sz w:val="28"/>
              <w:szCs w:val="28"/>
            </w:rPr>
            <w:t>（一）总体思路</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_Toc5491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6</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"_Toc6764" </w:instrText>
          </w:r>
          <w:r>
            <w:rPr>
              <w:color w:val="auto"/>
            </w:rPr>
            <w:fldChar w:fldCharType="separate"/>
          </w:r>
          <w:r>
            <w:rPr>
              <w:rFonts w:hint="eastAsia" w:ascii="仿宋_GB2312" w:hAnsi="仿宋_GB2312" w:cs="仿宋_GB2312"/>
              <w:color w:val="auto"/>
              <w:sz w:val="28"/>
              <w:szCs w:val="28"/>
            </w:rPr>
            <w:t>（二）发展目标</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_Toc6764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6</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9"/>
            <w:tabs>
              <w:tab w:val="right" w:leader="dot" w:pos="8306"/>
              <w:tab w:val="clear" w:pos="829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"_Toc30308" </w:instrText>
          </w:r>
          <w:r>
            <w:rPr>
              <w:color w:val="auto"/>
            </w:rPr>
            <w:fldChar w:fldCharType="separate"/>
          </w:r>
          <w:r>
            <w:rPr>
              <w:rFonts w:hint="eastAsia" w:ascii="仿宋_GB2312" w:hAnsi="仿宋_GB2312" w:cs="仿宋_GB2312"/>
              <w:color w:val="auto"/>
              <w:sz w:val="28"/>
              <w:szCs w:val="28"/>
            </w:rPr>
            <w:t>三、体系及节点布局</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_Toc30308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7</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"_Toc28744" </w:instrText>
          </w:r>
          <w:r>
            <w:rPr>
              <w:color w:val="auto"/>
            </w:rPr>
            <w:fldChar w:fldCharType="separate"/>
          </w:r>
          <w:r>
            <w:rPr>
              <w:rFonts w:hint="eastAsia" w:ascii="仿宋_GB2312" w:hAnsi="仿宋_GB2312" w:cs="仿宋_GB2312"/>
              <w:color w:val="auto"/>
              <w:sz w:val="28"/>
              <w:szCs w:val="28"/>
            </w:rPr>
            <w:t>（一）县级现代物流产业园区</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_Toc28744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8</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"_Toc11747" </w:instrText>
          </w:r>
          <w:r>
            <w:rPr>
              <w:color w:val="auto"/>
            </w:rPr>
            <w:fldChar w:fldCharType="separate"/>
          </w:r>
          <w:r>
            <w:rPr>
              <w:rFonts w:hint="eastAsia" w:ascii="仿宋_GB2312" w:hAnsi="仿宋_GB2312" w:cs="仿宋_GB2312"/>
              <w:color w:val="auto"/>
              <w:sz w:val="28"/>
              <w:szCs w:val="28"/>
            </w:rPr>
            <w:t>（二）镇级农村物流多功能服务中心</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_Toc11747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9</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"_Toc13612" </w:instrText>
          </w:r>
          <w:r>
            <w:rPr>
              <w:color w:val="auto"/>
            </w:rPr>
            <w:fldChar w:fldCharType="separate"/>
          </w:r>
          <w:r>
            <w:rPr>
              <w:rFonts w:hint="eastAsia" w:ascii="仿宋_GB2312" w:hAnsi="仿宋_GB2312" w:cs="仿宋_GB2312"/>
              <w:color w:val="auto"/>
              <w:sz w:val="28"/>
              <w:szCs w:val="28"/>
            </w:rPr>
            <w:t>（三）五华县物流公共信息化平台</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_Toc13612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9</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9"/>
            <w:tabs>
              <w:tab w:val="right" w:leader="dot" w:pos="8306"/>
              <w:tab w:val="clear" w:pos="829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"_Toc22839" </w:instrText>
          </w:r>
          <w:r>
            <w:rPr>
              <w:color w:val="auto"/>
            </w:rPr>
            <w:fldChar w:fldCharType="separate"/>
          </w:r>
          <w:r>
            <w:rPr>
              <w:rFonts w:hint="eastAsia" w:ascii="仿宋_GB2312" w:hAnsi="仿宋_GB2312" w:cs="仿宋_GB2312"/>
              <w:color w:val="auto"/>
              <w:sz w:val="28"/>
              <w:szCs w:val="28"/>
            </w:rPr>
            <w:t>四、主要任务</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_Toc22839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9</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"_Toc4307" </w:instrText>
          </w:r>
          <w:r>
            <w:rPr>
              <w:color w:val="auto"/>
            </w:rPr>
            <w:fldChar w:fldCharType="separate"/>
          </w:r>
          <w:r>
            <w:rPr>
              <w:rFonts w:hint="eastAsia" w:ascii="仿宋_GB2312" w:hAnsi="仿宋_GB2312" w:cs="仿宋_GB2312"/>
              <w:color w:val="auto"/>
              <w:sz w:val="28"/>
              <w:szCs w:val="28"/>
            </w:rPr>
            <w:t>（一）完善农村物流网络布局</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_Toc4307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9</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"_Toc19057" </w:instrText>
          </w:r>
          <w:r>
            <w:rPr>
              <w:color w:val="auto"/>
            </w:rPr>
            <w:fldChar w:fldCharType="separate"/>
          </w:r>
          <w:r>
            <w:rPr>
              <w:rFonts w:hint="eastAsia" w:ascii="仿宋_GB2312" w:hAnsi="仿宋_GB2312" w:cs="仿宋_GB2312"/>
              <w:color w:val="auto"/>
              <w:sz w:val="28"/>
              <w:szCs w:val="28"/>
            </w:rPr>
            <w:t>（二）完善农村物流基础设施</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_Toc19057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10</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"_Toc22832" </w:instrText>
          </w:r>
          <w:r>
            <w:rPr>
              <w:color w:val="auto"/>
            </w:rPr>
            <w:fldChar w:fldCharType="separate"/>
          </w:r>
          <w:r>
            <w:rPr>
              <w:rFonts w:hint="eastAsia" w:ascii="仿宋_GB2312" w:hAnsi="仿宋_GB2312" w:cs="仿宋_GB2312"/>
              <w:color w:val="auto"/>
              <w:sz w:val="28"/>
              <w:szCs w:val="28"/>
            </w:rPr>
            <w:t>（三）推动农产品重要流通节点建设</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_Toc22832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10</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"_Toc9051" </w:instrText>
          </w:r>
          <w:r>
            <w:rPr>
              <w:color w:val="auto"/>
            </w:rPr>
            <w:fldChar w:fldCharType="separate"/>
          </w:r>
          <w:r>
            <w:rPr>
              <w:rFonts w:hint="eastAsia" w:ascii="仿宋_GB2312" w:hAnsi="仿宋_GB2312" w:cs="仿宋_GB2312"/>
              <w:color w:val="auto"/>
              <w:sz w:val="28"/>
              <w:szCs w:val="28"/>
            </w:rPr>
            <w:t>（四）推动农村物流发展模式创新</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_Toc9051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11</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"_Toc9750" </w:instrText>
          </w:r>
          <w:r>
            <w:rPr>
              <w:color w:val="auto"/>
            </w:rPr>
            <w:fldChar w:fldCharType="separate"/>
          </w:r>
          <w:r>
            <w:rPr>
              <w:rFonts w:hint="eastAsia" w:ascii="仿宋_GB2312" w:hAnsi="仿宋_GB2312" w:cs="仿宋_GB2312"/>
              <w:color w:val="auto"/>
              <w:sz w:val="28"/>
              <w:szCs w:val="28"/>
            </w:rPr>
            <w:t>（五）推动冷链物流绿色发展</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_Toc9750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12</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"_Toc27871" </w:instrText>
          </w:r>
          <w:r>
            <w:rPr>
              <w:color w:val="auto"/>
            </w:rPr>
            <w:fldChar w:fldCharType="separate"/>
          </w:r>
          <w:r>
            <w:rPr>
              <w:rFonts w:hint="eastAsia" w:ascii="仿宋_GB2312" w:hAnsi="仿宋_GB2312" w:cs="仿宋_GB2312"/>
              <w:color w:val="auto"/>
              <w:sz w:val="28"/>
              <w:szCs w:val="28"/>
            </w:rPr>
            <w:t>（六）推动农村电商与精准扶贫联动发展</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_Toc27871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12</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"_Toc4999" </w:instrText>
          </w:r>
          <w:r>
            <w:rPr>
              <w:color w:val="auto"/>
            </w:rPr>
            <w:fldChar w:fldCharType="separate"/>
          </w:r>
          <w:r>
            <w:rPr>
              <w:rFonts w:hint="eastAsia" w:ascii="仿宋_GB2312" w:hAnsi="仿宋_GB2312" w:cs="仿宋_GB2312"/>
              <w:color w:val="auto"/>
              <w:sz w:val="28"/>
              <w:szCs w:val="28"/>
            </w:rPr>
            <w:t>（七）促进农村物流融合发展</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_Toc4999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13</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9"/>
            <w:tabs>
              <w:tab w:val="right" w:leader="dot" w:pos="8306"/>
              <w:tab w:val="clear" w:pos="829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"_Toc14003" </w:instrText>
          </w:r>
          <w:r>
            <w:rPr>
              <w:color w:val="auto"/>
            </w:rPr>
            <w:fldChar w:fldCharType="separate"/>
          </w:r>
          <w:r>
            <w:rPr>
              <w:rFonts w:hint="eastAsia" w:ascii="仿宋_GB2312" w:hAnsi="仿宋_GB2312" w:cs="仿宋_GB2312"/>
              <w:color w:val="auto"/>
              <w:sz w:val="28"/>
              <w:szCs w:val="28"/>
            </w:rPr>
            <w:t>五、重点工程</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_Toc14003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14</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"_Toc12087" </w:instrText>
          </w:r>
          <w:r>
            <w:rPr>
              <w:color w:val="auto"/>
            </w:rPr>
            <w:fldChar w:fldCharType="separate"/>
          </w:r>
          <w:r>
            <w:rPr>
              <w:rFonts w:hint="eastAsia" w:ascii="仿宋_GB2312" w:hAnsi="仿宋_GB2312" w:cs="仿宋_GB2312"/>
              <w:color w:val="auto"/>
              <w:sz w:val="28"/>
              <w:szCs w:val="28"/>
            </w:rPr>
            <w:t>（一）农村物流节点体系建设工程</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_Toc12087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14</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"_Toc26951" </w:instrText>
          </w:r>
          <w:r>
            <w:rPr>
              <w:color w:val="auto"/>
            </w:rPr>
            <w:fldChar w:fldCharType="separate"/>
          </w:r>
          <w:r>
            <w:rPr>
              <w:rFonts w:hint="eastAsia" w:ascii="仿宋_GB2312" w:hAnsi="仿宋_GB2312" w:cs="仿宋_GB2312"/>
              <w:color w:val="auto"/>
              <w:sz w:val="28"/>
              <w:szCs w:val="28"/>
            </w:rPr>
            <w:t>（二）农村生鲜冷链物流工程</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_Toc26951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14</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"_Toc13106" </w:instrText>
          </w:r>
          <w:r>
            <w:rPr>
              <w:color w:val="auto"/>
            </w:rPr>
            <w:fldChar w:fldCharType="separate"/>
          </w:r>
          <w:r>
            <w:rPr>
              <w:rFonts w:hint="eastAsia" w:ascii="仿宋_GB2312" w:hAnsi="仿宋_GB2312" w:cs="仿宋_GB2312"/>
              <w:color w:val="auto"/>
              <w:sz w:val="28"/>
              <w:szCs w:val="28"/>
            </w:rPr>
            <w:t>（三）农村电商物流建设工程</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_Toc13106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15</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"_Toc1101" </w:instrText>
          </w:r>
          <w:r>
            <w:rPr>
              <w:color w:val="auto"/>
            </w:rPr>
            <w:fldChar w:fldCharType="separate"/>
          </w:r>
          <w:r>
            <w:rPr>
              <w:rFonts w:hint="eastAsia" w:ascii="仿宋_GB2312" w:hAnsi="仿宋_GB2312" w:cs="仿宋_GB2312"/>
              <w:color w:val="auto"/>
              <w:sz w:val="28"/>
              <w:szCs w:val="28"/>
            </w:rPr>
            <w:t>（四）农村物流信息平台建设工程</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_Toc1101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16</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"_Toc32472" </w:instrText>
          </w:r>
          <w:r>
            <w:rPr>
              <w:color w:val="auto"/>
            </w:rPr>
            <w:fldChar w:fldCharType="separate"/>
          </w:r>
          <w:r>
            <w:rPr>
              <w:rFonts w:hint="eastAsia" w:ascii="仿宋_GB2312" w:hAnsi="仿宋_GB2312" w:cs="仿宋_GB2312"/>
              <w:color w:val="auto"/>
              <w:sz w:val="28"/>
              <w:szCs w:val="28"/>
            </w:rPr>
            <w:t>（五）乡村“幸福驿站”建设工程</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_Toc32472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16</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"_Toc5713" </w:instrText>
          </w:r>
          <w:r>
            <w:rPr>
              <w:color w:val="auto"/>
            </w:rPr>
            <w:fldChar w:fldCharType="separate"/>
          </w:r>
          <w:r>
            <w:rPr>
              <w:rFonts w:hint="eastAsia" w:ascii="仿宋_GB2312" w:hAnsi="仿宋_GB2312" w:cs="仿宋_GB2312"/>
              <w:color w:val="auto"/>
              <w:sz w:val="28"/>
              <w:szCs w:val="28"/>
            </w:rPr>
            <w:t>（六）农村物流标准化建设工程</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_Toc5713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17</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"_Toc2182" </w:instrText>
          </w:r>
          <w:r>
            <w:rPr>
              <w:color w:val="auto"/>
            </w:rPr>
            <w:fldChar w:fldCharType="separate"/>
          </w:r>
          <w:r>
            <w:rPr>
              <w:rFonts w:hint="eastAsia" w:ascii="仿宋_GB2312" w:hAnsi="仿宋_GB2312" w:cs="仿宋_GB2312"/>
              <w:color w:val="auto"/>
              <w:sz w:val="28"/>
              <w:szCs w:val="28"/>
            </w:rPr>
            <w:t>（七）物流龙头企业培育工程</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_Toc2182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18</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9"/>
            <w:tabs>
              <w:tab w:val="right" w:leader="dot" w:pos="8306"/>
              <w:tab w:val="clear" w:pos="829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"_Toc24121" </w:instrText>
          </w:r>
          <w:r>
            <w:rPr>
              <w:color w:val="auto"/>
            </w:rPr>
            <w:fldChar w:fldCharType="separate"/>
          </w:r>
          <w:r>
            <w:rPr>
              <w:rFonts w:hint="eastAsia" w:ascii="仿宋_GB2312" w:hAnsi="仿宋_GB2312" w:cs="仿宋_GB2312"/>
              <w:color w:val="auto"/>
              <w:sz w:val="28"/>
              <w:szCs w:val="28"/>
            </w:rPr>
            <w:t>六、保障措施</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_Toc24121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18</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"_Toc5532" </w:instrText>
          </w:r>
          <w:r>
            <w:rPr>
              <w:color w:val="auto"/>
            </w:rPr>
            <w:fldChar w:fldCharType="separate"/>
          </w:r>
          <w:r>
            <w:rPr>
              <w:rFonts w:hint="eastAsia" w:ascii="仿宋_GB2312" w:hAnsi="仿宋_GB2312" w:cs="仿宋_GB2312"/>
              <w:color w:val="auto"/>
              <w:sz w:val="28"/>
              <w:szCs w:val="28"/>
            </w:rPr>
            <w:t>（一）建立农村物流组织保障机制</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_Toc5532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18</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"_Toc19881" </w:instrText>
          </w:r>
          <w:r>
            <w:rPr>
              <w:color w:val="auto"/>
            </w:rPr>
            <w:fldChar w:fldCharType="separate"/>
          </w:r>
          <w:r>
            <w:rPr>
              <w:rFonts w:hint="eastAsia" w:ascii="仿宋_GB2312" w:hAnsi="仿宋_GB2312" w:cs="仿宋_GB2312"/>
              <w:color w:val="auto"/>
              <w:sz w:val="28"/>
              <w:szCs w:val="28"/>
            </w:rPr>
            <w:t>（二）保障农村物流发展配套政策</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_Toc19881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19</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"_Toc13265" </w:instrText>
          </w:r>
          <w:r>
            <w:rPr>
              <w:color w:val="auto"/>
            </w:rPr>
            <w:fldChar w:fldCharType="separate"/>
          </w:r>
          <w:r>
            <w:rPr>
              <w:rFonts w:hint="eastAsia" w:ascii="仿宋_GB2312" w:hAnsi="仿宋_GB2312" w:cs="仿宋_GB2312"/>
              <w:color w:val="auto"/>
              <w:sz w:val="28"/>
              <w:szCs w:val="28"/>
            </w:rPr>
            <w:t>（三）加大农村物流相关扶持力度</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_Toc13265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19</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"_Toc7068" </w:instrText>
          </w:r>
          <w:r>
            <w:rPr>
              <w:color w:val="auto"/>
            </w:rPr>
            <w:fldChar w:fldCharType="separate"/>
          </w:r>
          <w:r>
            <w:rPr>
              <w:rFonts w:hint="eastAsia" w:ascii="仿宋_GB2312" w:hAnsi="仿宋_GB2312" w:cs="仿宋_GB2312"/>
              <w:color w:val="auto"/>
              <w:sz w:val="28"/>
              <w:szCs w:val="28"/>
            </w:rPr>
            <w:t>（四）重视农村物流人才创新培养</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_Toc7068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20</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10"/>
            <w:tabs>
              <w:tab w:val="right" w:leader="dot" w:pos="830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"_Toc1511" </w:instrText>
          </w:r>
          <w:r>
            <w:rPr>
              <w:color w:val="auto"/>
            </w:rPr>
            <w:fldChar w:fldCharType="separate"/>
          </w:r>
          <w:r>
            <w:rPr>
              <w:rFonts w:hint="eastAsia" w:ascii="仿宋_GB2312" w:hAnsi="仿宋_GB2312" w:cs="仿宋_GB2312"/>
              <w:color w:val="auto"/>
              <w:sz w:val="28"/>
              <w:szCs w:val="28"/>
            </w:rPr>
            <w:t>（五）发挥行业协会商会平台作用</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_Toc1511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20</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pStyle w:val="9"/>
            <w:tabs>
              <w:tab w:val="right" w:leader="dot" w:pos="8306"/>
              <w:tab w:val="clear" w:pos="8296"/>
            </w:tabs>
            <w:spacing w:line="380" w:lineRule="exact"/>
            <w:rPr>
              <w:rFonts w:ascii="仿宋_GB2312" w:hAnsi="仿宋_GB2312" w:cs="仿宋_GB2312"/>
              <w:color w:val="auto"/>
              <w:sz w:val="28"/>
              <w:szCs w:val="28"/>
            </w:rPr>
          </w:pPr>
          <w:r>
            <w:rPr>
              <w:color w:val="auto"/>
            </w:rPr>
            <w:fldChar w:fldCharType="begin"/>
          </w:r>
          <w:r>
            <w:rPr>
              <w:color w:val="auto"/>
            </w:rPr>
            <w:instrText xml:space="preserve"> HYPERLINK \l "_Toc20657" </w:instrText>
          </w:r>
          <w:r>
            <w:rPr>
              <w:color w:val="auto"/>
            </w:rPr>
            <w:fldChar w:fldCharType="separate"/>
          </w:r>
          <w:r>
            <w:rPr>
              <w:rFonts w:hint="eastAsia" w:ascii="仿宋_GB2312" w:hAnsi="仿宋_GB2312" w:cs="仿宋_GB2312"/>
              <w:color w:val="auto"/>
              <w:sz w:val="28"/>
              <w:szCs w:val="28"/>
            </w:rPr>
            <w:t>附件</w:t>
          </w:r>
          <w:r>
            <w:rPr>
              <w:rFonts w:ascii="仿宋_GB2312" w:hAnsi="仿宋_GB2312" w:cs="仿宋_GB2312"/>
              <w:color w:val="auto"/>
              <w:sz w:val="28"/>
              <w:szCs w:val="28"/>
            </w:rPr>
            <w:t>：五</w:t>
          </w:r>
          <w:r>
            <w:rPr>
              <w:rFonts w:hint="eastAsia" w:ascii="仿宋_GB2312" w:hAnsi="仿宋_GB2312" w:cs="仿宋_GB2312"/>
              <w:color w:val="auto"/>
              <w:sz w:val="28"/>
              <w:szCs w:val="28"/>
            </w:rPr>
            <w:t>华县农村物流建设发展规划任务分工表</w:t>
          </w:r>
          <w:r>
            <w:rPr>
              <w:rFonts w:hint="eastAsia" w:ascii="仿宋_GB2312" w:hAnsi="仿宋_GB2312" w:cs="仿宋_GB2312"/>
              <w:color w:val="auto"/>
              <w:sz w:val="28"/>
              <w:szCs w:val="28"/>
            </w:rPr>
            <w:tab/>
          </w:r>
          <w:r>
            <w:rPr>
              <w:rFonts w:hint="eastAsia" w:ascii="仿宋_GB2312" w:hAnsi="仿宋_GB2312" w:cs="仿宋_GB2312"/>
              <w:color w:val="auto"/>
              <w:sz w:val="28"/>
              <w:szCs w:val="28"/>
            </w:rPr>
            <w:fldChar w:fldCharType="begin"/>
          </w:r>
          <w:r>
            <w:rPr>
              <w:rFonts w:hint="eastAsia" w:ascii="仿宋_GB2312" w:hAnsi="仿宋_GB2312" w:cs="仿宋_GB2312"/>
              <w:color w:val="auto"/>
              <w:sz w:val="28"/>
              <w:szCs w:val="28"/>
            </w:rPr>
            <w:instrText xml:space="preserve"> PAGEREF _Toc20657 </w:instrText>
          </w:r>
          <w:r>
            <w:rPr>
              <w:rFonts w:hint="eastAsia" w:ascii="仿宋_GB2312" w:hAnsi="仿宋_GB2312" w:cs="仿宋_GB2312"/>
              <w:color w:val="auto"/>
              <w:sz w:val="28"/>
              <w:szCs w:val="28"/>
            </w:rPr>
            <w:fldChar w:fldCharType="separate"/>
          </w:r>
          <w:r>
            <w:rPr>
              <w:rFonts w:hint="eastAsia" w:ascii="仿宋_GB2312" w:hAnsi="仿宋_GB2312" w:cs="仿宋_GB2312"/>
              <w:color w:val="auto"/>
              <w:sz w:val="28"/>
              <w:szCs w:val="28"/>
            </w:rPr>
            <w:t>21</w:t>
          </w:r>
          <w:r>
            <w:rPr>
              <w:rFonts w:hint="eastAsia" w:ascii="仿宋_GB2312" w:hAnsi="仿宋_GB2312" w:cs="仿宋_GB2312"/>
              <w:color w:val="auto"/>
              <w:sz w:val="28"/>
              <w:szCs w:val="28"/>
            </w:rPr>
            <w:fldChar w:fldCharType="end"/>
          </w:r>
          <w:r>
            <w:rPr>
              <w:rFonts w:hint="eastAsia" w:ascii="仿宋_GB2312" w:hAnsi="仿宋_GB2312" w:cs="仿宋_GB2312"/>
              <w:color w:val="auto"/>
              <w:sz w:val="28"/>
              <w:szCs w:val="28"/>
            </w:rPr>
            <w:fldChar w:fldCharType="end"/>
          </w:r>
        </w:p>
        <w:p>
          <w:pPr>
            <w:spacing w:line="380" w:lineRule="exact"/>
            <w:rPr>
              <w:rFonts w:asciiTheme="minorHAnsi" w:hAnsiTheme="minorHAnsi" w:cstheme="minorHAnsi"/>
              <w:color w:val="auto"/>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cs="仿宋_GB2312"/>
              <w:color w:val="auto"/>
              <w:sz w:val="28"/>
              <w:szCs w:val="28"/>
              <w:lang w:val="zh-CN"/>
            </w:rPr>
            <w:fldChar w:fldCharType="end"/>
          </w:r>
        </w:p>
      </w:sdtContent>
    </w:sdt>
    <w:p>
      <w:pPr>
        <w:adjustRightInd w:val="0"/>
        <w:snapToGrid w:val="0"/>
        <w:spacing w:line="560" w:lineRule="exact"/>
        <w:ind w:firstLine="560" w:firstLineChars="200"/>
        <w:rPr>
          <w:color w:val="auto"/>
          <w:sz w:val="28"/>
          <w:szCs w:val="28"/>
        </w:rPr>
      </w:pPr>
      <w:r>
        <w:rPr>
          <w:color w:val="auto"/>
          <w:sz w:val="28"/>
          <w:szCs w:val="28"/>
        </w:rPr>
        <w:t>为深入学习贯彻习近平新时代中国特色社会主义思想和党的十九大精神，落实中央关于实施乡村振兴战略的决策部署和习近平总书记视察广东重要讲话精神，</w:t>
      </w:r>
      <w:r>
        <w:rPr>
          <w:rFonts w:hint="eastAsia"/>
          <w:color w:val="auto"/>
          <w:sz w:val="28"/>
          <w:szCs w:val="28"/>
        </w:rPr>
        <w:t>紧紧围绕国家、省和市关于推进乡村振兴战略的有关部署，按照</w:t>
      </w:r>
      <w:r>
        <w:rPr>
          <w:color w:val="auto"/>
          <w:sz w:val="28"/>
          <w:szCs w:val="28"/>
        </w:rPr>
        <w:t>《广东省农村物流建设发展规划</w:t>
      </w:r>
      <w:r>
        <w:rPr>
          <w:rFonts w:hint="eastAsia"/>
          <w:color w:val="auto"/>
          <w:sz w:val="28"/>
          <w:szCs w:val="28"/>
          <w:lang w:eastAsia="zh-CN"/>
        </w:rPr>
        <w:t>（2020-2024）</w:t>
      </w:r>
      <w:r>
        <w:rPr>
          <w:color w:val="auto"/>
          <w:sz w:val="28"/>
          <w:szCs w:val="28"/>
        </w:rPr>
        <w:t>》、《中共梅州市委梅州市人民政府关于推进乡村振兴战略的实施意见》、《梅州市农村物流建设发展规划》等有关文件，制定本发展规划。</w:t>
      </w:r>
    </w:p>
    <w:p>
      <w:pPr>
        <w:pStyle w:val="3"/>
        <w:adjustRightInd w:val="0"/>
        <w:snapToGrid w:val="0"/>
        <w:spacing w:before="0" w:beforeAutospacing="0" w:after="0" w:afterAutospacing="0" w:line="560" w:lineRule="exact"/>
        <w:ind w:firstLine="602"/>
        <w:rPr>
          <w:rFonts w:eastAsia="方正宋黑简体" w:asciiTheme="minorHAnsi" w:hAnsiTheme="minorHAnsi" w:cstheme="minorHAnsi"/>
          <w:color w:val="auto"/>
          <w:sz w:val="30"/>
          <w:szCs w:val="30"/>
        </w:rPr>
      </w:pPr>
      <w:bookmarkStart w:id="0" w:name="_Toc7625"/>
      <w:r>
        <w:rPr>
          <w:rFonts w:eastAsia="方正宋黑简体" w:asciiTheme="minorHAnsi" w:hAnsiTheme="minorHAnsi" w:cstheme="minorHAnsi"/>
          <w:color w:val="auto"/>
          <w:sz w:val="30"/>
          <w:szCs w:val="30"/>
        </w:rPr>
        <w:t>一、发展现状</w:t>
      </w:r>
      <w:bookmarkEnd w:id="0"/>
    </w:p>
    <w:p>
      <w:pPr>
        <w:pStyle w:val="4"/>
        <w:adjustRightInd w:val="0"/>
        <w:snapToGrid w:val="0"/>
        <w:spacing w:before="0" w:beforeAutospacing="0" w:after="0" w:afterAutospacing="0" w:line="560" w:lineRule="exact"/>
        <w:ind w:firstLine="562"/>
        <w:rPr>
          <w:rFonts w:eastAsia="方正楷体简体" w:asciiTheme="minorHAnsi" w:hAnsiTheme="minorHAnsi" w:cstheme="minorHAnsi"/>
          <w:color w:val="auto"/>
        </w:rPr>
      </w:pPr>
      <w:bookmarkStart w:id="1" w:name="_Toc519593238"/>
      <w:bookmarkStart w:id="2" w:name="_Toc2478"/>
      <w:r>
        <w:rPr>
          <w:rFonts w:eastAsia="方正楷体简体" w:asciiTheme="minorHAnsi" w:hAnsiTheme="minorHAnsi" w:cstheme="minorHAnsi"/>
          <w:color w:val="auto"/>
        </w:rPr>
        <w:t>（一）发展</w:t>
      </w:r>
      <w:bookmarkEnd w:id="1"/>
      <w:r>
        <w:rPr>
          <w:rFonts w:eastAsia="方正楷体简体" w:asciiTheme="minorHAnsi" w:hAnsiTheme="minorHAnsi" w:cstheme="minorHAnsi"/>
          <w:color w:val="auto"/>
        </w:rPr>
        <w:t>基础</w:t>
      </w:r>
      <w:bookmarkEnd w:id="2"/>
      <w:r>
        <w:rPr>
          <w:rFonts w:hint="eastAsia" w:eastAsia="方正楷体简体" w:asciiTheme="minorHAnsi" w:hAnsiTheme="minorHAnsi" w:cstheme="minorHAnsi"/>
          <w:color w:val="auto"/>
        </w:rPr>
        <w:t>。</w:t>
      </w:r>
    </w:p>
    <w:p>
      <w:pPr>
        <w:pStyle w:val="11"/>
        <w:widowControl/>
        <w:adjustRightInd w:val="0"/>
        <w:snapToGrid w:val="0"/>
        <w:spacing w:line="560" w:lineRule="exact"/>
        <w:ind w:firstLine="641"/>
        <w:jc w:val="both"/>
        <w:rPr>
          <w:color w:val="auto"/>
          <w:sz w:val="28"/>
          <w:szCs w:val="28"/>
        </w:rPr>
      </w:pPr>
      <w:r>
        <w:rPr>
          <w:rFonts w:hint="eastAsia"/>
          <w:b/>
          <w:bCs/>
          <w:color w:val="auto"/>
          <w:sz w:val="28"/>
          <w:szCs w:val="28"/>
        </w:rPr>
        <w:t>1.农村物流产业基础发展良好。</w:t>
      </w:r>
      <w:bookmarkStart w:id="3" w:name="_Toc519593240"/>
      <w:r>
        <w:rPr>
          <w:rFonts w:hint="eastAsia"/>
          <w:color w:val="auto"/>
          <w:sz w:val="28"/>
          <w:szCs w:val="28"/>
        </w:rPr>
        <w:t>五华县是梅州市人口最多、面积最大的县，农产品总产量大，不少品种居全省前列。2018年全县农业总产值53.21亿元，比上年增长4.75%。其中，粮食总产量33.33万吨，肉类总产量57687吨。农村消费能力持续提升，2018年农村常住居民人均可支配收入12921.4元，增长7%。全县常住人口的农副产品需求、农村消费能力提升及农产品产量持续增长，为农村物流发展奠定坚实的基础。</w:t>
      </w:r>
    </w:p>
    <w:p>
      <w:pPr>
        <w:spacing w:line="560" w:lineRule="exact"/>
        <w:ind w:firstLine="562" w:firstLineChars="200"/>
        <w:rPr>
          <w:color w:val="auto"/>
          <w:sz w:val="28"/>
          <w:szCs w:val="28"/>
        </w:rPr>
      </w:pPr>
      <w:r>
        <w:rPr>
          <w:rFonts w:hint="eastAsia"/>
          <w:b/>
          <w:bCs/>
          <w:color w:val="auto"/>
          <w:sz w:val="28"/>
          <w:szCs w:val="28"/>
        </w:rPr>
        <w:t>2.农村物流基础设施不断完善。</w:t>
      </w:r>
      <w:r>
        <w:rPr>
          <w:rFonts w:hint="eastAsia"/>
          <w:color w:val="auto"/>
          <w:sz w:val="28"/>
          <w:szCs w:val="28"/>
        </w:rPr>
        <w:t>截止至2018年，全县公路通车里程3610.43公里，高速公路通车里程153.63公里。全县拥有5个客运站场，共有客运车辆117台；全县邮政系统现有3条2T汽车干线邮路，分南片邮路、北片邮路、中片邮路，主要承载报刊、信件、特快专递、快递包裹；乡镇网点30个，投递从业人员90人。其中，乡镇投递道段60条；县城投递道段20条；专用快递汽车10辆。全县供销系统共有18家基层社，93家农民专业合作社，3家农村综合服务社。</w:t>
      </w:r>
    </w:p>
    <w:p>
      <w:pPr>
        <w:spacing w:line="560" w:lineRule="exact"/>
        <w:ind w:firstLine="562" w:firstLineChars="200"/>
        <w:rPr>
          <w:color w:val="auto"/>
          <w:sz w:val="28"/>
          <w:szCs w:val="28"/>
        </w:rPr>
      </w:pPr>
      <w:r>
        <w:rPr>
          <w:rFonts w:hint="eastAsia"/>
          <w:b/>
          <w:bCs/>
          <w:color w:val="auto"/>
          <w:sz w:val="28"/>
          <w:szCs w:val="28"/>
        </w:rPr>
        <w:t>3.农村物流服务能力进一步提升。</w:t>
      </w:r>
      <w:r>
        <w:rPr>
          <w:rFonts w:hint="eastAsia"/>
          <w:color w:val="auto"/>
          <w:sz w:val="28"/>
          <w:szCs w:val="28"/>
        </w:rPr>
        <w:t>全县积极加快物流业主体培育和资源整合步伐，引导快递企业不断完善农村服务网点建设，推动提高冷链物流应用水平。全县依托阿里巴巴集团旗下“菜鸟网络科技有限公司”和区域内现有23家物流配送企业，形成年业务收入约6000万元，年派送单量1800万单，已实现了县、镇、村的快递物流覆盖，为农村群众提供快递收发、本地物流配送等服务，为“消费品下乡、农产品进城”双向流通奠定基础，物流配送24小时内到达村，快递网络持续健全。</w:t>
      </w:r>
    </w:p>
    <w:p>
      <w:pPr>
        <w:spacing w:line="560" w:lineRule="exact"/>
        <w:ind w:firstLine="562" w:firstLineChars="200"/>
        <w:rPr>
          <w:color w:val="auto"/>
          <w:sz w:val="28"/>
          <w:szCs w:val="28"/>
        </w:rPr>
      </w:pPr>
      <w:r>
        <w:rPr>
          <w:rFonts w:hint="eastAsia"/>
          <w:b/>
          <w:bCs/>
          <w:color w:val="auto"/>
          <w:sz w:val="28"/>
          <w:szCs w:val="28"/>
        </w:rPr>
        <w:t>4.冷链物流设施进一步完善。</w:t>
      </w:r>
      <w:r>
        <w:rPr>
          <w:rFonts w:hint="eastAsia"/>
          <w:color w:val="auto"/>
          <w:sz w:val="28"/>
          <w:szCs w:val="28"/>
        </w:rPr>
        <w:t>目前，全县共有3处较大的冷链物流园，及一些小型冷藏储存室。其中，梅州市中农批农产品批发市场冷链物流园（建设中），建设面积20630平方米，配备有专业的冷藏设备及专有场地；广东汉光超顺农产品加工冷链物流园，建设面积约77000平方米，共有两个冻库，主要作用为果蔬冷藏及初加工，两辆轻型箱式货车，荷载重量共约4.5吨；广州生长地农业科技有限公司的五华县农产品冷链仓储中心，总容量3200立方，共有7 个保鲜冷库，其中3个为低温库（-18℃~-15℃，），4个为常温库（0℃~8℃），可为全县农产品提供产品冷藏配送服务。</w:t>
      </w:r>
    </w:p>
    <w:bookmarkEnd w:id="3"/>
    <w:p>
      <w:pPr>
        <w:spacing w:line="560" w:lineRule="exact"/>
        <w:ind w:firstLine="562" w:firstLineChars="200"/>
        <w:rPr>
          <w:color w:val="auto"/>
          <w:sz w:val="28"/>
          <w:szCs w:val="28"/>
        </w:rPr>
      </w:pPr>
      <w:r>
        <w:rPr>
          <w:rFonts w:hint="eastAsia"/>
          <w:b/>
          <w:bCs/>
          <w:color w:val="auto"/>
          <w:sz w:val="28"/>
          <w:szCs w:val="28"/>
        </w:rPr>
        <w:t>5.农村电商呈现快速发展态势。</w:t>
      </w:r>
      <w:bookmarkStart w:id="4" w:name="_Toc519593242"/>
      <w:r>
        <w:rPr>
          <w:rFonts w:hint="eastAsia"/>
          <w:color w:val="auto"/>
          <w:sz w:val="28"/>
          <w:szCs w:val="28"/>
        </w:rPr>
        <w:t>据统计，2018年全县农村电商实现在线交易达7.25亿元，推动土特产上行600多万斤，成交主要产品为金柚、茶叶、优质稻谷、高山红薯、大田柿花等特色农副产品。电商进入农村和电商扶贫工程深入开展，极大地推动了农村物流及社会综合发展。截止到2018年10月，五华县入驻企业80多家，其中，服务机构7家，电商企业及创新型企业73家；结合全县创建国家和省电子商务进农村综合示范工作，已设立镇级电商服务中心（电商孵化基地）7个、村级电商服务站点266个，电商的培训7068人次，其中：对具有劳动能力建档立卡的贫困人口培训2274人次。</w:t>
      </w:r>
    </w:p>
    <w:p>
      <w:pPr>
        <w:spacing w:line="560" w:lineRule="exact"/>
        <w:ind w:firstLine="562" w:firstLineChars="200"/>
        <w:rPr>
          <w:color w:val="auto"/>
          <w:sz w:val="28"/>
          <w:szCs w:val="28"/>
        </w:rPr>
      </w:pPr>
      <w:r>
        <w:rPr>
          <w:rFonts w:hint="eastAsia"/>
          <w:b/>
          <w:bCs/>
          <w:color w:val="auto"/>
          <w:sz w:val="28"/>
          <w:szCs w:val="28"/>
        </w:rPr>
        <w:t>6.农村物流技术推广应用</w:t>
      </w:r>
      <w:bookmarkEnd w:id="4"/>
      <w:r>
        <w:rPr>
          <w:rFonts w:hint="eastAsia"/>
          <w:b/>
          <w:bCs/>
          <w:color w:val="auto"/>
          <w:sz w:val="28"/>
          <w:szCs w:val="28"/>
        </w:rPr>
        <w:t>提升物流效率。</w:t>
      </w:r>
      <w:r>
        <w:rPr>
          <w:rFonts w:hint="eastAsia"/>
          <w:color w:val="auto"/>
          <w:sz w:val="28"/>
          <w:szCs w:val="28"/>
        </w:rPr>
        <w:t>近年来，农村物流技术推广和应用越来越受到重视，农资系统运用物联网技术、卫星定位及遥感遥测技术，研发电子“网络地图”搜索、查询、监控农资流通，实现物流车辆即时定位、补货配货电子化等。全省托盘标准化的推广，部分冷链物流的国家标准、行业标准和地方标准逐步实施，综合冷库、生鲜食品加工、车货匹配平台、智能机器人、智能快递柜、无人机、无人仓等智慧物流技术试点运用，冷链溯源与全程监控等技术逐渐成熟，农村物流技术的推广和应用，促进了物流成本降低和物流效率的提升。</w:t>
      </w:r>
    </w:p>
    <w:p>
      <w:pPr>
        <w:adjustRightInd w:val="0"/>
        <w:snapToGrid w:val="0"/>
        <w:spacing w:line="560" w:lineRule="exact"/>
        <w:ind w:firstLine="562" w:firstLineChars="200"/>
        <w:rPr>
          <w:color w:val="auto"/>
          <w:sz w:val="28"/>
          <w:szCs w:val="28"/>
        </w:rPr>
      </w:pPr>
      <w:bookmarkStart w:id="5" w:name="_Toc519593243"/>
      <w:r>
        <w:rPr>
          <w:rFonts w:hint="eastAsia"/>
          <w:b/>
          <w:bCs/>
          <w:color w:val="auto"/>
          <w:sz w:val="28"/>
          <w:szCs w:val="28"/>
        </w:rPr>
        <w:t>7.模式创新</w:t>
      </w:r>
      <w:bookmarkEnd w:id="5"/>
      <w:r>
        <w:rPr>
          <w:rFonts w:hint="eastAsia"/>
          <w:b/>
          <w:bCs/>
          <w:color w:val="auto"/>
          <w:sz w:val="28"/>
          <w:szCs w:val="28"/>
        </w:rPr>
        <w:t>助力农村物流规模不断扩大。</w:t>
      </w:r>
      <w:r>
        <w:rPr>
          <w:rFonts w:hint="eastAsia"/>
          <w:color w:val="auto"/>
          <w:sz w:val="28"/>
          <w:szCs w:val="28"/>
        </w:rPr>
        <w:t>随着电子商务、农村经济的蓬勃发展，城乡一体化的推进，宽带网络的快速发展，覆盖区域迅速扩大，依托网络信息技术发展，催生出了针对农村的第三方物流共同配送、冷链仓储、农村物流金融等新型的业态，并得到快速发展。为了适应消费需求和流通模式的改变，全县越来越多的农村物流企业不断改善自身发展模式，涌现出了通过订单农业、产销一体、股权合作等多种农村物流模式，实现全面、深入、精准对接，实现规模化运输，对农民创收保收取得良好效果。形成多种模式相辅相成、优势互补、共同发展的格局。</w:t>
      </w:r>
      <w:bookmarkStart w:id="6" w:name="_Toc519593244"/>
    </w:p>
    <w:p>
      <w:pPr>
        <w:pStyle w:val="4"/>
        <w:adjustRightInd w:val="0"/>
        <w:snapToGrid w:val="0"/>
        <w:spacing w:before="0" w:beforeAutospacing="0" w:after="0" w:afterAutospacing="0" w:line="560" w:lineRule="exact"/>
        <w:ind w:firstLine="562"/>
        <w:rPr>
          <w:rFonts w:eastAsia="方正楷体简体" w:asciiTheme="minorHAnsi" w:hAnsiTheme="minorHAnsi" w:cstheme="minorHAnsi"/>
          <w:color w:val="auto"/>
        </w:rPr>
      </w:pPr>
      <w:bookmarkStart w:id="7" w:name="_Toc13462"/>
      <w:r>
        <w:rPr>
          <w:rFonts w:hint="eastAsia" w:eastAsia="方正楷体简体" w:asciiTheme="minorHAnsi" w:hAnsiTheme="minorHAnsi" w:cstheme="minorHAnsi"/>
          <w:color w:val="auto"/>
        </w:rPr>
        <w:t>（二）</w:t>
      </w:r>
      <w:bookmarkEnd w:id="6"/>
      <w:r>
        <w:rPr>
          <w:rFonts w:hint="eastAsia" w:eastAsia="方正楷体简体" w:asciiTheme="minorHAnsi" w:hAnsiTheme="minorHAnsi" w:cstheme="minorHAnsi"/>
          <w:color w:val="auto"/>
        </w:rPr>
        <w:t>发展瓶颈</w:t>
      </w:r>
      <w:bookmarkEnd w:id="7"/>
      <w:bookmarkStart w:id="8" w:name="_Toc519593245"/>
      <w:r>
        <w:rPr>
          <w:rFonts w:hint="eastAsia" w:eastAsia="方正楷体简体" w:asciiTheme="minorHAnsi" w:hAnsiTheme="minorHAnsi" w:cstheme="minorHAnsi"/>
          <w:color w:val="auto"/>
        </w:rPr>
        <w:t>。</w:t>
      </w:r>
    </w:p>
    <w:p>
      <w:pPr>
        <w:adjustRightInd w:val="0"/>
        <w:snapToGrid w:val="0"/>
        <w:spacing w:line="560" w:lineRule="exact"/>
        <w:ind w:firstLine="562" w:firstLineChars="200"/>
        <w:rPr>
          <w:color w:val="auto"/>
          <w:sz w:val="28"/>
          <w:szCs w:val="28"/>
        </w:rPr>
      </w:pPr>
      <w:r>
        <w:rPr>
          <w:rFonts w:hint="eastAsia"/>
          <w:b/>
          <w:bCs/>
          <w:color w:val="auto"/>
          <w:sz w:val="28"/>
          <w:szCs w:val="28"/>
        </w:rPr>
        <w:t>1.</w:t>
      </w:r>
      <w:bookmarkEnd w:id="8"/>
      <w:r>
        <w:rPr>
          <w:rFonts w:hint="eastAsia"/>
          <w:b/>
          <w:bCs/>
          <w:color w:val="auto"/>
          <w:sz w:val="28"/>
          <w:szCs w:val="28"/>
        </w:rPr>
        <w:t>农村物流行业发展基础薄弱。</w:t>
      </w:r>
      <w:r>
        <w:rPr>
          <w:rFonts w:hint="eastAsia"/>
          <w:color w:val="auto"/>
          <w:sz w:val="28"/>
          <w:szCs w:val="28"/>
        </w:rPr>
        <w:t>全县虽然基本实现村村通公路，但仍有不少地区无法满足大型物流车辆通车要求，山区网络及移动手机信号不稳定，不能满足电子商务的基本要求；全县农村货运物流大多为中小型企业，缺乏龙头企业引导，企业间压价竞争，盈利模式同质化现象严重，导致服务质量无法保障；业务单一，多以运输为主，代理服务和仓储管理还较薄弱；缺乏物流管理和专业技术人才；且农村区域分布广泛，农村人口分散，基础设施不完善，业务量较少，快递物流服务面临点多、面广、线路长的状况，导致单位运输成本和投递成本较高，在村镇单独设点经济效益不佳，造成快递物流服务网点设置不够完善。</w:t>
      </w:r>
    </w:p>
    <w:p>
      <w:pPr>
        <w:spacing w:line="560" w:lineRule="exact"/>
        <w:ind w:firstLine="562" w:firstLineChars="200"/>
        <w:rPr>
          <w:color w:val="auto"/>
          <w:sz w:val="28"/>
          <w:szCs w:val="28"/>
        </w:rPr>
      </w:pPr>
      <w:r>
        <w:rPr>
          <w:rFonts w:hint="eastAsia"/>
          <w:b/>
          <w:bCs/>
          <w:color w:val="auto"/>
          <w:sz w:val="28"/>
          <w:szCs w:val="28"/>
        </w:rPr>
        <w:t>2.农村物流行业缺乏统一整合。</w:t>
      </w:r>
      <w:r>
        <w:rPr>
          <w:rFonts w:hint="eastAsia"/>
          <w:color w:val="auto"/>
          <w:sz w:val="28"/>
          <w:szCs w:val="28"/>
        </w:rPr>
        <w:t>长期以来，全县物流业存在“多头参与、条块分割”的情况。发改、交通、商务、农业、供销社、邮政等部门对农村物流业务均有所涉及，部门之间既存在职责交叉又存在信息壁垒；每个部门均有涉农资金和政策，但资源分散，存在整合不够、效率不高的问题。未设立统一推进农村物流工作的协调机构，影响农村物流统筹规划和科学发展。全县农村物流发展尚无专门的规划引导，也无专门的物流规章、条例或规范可循。现有农村物流节点由各快递、物流企业根据业务需要自发布局，由于单量差异，导致经济繁荣、人口密度高的镇村设点扎堆，偏远村庄物流网点则几乎空白。</w:t>
      </w:r>
    </w:p>
    <w:p>
      <w:pPr>
        <w:spacing w:line="560" w:lineRule="exact"/>
        <w:ind w:firstLine="562" w:firstLineChars="200"/>
        <w:rPr>
          <w:color w:val="auto"/>
          <w:sz w:val="28"/>
          <w:szCs w:val="28"/>
        </w:rPr>
      </w:pPr>
      <w:r>
        <w:rPr>
          <w:rFonts w:hint="eastAsia"/>
          <w:b/>
          <w:bCs/>
          <w:color w:val="auto"/>
          <w:sz w:val="28"/>
          <w:szCs w:val="28"/>
        </w:rPr>
        <w:t>3.冷链物流行业发展严重滞后。</w:t>
      </w:r>
      <w:r>
        <w:rPr>
          <w:rFonts w:hint="eastAsia"/>
          <w:color w:val="auto"/>
          <w:sz w:val="28"/>
          <w:szCs w:val="28"/>
        </w:rPr>
        <w:t>五华县是农业大县，国家级农产品主产区，农业资源丰富，但目前的农产状况仍停留在低端供给等简单生产环节，未凸显出农业发展带动农民增收的作用。县内冷链物流的低普及率在农产品保鲜期短、季节性强、运输要求高、价值低、重量大的特性面前，很大程度上限制了五华特色农产品“走出去”，造成农产品销售不畅等。县内冷链物流企业尚未形成完整体系，现有的高端冷链物流企业极少，进入冷链系统的农产品数量少、比重小，无法提供全面的、综合的、集成的冷链物流服务，完整的冷链物流体系尚未形成，以致在设施配套、规范管理、信息互通、抱团发展等方面跟不上经济发展的需要。</w:t>
      </w:r>
    </w:p>
    <w:p>
      <w:pPr>
        <w:spacing w:line="560" w:lineRule="exact"/>
        <w:ind w:firstLine="562" w:firstLineChars="200"/>
        <w:rPr>
          <w:rFonts w:ascii="仿宋_GB2312" w:hAnsi="仿宋_GB2312" w:cs="仿宋_GB2312"/>
          <w:color w:val="auto"/>
          <w:sz w:val="28"/>
          <w:szCs w:val="28"/>
        </w:rPr>
      </w:pPr>
      <w:r>
        <w:rPr>
          <w:rFonts w:hint="eastAsia"/>
          <w:b/>
          <w:bCs/>
          <w:color w:val="auto"/>
          <w:sz w:val="28"/>
          <w:szCs w:val="28"/>
        </w:rPr>
        <w:t>4.农产品流通物流成本占比高。</w:t>
      </w:r>
      <w:r>
        <w:rPr>
          <w:rFonts w:hint="eastAsia" w:ascii="仿宋_GB2312" w:hAnsi="仿宋_GB2312" w:cs="仿宋_GB2312"/>
          <w:color w:val="auto"/>
          <w:sz w:val="28"/>
          <w:szCs w:val="28"/>
        </w:rPr>
        <w:t>五华县地处粤东北地区，多丘陵，农业种植分散和农村人口低密度分布，导致农产品运输和物资配送成本上升；农产品保鲜期短、运输要求高、价值低、重量大的特性，加大了运输困难；农产品销售不畅，产需不能有效对接，严重影响农村物流生态。且本地农产品大部分仍是初级产品，深加工附加值较高的产品较少，利润低，致使农产品流通物流成本占比高。以目前主要农业产业高山红薯的快递成本占比为例，大宗商品销售价约为15元/千克，以一箱约5公斤包装的精品为例，售价79元左右，快递寄送到广东省内珠三角地区约需13元左右，省外北京、上海等地48元左右，中西部地区价格涨幅则更大。</w:t>
      </w:r>
    </w:p>
    <w:p>
      <w:pPr>
        <w:spacing w:line="560" w:lineRule="exact"/>
        <w:ind w:firstLine="562" w:firstLineChars="200"/>
        <w:rPr>
          <w:color w:val="auto"/>
          <w:sz w:val="28"/>
          <w:szCs w:val="28"/>
        </w:rPr>
      </w:pPr>
      <w:r>
        <w:rPr>
          <w:rFonts w:hint="eastAsia"/>
          <w:b/>
          <w:bCs/>
          <w:color w:val="auto"/>
          <w:sz w:val="28"/>
          <w:szCs w:val="28"/>
        </w:rPr>
        <w:t>5.农村电商物流发展短板明显。</w:t>
      </w:r>
      <w:r>
        <w:rPr>
          <w:rFonts w:hint="eastAsia"/>
          <w:color w:val="auto"/>
          <w:sz w:val="28"/>
          <w:szCs w:val="28"/>
        </w:rPr>
        <w:t>全县的农村电商物流发展起步晚、总量小、基础薄弱，质量和水平都有待进一步提高。短板问题主要表现在：一是电商物流专业人才缺乏，农民电商物流意识较薄弱；二是县、镇、村三级物流网络服务体系不健全，功能作用不明显，电商经营主体发展不平衡；三是物流配送难度系数大，全县区域面积大，住户分散，农村物流快递不畅通；四是农产品认证体系建设不完善，缺乏产品标识及标准，产品质量不稳定等问题，导致特色农产品网上市场竞争力不强，制约商家进一步做大市场。五是农产品标准化程度低，缺乏品牌化运营的基础，价格波动大，影响农民增收。六是持续发展相关配套措施还未建立。</w:t>
      </w:r>
    </w:p>
    <w:p>
      <w:pPr>
        <w:adjustRightInd w:val="0"/>
        <w:snapToGrid w:val="0"/>
        <w:spacing w:line="560" w:lineRule="exact"/>
        <w:ind w:firstLine="562" w:firstLineChars="200"/>
        <w:rPr>
          <w:color w:val="auto"/>
          <w:sz w:val="28"/>
          <w:szCs w:val="28"/>
        </w:rPr>
      </w:pPr>
      <w:r>
        <w:rPr>
          <w:rFonts w:hint="eastAsia"/>
          <w:b/>
          <w:bCs/>
          <w:color w:val="auto"/>
          <w:sz w:val="28"/>
          <w:szCs w:val="28"/>
        </w:rPr>
        <w:t>6.农村物流标准化信息化水平较低。</w:t>
      </w:r>
      <w:r>
        <w:rPr>
          <w:rFonts w:hint="eastAsia"/>
          <w:color w:val="auto"/>
          <w:sz w:val="28"/>
          <w:szCs w:val="28"/>
        </w:rPr>
        <w:t>县内客货运集散点、农贸市场等自发形成，布局分散，缺乏引导，没有形成相对集中的市场和物流服务点。且由于缺乏物流信息平台、车货匹配平台等信息手段的支持，农村物流企业多数以线下揽货方式为主，造成物流供需无法有效对接；运输、包装、装卸、分拣等作业流程尚未标准化，削弱了物流运行效率；普遍提供简单的运输服务，不能运用信息技术实现货物跟踪调配、物流信息查询、智能化配送等；经营模式低端粗放，无法满足现代化物流发展需要。一些农产品流通中心交易模式仍较传统，信息管理系统不完善，与市场信息不对称，产品集散能力不强，市场辐射范围较窄。农村小规模生产模式，对品种选育、采摘分拣、包装标识等缺乏标准，难以达到农产品标准化流通的要求。</w:t>
      </w:r>
      <w:bookmarkStart w:id="9" w:name="_Toc519593256"/>
      <w:bookmarkStart w:id="10" w:name="_Toc9092"/>
    </w:p>
    <w:p>
      <w:pPr>
        <w:adjustRightInd w:val="0"/>
        <w:snapToGrid w:val="0"/>
        <w:spacing w:line="560" w:lineRule="exact"/>
        <w:ind w:firstLine="600" w:firstLineChars="200"/>
        <w:rPr>
          <w:rFonts w:eastAsia="方正宋黑简体" w:asciiTheme="minorHAnsi" w:hAnsiTheme="minorHAnsi" w:cstheme="minorHAnsi"/>
          <w:color w:val="auto"/>
          <w:sz w:val="30"/>
          <w:szCs w:val="30"/>
        </w:rPr>
      </w:pPr>
      <w:r>
        <w:rPr>
          <w:rFonts w:hint="eastAsia" w:eastAsia="方正宋黑简体" w:asciiTheme="minorHAnsi" w:hAnsiTheme="minorHAnsi" w:cstheme="minorHAnsi"/>
          <w:color w:val="auto"/>
          <w:sz w:val="30"/>
          <w:szCs w:val="30"/>
        </w:rPr>
        <w:t>二、总体要求</w:t>
      </w:r>
      <w:bookmarkEnd w:id="9"/>
      <w:bookmarkEnd w:id="10"/>
      <w:bookmarkStart w:id="11" w:name="_Toc5491"/>
      <w:bookmarkStart w:id="12" w:name="_Toc519593259"/>
    </w:p>
    <w:p>
      <w:pPr>
        <w:adjustRightInd w:val="0"/>
        <w:snapToGrid w:val="0"/>
        <w:spacing w:line="560" w:lineRule="exact"/>
        <w:ind w:firstLine="562" w:firstLineChars="200"/>
        <w:rPr>
          <w:rFonts w:eastAsia="方正楷体简体" w:asciiTheme="minorHAnsi" w:hAnsiTheme="minorHAnsi" w:cstheme="minorHAnsi"/>
          <w:b/>
          <w:color w:val="auto"/>
          <w:sz w:val="28"/>
          <w:szCs w:val="28"/>
        </w:rPr>
      </w:pPr>
      <w:r>
        <w:rPr>
          <w:rFonts w:hint="eastAsia" w:eastAsia="方正楷体简体" w:asciiTheme="minorHAnsi" w:hAnsiTheme="minorHAnsi" w:cstheme="minorHAnsi"/>
          <w:b/>
          <w:color w:val="auto"/>
          <w:sz w:val="28"/>
          <w:szCs w:val="28"/>
        </w:rPr>
        <w:t>（一）总体思路</w:t>
      </w:r>
      <w:bookmarkEnd w:id="11"/>
      <w:bookmarkEnd w:id="12"/>
      <w:r>
        <w:rPr>
          <w:rFonts w:hint="eastAsia" w:eastAsia="方正楷体简体" w:asciiTheme="minorHAnsi" w:hAnsiTheme="minorHAnsi" w:cstheme="minorHAnsi"/>
          <w:b/>
          <w:color w:val="auto"/>
          <w:sz w:val="28"/>
          <w:szCs w:val="28"/>
        </w:rPr>
        <w:t>。</w:t>
      </w:r>
    </w:p>
    <w:p>
      <w:pPr>
        <w:adjustRightInd w:val="0"/>
        <w:snapToGrid w:val="0"/>
        <w:spacing w:line="560" w:lineRule="exact"/>
        <w:ind w:firstLine="560" w:firstLineChars="200"/>
        <w:rPr>
          <w:rFonts w:ascii="仿宋_GB2312" w:hAnsiTheme="minorHAnsi" w:cstheme="minorHAnsi"/>
          <w:color w:val="auto"/>
          <w:sz w:val="28"/>
          <w:szCs w:val="30"/>
        </w:rPr>
      </w:pPr>
      <w:r>
        <w:rPr>
          <w:rFonts w:hint="eastAsia" w:ascii="仿宋_GB2312"/>
          <w:color w:val="auto"/>
          <w:sz w:val="28"/>
          <w:szCs w:val="28"/>
        </w:rPr>
        <w:t>根据《中共梅州市委梅州市人民政府关于推进乡村振兴战略的实施意见》以及梅州市委、市政府重点部署要求，充分发挥农村物流业在经济发展中的基础性和战略性作用，通过农村物流规划和顶层谋划设计，以“2018年国家电子商务进农村综合示范县”创建为契机，围绕重点突破全县农村物流下行“最后一公里”和农村物流上行“最初一公里”的关键环节，增加农村就业，扩大农产品增量，创造农村税收，降低农民劳动强度，提高农村生活品质。在农村物流基础设施、物流网络体系、综合运输组织、创新运营模式、市场主体培育、先进装备应用、信息化建设等方面以试点带动建设，按照成熟一个、建设一个的思路，有计划、有步骤、分期分批开展建设，保障和引领乡村振兴战略的落实。</w:t>
      </w:r>
      <w:bookmarkStart w:id="13" w:name="_Toc519593260"/>
      <w:bookmarkStart w:id="14" w:name="_Toc6764"/>
    </w:p>
    <w:p>
      <w:pPr>
        <w:adjustRightInd w:val="0"/>
        <w:snapToGrid w:val="0"/>
        <w:spacing w:line="560" w:lineRule="exact"/>
        <w:ind w:firstLine="562" w:firstLineChars="200"/>
        <w:rPr>
          <w:rFonts w:eastAsia="方正楷体简体" w:asciiTheme="minorHAnsi" w:hAnsiTheme="minorHAnsi" w:cstheme="minorHAnsi"/>
          <w:b/>
          <w:color w:val="auto"/>
          <w:sz w:val="28"/>
          <w:szCs w:val="28"/>
        </w:rPr>
      </w:pPr>
      <w:r>
        <w:rPr>
          <w:rFonts w:hint="eastAsia" w:eastAsia="方正楷体简体" w:asciiTheme="minorHAnsi" w:hAnsiTheme="minorHAnsi" w:cstheme="minorHAnsi"/>
          <w:b/>
          <w:color w:val="auto"/>
          <w:sz w:val="28"/>
          <w:szCs w:val="28"/>
        </w:rPr>
        <w:t>（二）发展目标</w:t>
      </w:r>
      <w:bookmarkEnd w:id="13"/>
      <w:bookmarkEnd w:id="14"/>
      <w:r>
        <w:rPr>
          <w:rFonts w:hint="eastAsia" w:eastAsia="方正楷体简体" w:asciiTheme="minorHAnsi" w:hAnsiTheme="minorHAnsi" w:cstheme="minorHAnsi"/>
          <w:b/>
          <w:color w:val="auto"/>
          <w:sz w:val="28"/>
          <w:szCs w:val="28"/>
        </w:rPr>
        <w:t>。</w:t>
      </w:r>
    </w:p>
    <w:p>
      <w:pPr>
        <w:adjustRightInd w:val="0"/>
        <w:snapToGrid w:val="0"/>
        <w:spacing w:line="560" w:lineRule="exact"/>
        <w:ind w:firstLine="560" w:firstLineChars="200"/>
        <w:rPr>
          <w:rFonts w:ascii="仿宋_GB2312" w:hAnsiTheme="minorHAnsi" w:cstheme="minorHAnsi"/>
          <w:color w:val="auto"/>
          <w:sz w:val="28"/>
          <w:szCs w:val="30"/>
        </w:rPr>
      </w:pPr>
      <w:r>
        <w:rPr>
          <w:rFonts w:hint="eastAsia" w:ascii="仿宋_GB2312"/>
          <w:color w:val="auto"/>
          <w:sz w:val="28"/>
          <w:szCs w:val="28"/>
        </w:rPr>
        <w:t>到202</w:t>
      </w:r>
      <w:r>
        <w:rPr>
          <w:rFonts w:hint="eastAsia" w:ascii="仿宋_GB2312"/>
          <w:color w:val="auto"/>
          <w:sz w:val="28"/>
          <w:szCs w:val="28"/>
          <w:lang w:val="en-US" w:eastAsia="zh-CN"/>
        </w:rPr>
        <w:t>4</w:t>
      </w:r>
      <w:r>
        <w:rPr>
          <w:rFonts w:hint="eastAsia" w:ascii="仿宋_GB2312"/>
          <w:color w:val="auto"/>
          <w:sz w:val="28"/>
          <w:szCs w:val="28"/>
        </w:rPr>
        <w:t>年，初步建成与农村居民生活相匹配、与农业现代化发展相匹配、与现代流通方式相匹配，布局合理、高效畅通、特色突出、管理现代的农村物流服务体系。</w:t>
      </w:r>
    </w:p>
    <w:p>
      <w:pPr>
        <w:spacing w:line="560" w:lineRule="exact"/>
        <w:ind w:firstLine="560" w:firstLineChars="200"/>
        <w:rPr>
          <w:color w:val="auto"/>
          <w:sz w:val="28"/>
          <w:szCs w:val="28"/>
        </w:rPr>
      </w:pPr>
      <w:r>
        <w:rPr>
          <w:rFonts w:hint="eastAsia"/>
          <w:color w:val="auto"/>
          <w:sz w:val="28"/>
          <w:szCs w:val="28"/>
        </w:rPr>
        <w:t xml:space="preserve">——创造农村物流总体增量。通过物流大通道的建设，进一步开发末端农业资源，引入新产品、新技术、新模式，开展种养业和农产品深加工等，提升农村物流增量30%以上。 </w:t>
      </w:r>
    </w:p>
    <w:p>
      <w:pPr>
        <w:spacing w:line="560" w:lineRule="exact"/>
        <w:ind w:firstLine="560" w:firstLineChars="200"/>
        <w:rPr>
          <w:color w:val="auto"/>
          <w:sz w:val="28"/>
          <w:szCs w:val="28"/>
        </w:rPr>
      </w:pPr>
      <w:r>
        <w:rPr>
          <w:rFonts w:hint="eastAsia"/>
          <w:color w:val="auto"/>
          <w:sz w:val="28"/>
          <w:szCs w:val="28"/>
        </w:rPr>
        <w:t>——提高农村物流运行效率。全县大宗农产品预冷保鲜比例提升至60%左右、物流费用占GDP的比重下降至15%左右。大力完善冷链物流基础设施，推动农产品损耗率下降50%。</w:t>
      </w:r>
    </w:p>
    <w:p>
      <w:pPr>
        <w:spacing w:line="560" w:lineRule="exact"/>
        <w:ind w:firstLine="560" w:firstLineChars="200"/>
        <w:rPr>
          <w:color w:val="auto"/>
          <w:sz w:val="28"/>
          <w:szCs w:val="28"/>
        </w:rPr>
      </w:pPr>
      <w:r>
        <w:rPr>
          <w:rFonts w:hint="eastAsia"/>
          <w:color w:val="auto"/>
          <w:sz w:val="28"/>
          <w:szCs w:val="28"/>
        </w:rPr>
        <w:t>——推动农村物流经营主体规模化。推动各类物流主体上下游拓展经营能力大幅提升。争取1家企业入选省级百强农村物流龙头企业，培育3家市级农村物流重点企业，发展8家县级农村物流重点企业。</w:t>
      </w:r>
    </w:p>
    <w:p>
      <w:pPr>
        <w:spacing w:line="560" w:lineRule="exact"/>
        <w:ind w:firstLine="560" w:firstLineChars="200"/>
        <w:rPr>
          <w:color w:val="auto"/>
          <w:sz w:val="28"/>
          <w:szCs w:val="28"/>
        </w:rPr>
      </w:pPr>
      <w:r>
        <w:rPr>
          <w:rFonts w:hint="eastAsia"/>
          <w:color w:val="auto"/>
          <w:sz w:val="28"/>
          <w:szCs w:val="28"/>
        </w:rPr>
        <w:t>——促进横向物流发展。加强与京东、阿里菜鸟、顺丰、“四通一达”等知名大型物流企业的交流合作，争取和支持这些企业在五华建设1个区域（云仓）分拨中心。</w:t>
      </w:r>
    </w:p>
    <w:p>
      <w:pPr>
        <w:adjustRightInd w:val="0"/>
        <w:snapToGrid w:val="0"/>
        <w:spacing w:line="560" w:lineRule="exact"/>
        <w:ind w:firstLine="560" w:firstLineChars="200"/>
        <w:rPr>
          <w:color w:val="auto"/>
        </w:rPr>
      </w:pPr>
      <w:r>
        <w:rPr>
          <w:rFonts w:hint="eastAsia"/>
          <w:color w:val="auto"/>
          <w:sz w:val="28"/>
          <w:szCs w:val="28"/>
        </w:rPr>
        <w:t>——促进农村物流融合发展。创新农业、商贸、旅游和物流业融合发展，选择3-5家农村物流融合示范工程取得成效并推广，带动农村物流发展水平的提高，力争在相关政策和体制机制上有所突破。</w:t>
      </w:r>
    </w:p>
    <w:p>
      <w:pPr>
        <w:pStyle w:val="3"/>
        <w:adjustRightInd w:val="0"/>
        <w:snapToGrid w:val="0"/>
        <w:spacing w:before="0" w:beforeAutospacing="0" w:after="0" w:afterAutospacing="0" w:line="560" w:lineRule="exact"/>
        <w:ind w:firstLine="602"/>
        <w:rPr>
          <w:rFonts w:eastAsia="方正宋黑简体" w:asciiTheme="minorHAnsi" w:hAnsiTheme="minorHAnsi" w:cstheme="minorHAnsi"/>
          <w:color w:val="auto"/>
          <w:sz w:val="30"/>
          <w:szCs w:val="30"/>
        </w:rPr>
      </w:pPr>
      <w:bookmarkStart w:id="15" w:name="_Toc30308"/>
      <w:bookmarkStart w:id="16" w:name="_Toc519593261"/>
      <w:r>
        <w:rPr>
          <w:rFonts w:hint="eastAsia" w:eastAsia="方正宋黑简体" w:asciiTheme="minorHAnsi" w:hAnsiTheme="minorHAnsi" w:cstheme="minorHAnsi"/>
          <w:color w:val="auto"/>
          <w:sz w:val="30"/>
          <w:szCs w:val="30"/>
        </w:rPr>
        <w:t>三、体系及节点布局</w:t>
      </w:r>
      <w:bookmarkEnd w:id="15"/>
    </w:p>
    <w:p>
      <w:pPr>
        <w:adjustRightInd w:val="0"/>
        <w:snapToGrid w:val="0"/>
        <w:spacing w:line="560" w:lineRule="exact"/>
        <w:ind w:firstLine="560" w:firstLineChars="200"/>
        <w:rPr>
          <w:color w:val="auto"/>
          <w:sz w:val="28"/>
          <w:szCs w:val="28"/>
        </w:rPr>
      </w:pPr>
      <w:r>
        <w:rPr>
          <w:rFonts w:hint="eastAsia"/>
          <w:color w:val="auto"/>
          <w:sz w:val="28"/>
          <w:szCs w:val="28"/>
        </w:rPr>
        <w:t>五华县农村物流网络服务体系由“县—镇—村”三级农村物流网络节点及冷链物流公共信息化平台构成。</w:t>
      </w:r>
    </w:p>
    <w:p>
      <w:pPr>
        <w:spacing w:line="560" w:lineRule="exact"/>
        <w:ind w:firstLine="560" w:firstLineChars="200"/>
        <w:rPr>
          <w:color w:val="auto"/>
          <w:sz w:val="28"/>
          <w:szCs w:val="28"/>
        </w:rPr>
      </w:pPr>
      <w:r>
        <w:rPr>
          <w:rFonts w:hint="eastAsia"/>
          <w:color w:val="auto"/>
          <w:sz w:val="28"/>
          <w:szCs w:val="28"/>
        </w:rPr>
        <w:t>围绕五华县“一核两区、三组团”规划布局建设，依托全县农业发展格局、特色农产品主产区，规划建设五华县农村物流网络服务体系。</w:t>
      </w:r>
    </w:p>
    <w:p>
      <w:pPr>
        <w:spacing w:line="560" w:lineRule="exact"/>
        <w:ind w:firstLine="560" w:firstLineChars="200"/>
        <w:rPr>
          <w:color w:val="auto"/>
          <w:sz w:val="28"/>
          <w:szCs w:val="28"/>
        </w:rPr>
      </w:pPr>
      <w:r>
        <w:rPr>
          <w:rFonts w:hint="eastAsia"/>
          <w:color w:val="auto"/>
          <w:sz w:val="28"/>
          <w:szCs w:val="28"/>
        </w:rPr>
        <w:t>规划建设一个占地面积100亩以上，建设占地4万平方米物流仓，同时容纳200辆以上各类物流、冷藏冷冻车辆进出与作业的“县级现代物流产业园区”；整合物流配送资源，规划8条配送线路图，基于16个镇级电子商务服务中心增加农村物流配送功能，成为412个行政村的快递物流中转中心，实现物流资源共享、统筹统配体系。</w:t>
      </w:r>
    </w:p>
    <w:p>
      <w:pPr>
        <w:pStyle w:val="4"/>
        <w:adjustRightInd w:val="0"/>
        <w:snapToGrid w:val="0"/>
        <w:spacing w:before="0" w:beforeAutospacing="0" w:after="0" w:afterAutospacing="0" w:line="560" w:lineRule="exact"/>
        <w:ind w:firstLine="562"/>
        <w:rPr>
          <w:rFonts w:eastAsia="方正楷体简体" w:asciiTheme="minorHAnsi" w:hAnsiTheme="minorHAnsi" w:cstheme="minorHAnsi"/>
          <w:color w:val="auto"/>
        </w:rPr>
      </w:pPr>
      <w:bookmarkStart w:id="17" w:name="_Toc28744"/>
      <w:r>
        <w:rPr>
          <w:rFonts w:hint="eastAsia" w:eastAsia="方正楷体简体" w:asciiTheme="minorHAnsi" w:hAnsiTheme="minorHAnsi" w:cstheme="minorHAnsi"/>
          <w:color w:val="auto"/>
        </w:rPr>
        <w:t>（一）县级现代物流产业园区</w:t>
      </w:r>
      <w:bookmarkEnd w:id="17"/>
      <w:r>
        <w:rPr>
          <w:rFonts w:hint="eastAsia" w:eastAsia="方正楷体简体" w:asciiTheme="minorHAnsi" w:hAnsiTheme="minorHAnsi" w:cstheme="minorHAnsi"/>
          <w:color w:val="auto"/>
        </w:rPr>
        <w:t>。</w:t>
      </w:r>
    </w:p>
    <w:p>
      <w:pPr>
        <w:pStyle w:val="4"/>
        <w:adjustRightInd w:val="0"/>
        <w:snapToGrid w:val="0"/>
        <w:spacing w:before="0" w:beforeAutospacing="0" w:after="0" w:afterAutospacing="0" w:line="560" w:lineRule="exact"/>
        <w:ind w:firstLine="560"/>
        <w:rPr>
          <w:rFonts w:ascii="仿宋_GB2312" w:eastAsia="仿宋_GB2312" w:hAnsiTheme="minorHAnsi" w:cstheme="minorHAnsi"/>
          <w:b w:val="0"/>
          <w:color w:val="auto"/>
        </w:rPr>
      </w:pPr>
      <w:r>
        <w:rPr>
          <w:rFonts w:hint="eastAsia" w:ascii="仿宋_GB2312" w:eastAsia="仿宋_GB2312"/>
          <w:b w:val="0"/>
          <w:color w:val="auto"/>
          <w:szCs w:val="28"/>
        </w:rPr>
        <w:t>选址位于水寨镇的广州番禺（五华）产业转移园（名称暂定：五华县现代物流产业园）。立足于“县域中心”的城市布局定位，发挥兴华高速畲华段贯通五华通往梅州、河源和福建、江西等地区，以及潮汕、汕尾等沿海地区咽喉的优势，依托工业发展重心逐步转向广州番禺（五华）产业转移园，以及"梅兴华丰产业集聚带"建设的机遇，实现与广梅园联动发展的契机，规划选址建设“县级现代物流产业园区”。</w:t>
      </w:r>
    </w:p>
    <w:p>
      <w:pPr>
        <w:spacing w:line="560" w:lineRule="exact"/>
        <w:ind w:firstLine="560" w:firstLineChars="200"/>
        <w:rPr>
          <w:color w:val="auto"/>
          <w:sz w:val="28"/>
          <w:szCs w:val="28"/>
        </w:rPr>
      </w:pPr>
      <w:r>
        <w:rPr>
          <w:rFonts w:hint="eastAsia"/>
          <w:color w:val="auto"/>
          <w:sz w:val="28"/>
          <w:szCs w:val="28"/>
        </w:rPr>
        <w:t>物流园区应具有多式联运、公路甩挂、配送分拨、冷链仓储、信息处理、电商快递、金融服务、展示交易、装备租赁、商务办公、人才培训等功能。逐步增加产品深加工、预冷处理、包装创意、企业孵化等功能。</w:t>
      </w:r>
    </w:p>
    <w:p>
      <w:pPr>
        <w:adjustRightInd w:val="0"/>
        <w:snapToGrid w:val="0"/>
        <w:spacing w:line="560" w:lineRule="exact"/>
        <w:jc w:val="center"/>
        <w:rPr>
          <w:color w:val="auto"/>
        </w:rPr>
      </w:pPr>
      <w:r>
        <w:rPr>
          <w:rFonts w:hint="eastAsia" w:ascii="仿宋_GB2312" w:hAnsi="仿宋_GB2312" w:cs="仿宋_GB2312"/>
          <w:b/>
          <w:bCs/>
          <w:color w:val="auto"/>
          <w:sz w:val="28"/>
          <w:szCs w:val="28"/>
        </w:rPr>
        <w:t>五华县现代物流产业园功能区用地规模控制表</w:t>
      </w:r>
    </w:p>
    <w:tbl>
      <w:tblPr>
        <w:tblStyle w:val="16"/>
        <w:tblW w:w="73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3317"/>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048" w:type="dxa"/>
            <w:vAlign w:val="center"/>
          </w:tcPr>
          <w:p>
            <w:pPr>
              <w:adjustRightInd w:val="0"/>
              <w:snapToGrid w:val="0"/>
              <w:spacing w:line="560" w:lineRule="exact"/>
              <w:jc w:val="center"/>
              <w:rPr>
                <w:rFonts w:ascii="仿宋_GB2312" w:hAnsi="仿宋_GB2312" w:cs="仿宋_GB2312"/>
                <w:color w:val="auto"/>
                <w:sz w:val="28"/>
                <w:szCs w:val="28"/>
              </w:rPr>
            </w:pPr>
            <w:r>
              <w:rPr>
                <w:rFonts w:hint="eastAsia" w:ascii="仿宋_GB2312" w:hAnsi="仿宋_GB2312" w:cs="仿宋_GB2312"/>
                <w:color w:val="auto"/>
                <w:sz w:val="28"/>
                <w:szCs w:val="28"/>
              </w:rPr>
              <w:t>序号</w:t>
            </w:r>
          </w:p>
        </w:tc>
        <w:tc>
          <w:tcPr>
            <w:tcW w:w="3317" w:type="dxa"/>
            <w:vAlign w:val="center"/>
          </w:tcPr>
          <w:p>
            <w:pPr>
              <w:adjustRightInd w:val="0"/>
              <w:snapToGrid w:val="0"/>
              <w:spacing w:line="560" w:lineRule="exact"/>
              <w:jc w:val="center"/>
              <w:rPr>
                <w:rFonts w:ascii="仿宋_GB2312" w:hAnsi="仿宋_GB2312" w:cs="仿宋_GB2312"/>
                <w:color w:val="auto"/>
                <w:sz w:val="28"/>
                <w:szCs w:val="28"/>
              </w:rPr>
            </w:pPr>
            <w:r>
              <w:rPr>
                <w:rFonts w:hint="eastAsia" w:ascii="仿宋_GB2312" w:hAnsi="仿宋_GB2312" w:cs="仿宋_GB2312"/>
                <w:color w:val="auto"/>
                <w:sz w:val="28"/>
                <w:szCs w:val="28"/>
              </w:rPr>
              <w:t>名称</w:t>
            </w:r>
          </w:p>
        </w:tc>
        <w:tc>
          <w:tcPr>
            <w:tcW w:w="2959" w:type="dxa"/>
            <w:vAlign w:val="center"/>
          </w:tcPr>
          <w:p>
            <w:pPr>
              <w:adjustRightInd w:val="0"/>
              <w:snapToGrid w:val="0"/>
              <w:spacing w:line="560" w:lineRule="exact"/>
              <w:jc w:val="center"/>
              <w:rPr>
                <w:rFonts w:ascii="仿宋_GB2312" w:hAnsi="仿宋_GB2312" w:cs="仿宋_GB2312"/>
                <w:color w:val="auto"/>
                <w:sz w:val="28"/>
                <w:szCs w:val="28"/>
              </w:rPr>
            </w:pPr>
            <w:r>
              <w:rPr>
                <w:rFonts w:hint="eastAsia" w:ascii="仿宋_GB2312" w:hAnsi="仿宋_GB2312" w:cs="仿宋_GB2312"/>
                <w:color w:val="auto"/>
                <w:sz w:val="28"/>
                <w:szCs w:val="28"/>
              </w:rPr>
              <w:t>用地面积（亩）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048" w:type="dxa"/>
            <w:vAlign w:val="center"/>
          </w:tcPr>
          <w:p>
            <w:pPr>
              <w:adjustRightInd w:val="0"/>
              <w:snapToGrid w:val="0"/>
              <w:spacing w:line="560" w:lineRule="exact"/>
              <w:jc w:val="center"/>
              <w:rPr>
                <w:rFonts w:ascii="仿宋_GB2312" w:hAnsi="仿宋_GB2312" w:cs="仿宋_GB2312"/>
                <w:color w:val="auto"/>
                <w:sz w:val="28"/>
                <w:szCs w:val="28"/>
              </w:rPr>
            </w:pPr>
            <w:r>
              <w:rPr>
                <w:rFonts w:hint="eastAsia" w:ascii="仿宋_GB2312" w:hAnsi="仿宋_GB2312" w:cs="仿宋_GB2312"/>
                <w:color w:val="auto"/>
                <w:sz w:val="28"/>
                <w:szCs w:val="28"/>
              </w:rPr>
              <w:t>1</w:t>
            </w:r>
          </w:p>
        </w:tc>
        <w:tc>
          <w:tcPr>
            <w:tcW w:w="3317" w:type="dxa"/>
            <w:vAlign w:val="center"/>
          </w:tcPr>
          <w:p>
            <w:pPr>
              <w:adjustRightInd w:val="0"/>
              <w:snapToGrid w:val="0"/>
              <w:spacing w:line="560" w:lineRule="exact"/>
              <w:jc w:val="center"/>
              <w:rPr>
                <w:rFonts w:ascii="仿宋_GB2312" w:hAnsi="仿宋_GB2312" w:cs="仿宋_GB2312"/>
                <w:color w:val="auto"/>
                <w:sz w:val="28"/>
                <w:szCs w:val="28"/>
              </w:rPr>
            </w:pPr>
            <w:r>
              <w:rPr>
                <w:rFonts w:hint="eastAsia" w:ascii="仿宋_GB2312" w:hAnsi="仿宋_GB2312" w:cs="仿宋_GB2312"/>
                <w:color w:val="auto"/>
                <w:sz w:val="28"/>
                <w:szCs w:val="28"/>
              </w:rPr>
              <w:t>冷链加工区</w:t>
            </w:r>
          </w:p>
        </w:tc>
        <w:tc>
          <w:tcPr>
            <w:tcW w:w="2959" w:type="dxa"/>
            <w:vAlign w:val="center"/>
          </w:tcPr>
          <w:p>
            <w:pPr>
              <w:adjustRightInd w:val="0"/>
              <w:snapToGrid w:val="0"/>
              <w:spacing w:line="560" w:lineRule="exact"/>
              <w:jc w:val="center"/>
              <w:rPr>
                <w:rFonts w:ascii="仿宋_GB2312" w:hAnsi="仿宋_GB2312" w:cs="仿宋_GB2312"/>
                <w:color w:val="auto"/>
                <w:sz w:val="28"/>
                <w:szCs w:val="28"/>
              </w:rPr>
            </w:pPr>
            <w:r>
              <w:rPr>
                <w:rFonts w:hint="eastAsia" w:ascii="仿宋_GB2312" w:hAnsi="仿宋_GB2312" w:cs="仿宋_GB2312"/>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48" w:type="dxa"/>
            <w:vAlign w:val="center"/>
          </w:tcPr>
          <w:p>
            <w:pPr>
              <w:adjustRightInd w:val="0"/>
              <w:snapToGrid w:val="0"/>
              <w:spacing w:line="560" w:lineRule="exact"/>
              <w:jc w:val="center"/>
              <w:rPr>
                <w:rFonts w:ascii="仿宋_GB2312" w:hAnsi="仿宋_GB2312" w:cs="仿宋_GB2312"/>
                <w:color w:val="auto"/>
                <w:sz w:val="28"/>
                <w:szCs w:val="28"/>
              </w:rPr>
            </w:pPr>
            <w:r>
              <w:rPr>
                <w:rFonts w:hint="eastAsia" w:ascii="仿宋_GB2312" w:hAnsi="仿宋_GB2312" w:cs="仿宋_GB2312"/>
                <w:color w:val="auto"/>
                <w:sz w:val="28"/>
                <w:szCs w:val="28"/>
              </w:rPr>
              <w:t>2</w:t>
            </w:r>
          </w:p>
        </w:tc>
        <w:tc>
          <w:tcPr>
            <w:tcW w:w="3317" w:type="dxa"/>
            <w:vAlign w:val="center"/>
          </w:tcPr>
          <w:p>
            <w:pPr>
              <w:adjustRightInd w:val="0"/>
              <w:snapToGrid w:val="0"/>
              <w:spacing w:line="560" w:lineRule="exact"/>
              <w:jc w:val="center"/>
              <w:rPr>
                <w:rFonts w:ascii="仿宋_GB2312" w:hAnsi="仿宋_GB2312" w:cs="仿宋_GB2312"/>
                <w:color w:val="auto"/>
                <w:sz w:val="28"/>
                <w:szCs w:val="28"/>
              </w:rPr>
            </w:pPr>
            <w:r>
              <w:rPr>
                <w:rFonts w:hint="eastAsia" w:ascii="仿宋_GB2312" w:hAnsi="仿宋_GB2312" w:cs="仿宋_GB2312"/>
                <w:color w:val="auto"/>
                <w:sz w:val="28"/>
                <w:szCs w:val="28"/>
              </w:rPr>
              <w:t>智慧仓储区</w:t>
            </w:r>
          </w:p>
        </w:tc>
        <w:tc>
          <w:tcPr>
            <w:tcW w:w="2959" w:type="dxa"/>
            <w:vAlign w:val="center"/>
          </w:tcPr>
          <w:p>
            <w:pPr>
              <w:adjustRightInd w:val="0"/>
              <w:snapToGrid w:val="0"/>
              <w:spacing w:line="560" w:lineRule="exact"/>
              <w:jc w:val="center"/>
              <w:rPr>
                <w:rFonts w:ascii="仿宋_GB2312" w:hAnsi="仿宋_GB2312" w:cs="仿宋_GB2312"/>
                <w:color w:val="auto"/>
                <w:sz w:val="28"/>
                <w:szCs w:val="28"/>
              </w:rPr>
            </w:pPr>
            <w:r>
              <w:rPr>
                <w:rFonts w:hint="eastAsia" w:ascii="仿宋_GB2312" w:hAnsi="仿宋_GB2312" w:cs="仿宋_GB2312"/>
                <w:color w:val="auto"/>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48" w:type="dxa"/>
            <w:vAlign w:val="center"/>
          </w:tcPr>
          <w:p>
            <w:pPr>
              <w:adjustRightInd w:val="0"/>
              <w:snapToGrid w:val="0"/>
              <w:spacing w:line="560" w:lineRule="exact"/>
              <w:jc w:val="center"/>
              <w:rPr>
                <w:rFonts w:ascii="仿宋_GB2312" w:hAnsi="仿宋_GB2312" w:cs="仿宋_GB2312"/>
                <w:color w:val="auto"/>
                <w:sz w:val="28"/>
                <w:szCs w:val="28"/>
              </w:rPr>
            </w:pPr>
            <w:r>
              <w:rPr>
                <w:rFonts w:hint="eastAsia" w:ascii="仿宋_GB2312" w:hAnsi="仿宋_GB2312" w:cs="仿宋_GB2312"/>
                <w:color w:val="auto"/>
                <w:sz w:val="28"/>
                <w:szCs w:val="28"/>
              </w:rPr>
              <w:t>3</w:t>
            </w:r>
          </w:p>
        </w:tc>
        <w:tc>
          <w:tcPr>
            <w:tcW w:w="3317" w:type="dxa"/>
            <w:vAlign w:val="center"/>
          </w:tcPr>
          <w:p>
            <w:pPr>
              <w:adjustRightInd w:val="0"/>
              <w:snapToGrid w:val="0"/>
              <w:spacing w:line="560" w:lineRule="exact"/>
              <w:jc w:val="center"/>
              <w:rPr>
                <w:rFonts w:ascii="仿宋_GB2312" w:hAnsi="仿宋_GB2312" w:cs="仿宋_GB2312"/>
                <w:color w:val="auto"/>
                <w:sz w:val="28"/>
                <w:szCs w:val="28"/>
              </w:rPr>
            </w:pPr>
            <w:r>
              <w:rPr>
                <w:rFonts w:hint="eastAsia" w:ascii="仿宋_GB2312" w:hAnsi="仿宋_GB2312" w:cs="仿宋_GB2312"/>
                <w:color w:val="auto"/>
                <w:sz w:val="28"/>
                <w:szCs w:val="28"/>
              </w:rPr>
              <w:t>区域配送区</w:t>
            </w:r>
          </w:p>
        </w:tc>
        <w:tc>
          <w:tcPr>
            <w:tcW w:w="2959" w:type="dxa"/>
            <w:vAlign w:val="center"/>
          </w:tcPr>
          <w:p>
            <w:pPr>
              <w:adjustRightInd w:val="0"/>
              <w:snapToGrid w:val="0"/>
              <w:spacing w:line="560" w:lineRule="exact"/>
              <w:jc w:val="center"/>
              <w:rPr>
                <w:rFonts w:ascii="仿宋_GB2312" w:hAnsi="仿宋_GB2312" w:cs="仿宋_GB2312"/>
                <w:color w:val="auto"/>
                <w:sz w:val="28"/>
                <w:szCs w:val="28"/>
              </w:rPr>
            </w:pPr>
            <w:r>
              <w:rPr>
                <w:rFonts w:hint="eastAsia" w:ascii="仿宋_GB2312" w:hAnsi="仿宋_GB2312" w:cs="仿宋_GB2312"/>
                <w:color w:val="auto"/>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48" w:type="dxa"/>
            <w:vAlign w:val="center"/>
          </w:tcPr>
          <w:p>
            <w:pPr>
              <w:adjustRightInd w:val="0"/>
              <w:snapToGrid w:val="0"/>
              <w:spacing w:line="560" w:lineRule="exact"/>
              <w:jc w:val="center"/>
              <w:rPr>
                <w:rFonts w:ascii="仿宋_GB2312" w:hAnsi="仿宋_GB2312" w:cs="仿宋_GB2312"/>
                <w:color w:val="auto"/>
                <w:sz w:val="28"/>
                <w:szCs w:val="28"/>
              </w:rPr>
            </w:pPr>
            <w:r>
              <w:rPr>
                <w:rFonts w:hint="eastAsia" w:ascii="仿宋_GB2312" w:hAnsi="仿宋_GB2312" w:cs="仿宋_GB2312"/>
                <w:color w:val="auto"/>
                <w:sz w:val="28"/>
                <w:szCs w:val="28"/>
              </w:rPr>
              <w:t>4</w:t>
            </w:r>
          </w:p>
        </w:tc>
        <w:tc>
          <w:tcPr>
            <w:tcW w:w="3317" w:type="dxa"/>
            <w:vAlign w:val="center"/>
          </w:tcPr>
          <w:p>
            <w:pPr>
              <w:adjustRightInd w:val="0"/>
              <w:snapToGrid w:val="0"/>
              <w:spacing w:line="560" w:lineRule="exact"/>
              <w:jc w:val="center"/>
              <w:rPr>
                <w:rFonts w:ascii="仿宋_GB2312" w:hAnsi="仿宋_GB2312" w:cs="仿宋_GB2312"/>
                <w:color w:val="auto"/>
                <w:sz w:val="28"/>
                <w:szCs w:val="28"/>
              </w:rPr>
            </w:pPr>
            <w:r>
              <w:rPr>
                <w:rFonts w:ascii="仿宋_GB2312" w:hAnsi="仿宋_GB2312" w:cs="仿宋_GB2312"/>
                <w:color w:val="auto"/>
                <w:sz w:val="28"/>
                <w:szCs w:val="28"/>
              </w:rPr>
              <w:t>分拨</w:t>
            </w:r>
            <w:r>
              <w:rPr>
                <w:rFonts w:hint="eastAsia" w:ascii="仿宋_GB2312" w:hAnsi="仿宋_GB2312" w:cs="仿宋_GB2312"/>
                <w:color w:val="auto"/>
                <w:sz w:val="28"/>
                <w:szCs w:val="28"/>
              </w:rPr>
              <w:t>集散区</w:t>
            </w:r>
          </w:p>
        </w:tc>
        <w:tc>
          <w:tcPr>
            <w:tcW w:w="2959" w:type="dxa"/>
            <w:vAlign w:val="center"/>
          </w:tcPr>
          <w:p>
            <w:pPr>
              <w:adjustRightInd w:val="0"/>
              <w:snapToGrid w:val="0"/>
              <w:spacing w:line="560" w:lineRule="exact"/>
              <w:jc w:val="center"/>
              <w:rPr>
                <w:rFonts w:ascii="仿宋_GB2312" w:hAnsi="仿宋_GB2312" w:cs="仿宋_GB2312"/>
                <w:color w:val="auto"/>
                <w:sz w:val="28"/>
                <w:szCs w:val="28"/>
              </w:rPr>
            </w:pPr>
            <w:r>
              <w:rPr>
                <w:rFonts w:hint="eastAsia" w:ascii="仿宋_GB2312" w:hAnsi="仿宋_GB2312" w:cs="仿宋_GB2312"/>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048" w:type="dxa"/>
            <w:vAlign w:val="center"/>
          </w:tcPr>
          <w:p>
            <w:pPr>
              <w:adjustRightInd w:val="0"/>
              <w:snapToGrid w:val="0"/>
              <w:spacing w:line="560" w:lineRule="exact"/>
              <w:jc w:val="center"/>
              <w:rPr>
                <w:rFonts w:ascii="仿宋_GB2312" w:hAnsi="仿宋_GB2312" w:cs="仿宋_GB2312"/>
                <w:color w:val="auto"/>
                <w:sz w:val="28"/>
                <w:szCs w:val="28"/>
              </w:rPr>
            </w:pPr>
            <w:r>
              <w:rPr>
                <w:rFonts w:hint="eastAsia" w:ascii="仿宋_GB2312" w:hAnsi="仿宋_GB2312" w:cs="仿宋_GB2312"/>
                <w:color w:val="auto"/>
                <w:sz w:val="28"/>
                <w:szCs w:val="28"/>
              </w:rPr>
              <w:t>5</w:t>
            </w:r>
          </w:p>
        </w:tc>
        <w:tc>
          <w:tcPr>
            <w:tcW w:w="3317" w:type="dxa"/>
            <w:vAlign w:val="center"/>
          </w:tcPr>
          <w:p>
            <w:pPr>
              <w:adjustRightInd w:val="0"/>
              <w:snapToGrid w:val="0"/>
              <w:spacing w:line="560" w:lineRule="exact"/>
              <w:jc w:val="center"/>
              <w:rPr>
                <w:rFonts w:ascii="仿宋_GB2312" w:hAnsi="仿宋_GB2312" w:cs="仿宋_GB2312"/>
                <w:color w:val="auto"/>
                <w:sz w:val="28"/>
                <w:szCs w:val="28"/>
              </w:rPr>
            </w:pPr>
            <w:r>
              <w:rPr>
                <w:rFonts w:hint="eastAsia" w:ascii="仿宋_GB2312" w:hAnsi="仿宋_GB2312" w:cs="仿宋_GB2312"/>
                <w:color w:val="auto"/>
                <w:sz w:val="28"/>
                <w:szCs w:val="28"/>
              </w:rPr>
              <w:t>综合配套区</w:t>
            </w:r>
          </w:p>
        </w:tc>
        <w:tc>
          <w:tcPr>
            <w:tcW w:w="2959" w:type="dxa"/>
            <w:vAlign w:val="center"/>
          </w:tcPr>
          <w:p>
            <w:pPr>
              <w:adjustRightInd w:val="0"/>
              <w:snapToGrid w:val="0"/>
              <w:spacing w:line="560" w:lineRule="exact"/>
              <w:jc w:val="center"/>
              <w:rPr>
                <w:rFonts w:ascii="仿宋_GB2312" w:hAnsi="仿宋_GB2312" w:cs="仿宋_GB2312"/>
                <w:color w:val="auto"/>
                <w:sz w:val="28"/>
                <w:szCs w:val="28"/>
              </w:rPr>
            </w:pPr>
            <w:r>
              <w:rPr>
                <w:rFonts w:hint="eastAsia" w:ascii="仿宋_GB2312" w:hAnsi="仿宋_GB2312" w:cs="仿宋_GB2312"/>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4365" w:type="dxa"/>
            <w:gridSpan w:val="2"/>
            <w:vAlign w:val="center"/>
          </w:tcPr>
          <w:p>
            <w:pPr>
              <w:adjustRightInd w:val="0"/>
              <w:snapToGrid w:val="0"/>
              <w:spacing w:line="560" w:lineRule="exact"/>
              <w:jc w:val="center"/>
              <w:rPr>
                <w:rFonts w:ascii="仿宋_GB2312" w:hAnsi="仿宋_GB2312" w:cs="仿宋_GB2312"/>
                <w:color w:val="auto"/>
                <w:sz w:val="28"/>
                <w:szCs w:val="28"/>
              </w:rPr>
            </w:pPr>
            <w:r>
              <w:rPr>
                <w:rFonts w:hint="eastAsia" w:ascii="仿宋_GB2312" w:hAnsi="仿宋_GB2312" w:cs="仿宋_GB2312"/>
                <w:color w:val="auto"/>
                <w:sz w:val="28"/>
                <w:szCs w:val="28"/>
              </w:rPr>
              <w:t>合计</w:t>
            </w:r>
          </w:p>
        </w:tc>
        <w:tc>
          <w:tcPr>
            <w:tcW w:w="2959" w:type="dxa"/>
            <w:vAlign w:val="center"/>
          </w:tcPr>
          <w:p>
            <w:pPr>
              <w:adjustRightInd w:val="0"/>
              <w:snapToGrid w:val="0"/>
              <w:spacing w:line="560" w:lineRule="exact"/>
              <w:jc w:val="center"/>
              <w:rPr>
                <w:rFonts w:ascii="仿宋_GB2312" w:hAnsi="仿宋_GB2312" w:cs="仿宋_GB2312"/>
                <w:color w:val="auto"/>
                <w:sz w:val="28"/>
                <w:szCs w:val="28"/>
              </w:rPr>
            </w:pPr>
            <w:r>
              <w:rPr>
                <w:rFonts w:hint="eastAsia" w:ascii="仿宋_GB2312" w:hAnsi="仿宋_GB2312" w:cs="仿宋_GB2312"/>
                <w:color w:val="auto"/>
                <w:sz w:val="28"/>
                <w:szCs w:val="28"/>
              </w:rPr>
              <w:t>100</w:t>
            </w:r>
          </w:p>
        </w:tc>
      </w:tr>
    </w:tbl>
    <w:p>
      <w:pPr>
        <w:pStyle w:val="4"/>
        <w:adjustRightInd w:val="0"/>
        <w:snapToGrid w:val="0"/>
        <w:spacing w:before="0" w:beforeAutospacing="0" w:after="0" w:afterAutospacing="0" w:line="560" w:lineRule="exact"/>
        <w:ind w:firstLine="562"/>
        <w:rPr>
          <w:rFonts w:eastAsia="方正楷体简体" w:asciiTheme="minorHAnsi" w:hAnsiTheme="minorHAnsi" w:cstheme="minorHAnsi"/>
          <w:color w:val="auto"/>
        </w:rPr>
      </w:pPr>
      <w:bookmarkStart w:id="18" w:name="_Toc11747"/>
      <w:r>
        <w:rPr>
          <w:rFonts w:hint="eastAsia" w:eastAsia="方正楷体简体" w:asciiTheme="minorHAnsi" w:hAnsiTheme="minorHAnsi" w:cstheme="minorHAnsi"/>
          <w:color w:val="auto"/>
        </w:rPr>
        <w:t>（二）镇级农村物流多功能服务中心</w:t>
      </w:r>
      <w:bookmarkEnd w:id="18"/>
      <w:r>
        <w:rPr>
          <w:rFonts w:hint="eastAsia" w:eastAsia="方正楷体简体" w:asciiTheme="minorHAnsi" w:hAnsiTheme="minorHAnsi" w:cstheme="minorHAnsi"/>
          <w:color w:val="auto"/>
        </w:rPr>
        <w:t>。</w:t>
      </w:r>
    </w:p>
    <w:p>
      <w:pPr>
        <w:pStyle w:val="4"/>
        <w:adjustRightInd w:val="0"/>
        <w:snapToGrid w:val="0"/>
        <w:spacing w:before="0" w:beforeAutospacing="0" w:after="0" w:afterAutospacing="0" w:line="560" w:lineRule="exact"/>
        <w:ind w:firstLine="560"/>
        <w:rPr>
          <w:rFonts w:ascii="仿宋_GB2312" w:eastAsia="仿宋_GB2312" w:hAnsiTheme="minorHAnsi" w:cstheme="minorHAnsi"/>
          <w:b w:val="0"/>
          <w:color w:val="auto"/>
        </w:rPr>
      </w:pPr>
      <w:r>
        <w:rPr>
          <w:rFonts w:hint="eastAsia" w:ascii="仿宋_GB2312" w:eastAsia="仿宋_GB2312"/>
          <w:b w:val="0"/>
          <w:color w:val="auto"/>
          <w:szCs w:val="28"/>
        </w:rPr>
        <w:t>拟分别在16个乡镇（依托现有的镇级电子商务服务中心）选址建设占地300平方米（名称暂定：xx镇物流中转中心），充分利用现有的物流基础和已经形成的农产品批发市场，通过升级改造或重新选址规划建设。</w:t>
      </w:r>
    </w:p>
    <w:p>
      <w:pPr>
        <w:spacing w:line="560" w:lineRule="exact"/>
        <w:ind w:firstLine="560" w:firstLineChars="200"/>
        <w:rPr>
          <w:color w:val="auto"/>
          <w:sz w:val="28"/>
          <w:szCs w:val="28"/>
        </w:rPr>
      </w:pPr>
      <w:r>
        <w:rPr>
          <w:rFonts w:hint="eastAsia"/>
          <w:color w:val="auto"/>
          <w:sz w:val="28"/>
          <w:szCs w:val="28"/>
        </w:rPr>
        <w:t>中转中心应具有收集、分拨、仓储（含冷库）、配送、电商、信息采集、包装和停车等功能，逐步向产品快检、质量监管、产品溯源、商贸金融以及产业链的服务功能延伸。</w:t>
      </w:r>
      <w:bookmarkStart w:id="19" w:name="_Toc13612"/>
    </w:p>
    <w:p>
      <w:pPr>
        <w:spacing w:line="560" w:lineRule="exact"/>
        <w:ind w:firstLine="562" w:firstLineChars="200"/>
        <w:rPr>
          <w:rFonts w:ascii="方正楷体简体" w:eastAsia="方正楷体简体" w:hAnsiTheme="minorHAnsi" w:cstheme="minorHAnsi"/>
          <w:b/>
          <w:color w:val="auto"/>
          <w:sz w:val="28"/>
          <w:szCs w:val="28"/>
        </w:rPr>
      </w:pPr>
      <w:r>
        <w:rPr>
          <w:rFonts w:hint="eastAsia" w:ascii="方正楷体简体" w:eastAsia="方正楷体简体" w:hAnsiTheme="minorHAnsi" w:cstheme="minorHAnsi"/>
          <w:b/>
          <w:color w:val="auto"/>
          <w:sz w:val="28"/>
          <w:szCs w:val="28"/>
        </w:rPr>
        <w:t>（三）五华县物流公共信息化平台</w:t>
      </w:r>
      <w:bookmarkEnd w:id="19"/>
      <w:r>
        <w:rPr>
          <w:rFonts w:hint="eastAsia" w:ascii="方正楷体简体" w:eastAsia="方正楷体简体" w:hAnsiTheme="minorHAnsi" w:cstheme="minorHAnsi"/>
          <w:b/>
          <w:color w:val="auto"/>
          <w:sz w:val="28"/>
          <w:szCs w:val="28"/>
        </w:rPr>
        <w:t>。</w:t>
      </w:r>
    </w:p>
    <w:p>
      <w:pPr>
        <w:spacing w:line="560" w:lineRule="exact"/>
        <w:ind w:firstLine="560" w:firstLineChars="200"/>
        <w:rPr>
          <w:rFonts w:ascii="仿宋_GB2312" w:hAnsiTheme="minorHAnsi" w:cstheme="minorHAnsi"/>
          <w:color w:val="auto"/>
          <w:sz w:val="28"/>
          <w:szCs w:val="30"/>
        </w:rPr>
      </w:pPr>
      <w:r>
        <w:rPr>
          <w:rFonts w:hint="eastAsia" w:ascii="仿宋_GB2312"/>
          <w:color w:val="auto"/>
          <w:sz w:val="28"/>
          <w:szCs w:val="28"/>
        </w:rPr>
        <w:t>结合五华农村物流网络服务体系，引导物流企业、行业协会等第三方机构，整合信息资源研发或“移植”成熟平台模块，建</w:t>
      </w:r>
      <w:r>
        <w:rPr>
          <w:rFonts w:hint="eastAsia" w:ascii="仿宋_GB2312"/>
          <w:color w:val="auto"/>
          <w:sz w:val="28"/>
          <w:szCs w:val="28"/>
          <w:lang w:eastAsia="zh-CN"/>
        </w:rPr>
        <w:t>成</w:t>
      </w:r>
      <w:r>
        <w:rPr>
          <w:rFonts w:hint="eastAsia" w:ascii="仿宋_GB2312"/>
          <w:color w:val="auto"/>
          <w:sz w:val="28"/>
          <w:szCs w:val="28"/>
        </w:rPr>
        <w:t>能够满足接入省级物流公共信息化平台和正在实施建设的“五华县政务大数据资源池”要求的“五华县物流公共信息服务平台”，具</w:t>
      </w:r>
      <w:r>
        <w:rPr>
          <w:rFonts w:hint="eastAsia" w:ascii="仿宋_GB2312"/>
          <w:color w:val="auto"/>
          <w:sz w:val="28"/>
          <w:szCs w:val="28"/>
          <w:lang w:eastAsia="zh-CN"/>
        </w:rPr>
        <w:t>备</w:t>
      </w:r>
      <w:r>
        <w:rPr>
          <w:rFonts w:hint="eastAsia" w:ascii="仿宋_GB2312"/>
          <w:color w:val="auto"/>
          <w:sz w:val="28"/>
          <w:szCs w:val="28"/>
        </w:rPr>
        <w:t>信息发布、采购交易、物流（快递）运输、冷链仓储、电子商务、金融结算等基本功能</w:t>
      </w:r>
      <w:bookmarkStart w:id="20" w:name="_Toc22839"/>
      <w:r>
        <w:rPr>
          <w:rFonts w:hint="eastAsia" w:ascii="仿宋_GB2312"/>
          <w:color w:val="auto"/>
          <w:sz w:val="28"/>
          <w:szCs w:val="28"/>
          <w:lang w:eastAsia="zh-CN"/>
        </w:rPr>
        <w:t>，</w:t>
      </w:r>
      <w:r>
        <w:rPr>
          <w:rFonts w:hint="eastAsia" w:ascii="仿宋_GB2312"/>
          <w:color w:val="auto"/>
          <w:sz w:val="28"/>
          <w:szCs w:val="28"/>
        </w:rPr>
        <w:t>实现资源共享。</w:t>
      </w:r>
    </w:p>
    <w:p>
      <w:pPr>
        <w:spacing w:line="560" w:lineRule="exact"/>
        <w:ind w:firstLine="600" w:firstLineChars="200"/>
        <w:rPr>
          <w:rFonts w:eastAsia="方正宋黑简体" w:asciiTheme="minorHAnsi" w:hAnsiTheme="minorHAnsi" w:cstheme="minorHAnsi"/>
          <w:color w:val="auto"/>
          <w:sz w:val="30"/>
          <w:szCs w:val="30"/>
        </w:rPr>
      </w:pPr>
      <w:r>
        <w:rPr>
          <w:rFonts w:hint="eastAsia" w:eastAsia="方正宋黑简体" w:asciiTheme="minorHAnsi" w:hAnsiTheme="minorHAnsi" w:cstheme="minorHAnsi"/>
          <w:color w:val="auto"/>
          <w:sz w:val="30"/>
          <w:szCs w:val="30"/>
        </w:rPr>
        <w:t>四、主要任务</w:t>
      </w:r>
      <w:bookmarkEnd w:id="16"/>
      <w:bookmarkEnd w:id="20"/>
      <w:bookmarkStart w:id="21" w:name="_Toc519593262"/>
      <w:bookmarkStart w:id="22" w:name="_Toc21236"/>
      <w:bookmarkStart w:id="23" w:name="_Toc4307"/>
    </w:p>
    <w:p>
      <w:pPr>
        <w:spacing w:line="560" w:lineRule="exact"/>
        <w:ind w:firstLine="562" w:firstLineChars="200"/>
        <w:rPr>
          <w:rFonts w:eastAsia="方正楷体简体" w:asciiTheme="minorHAnsi" w:hAnsiTheme="minorHAnsi" w:cstheme="minorHAnsi"/>
          <w:b/>
          <w:color w:val="auto"/>
          <w:sz w:val="28"/>
          <w:szCs w:val="28"/>
        </w:rPr>
      </w:pPr>
      <w:r>
        <w:rPr>
          <w:rFonts w:hint="eastAsia" w:eastAsia="方正楷体简体" w:asciiTheme="minorHAnsi" w:hAnsiTheme="minorHAnsi" w:cstheme="minorHAnsi"/>
          <w:b/>
          <w:color w:val="auto"/>
          <w:sz w:val="28"/>
          <w:szCs w:val="28"/>
        </w:rPr>
        <w:t>（一）</w:t>
      </w:r>
      <w:bookmarkEnd w:id="21"/>
      <w:r>
        <w:rPr>
          <w:rFonts w:hint="eastAsia" w:eastAsia="方正楷体简体" w:asciiTheme="minorHAnsi" w:hAnsiTheme="minorHAnsi" w:cstheme="minorHAnsi"/>
          <w:b/>
          <w:color w:val="auto"/>
          <w:sz w:val="28"/>
          <w:szCs w:val="28"/>
        </w:rPr>
        <w:t>完善农村物流网络布局</w:t>
      </w:r>
      <w:bookmarkEnd w:id="22"/>
      <w:bookmarkEnd w:id="23"/>
      <w:r>
        <w:rPr>
          <w:rFonts w:hint="eastAsia" w:eastAsia="方正楷体简体" w:asciiTheme="minorHAnsi" w:hAnsiTheme="minorHAnsi" w:cstheme="minorHAnsi"/>
          <w:b/>
          <w:color w:val="auto"/>
          <w:sz w:val="28"/>
          <w:szCs w:val="28"/>
        </w:rPr>
        <w:t>。</w:t>
      </w:r>
    </w:p>
    <w:p>
      <w:pPr>
        <w:spacing w:line="560" w:lineRule="exact"/>
        <w:ind w:firstLine="560" w:firstLineChars="200"/>
        <w:rPr>
          <w:rFonts w:ascii="仿宋_GB2312" w:hAnsiTheme="minorHAnsi" w:cstheme="minorHAnsi"/>
          <w:color w:val="auto"/>
          <w:sz w:val="28"/>
          <w:szCs w:val="30"/>
        </w:rPr>
      </w:pPr>
      <w:r>
        <w:rPr>
          <w:rFonts w:hint="eastAsia" w:ascii="仿宋_GB2312"/>
          <w:color w:val="auto"/>
          <w:sz w:val="28"/>
          <w:szCs w:val="28"/>
        </w:rPr>
        <w:t>规划构建以县级农村物流公共服务中心、乡镇农村物流综合服务中转中心、村级农村物流服务站为支撑的三级农村物流网络服务体系。依托农家店、农村综合服务社、村邮站、快递网点、农产品购销代办站等，按照“加强合作、多点融合、惠民共赢”的原则，发展紧密型的农村物流联系网点，健全农村物流的末端网络。规划建设“五华县现代物流产业园”，依托现有大型产业园区、大型批发市场升级改造或选址新建；设置镇级农村物流中转中心，升级改造现有运营服务场所或重新选址规划建设；设置村级物流服务站，结合“村级电子商务站”进行功能整合建设。引导和支持各类企业与物流企业深度合作，将物流功能进一步延伸到乡村，形成农产品产销加工的稳定衔接机制。到</w:t>
      </w:r>
      <w:r>
        <w:rPr>
          <w:rFonts w:hint="eastAsia" w:ascii="仿宋_GB2312"/>
          <w:color w:val="auto"/>
          <w:sz w:val="28"/>
          <w:szCs w:val="28"/>
          <w:lang w:eastAsia="zh-CN"/>
        </w:rPr>
        <w:t>2024</w:t>
      </w:r>
      <w:r>
        <w:rPr>
          <w:rFonts w:hint="eastAsia" w:ascii="仿宋_GB2312"/>
          <w:color w:val="auto"/>
          <w:sz w:val="28"/>
          <w:szCs w:val="28"/>
        </w:rPr>
        <w:t>年，农村物流网络布局覆盖率实现100%，实现“县—镇—村”快递物流全覆盖，为农村群众提供快递收发、本地物流配送等服务，为“工业品下乡、农产品进城”双向流通奠定基础，物流配送24小时内到达村站的物流网络服务体系。</w:t>
      </w:r>
      <w:bookmarkStart w:id="24" w:name="_Toc19057"/>
      <w:bookmarkStart w:id="25" w:name="_Toc17079"/>
      <w:bookmarkStart w:id="26" w:name="_Toc519593263"/>
    </w:p>
    <w:p>
      <w:pPr>
        <w:spacing w:line="560" w:lineRule="exact"/>
        <w:ind w:firstLine="562" w:firstLineChars="200"/>
        <w:rPr>
          <w:rFonts w:eastAsia="方正楷体简体" w:asciiTheme="minorHAnsi" w:hAnsiTheme="minorHAnsi" w:cstheme="minorHAnsi"/>
          <w:b/>
          <w:color w:val="auto"/>
          <w:sz w:val="28"/>
          <w:szCs w:val="28"/>
        </w:rPr>
      </w:pPr>
      <w:r>
        <w:rPr>
          <w:rFonts w:hint="eastAsia" w:eastAsia="方正楷体简体" w:asciiTheme="minorHAnsi" w:hAnsiTheme="minorHAnsi" w:cstheme="minorHAnsi"/>
          <w:b/>
          <w:color w:val="auto"/>
          <w:sz w:val="28"/>
          <w:szCs w:val="28"/>
        </w:rPr>
        <w:t>（二）完善农村物流基础设施</w:t>
      </w:r>
      <w:bookmarkEnd w:id="24"/>
      <w:bookmarkEnd w:id="25"/>
      <w:bookmarkEnd w:id="26"/>
      <w:r>
        <w:rPr>
          <w:rFonts w:hint="eastAsia" w:eastAsia="方正楷体简体" w:asciiTheme="minorHAnsi" w:hAnsiTheme="minorHAnsi" w:cstheme="minorHAnsi"/>
          <w:b/>
          <w:color w:val="auto"/>
          <w:sz w:val="28"/>
          <w:szCs w:val="28"/>
        </w:rPr>
        <w:t>。</w:t>
      </w:r>
    </w:p>
    <w:p>
      <w:pPr>
        <w:spacing w:line="560" w:lineRule="exact"/>
        <w:ind w:firstLine="560" w:firstLineChars="200"/>
        <w:rPr>
          <w:rFonts w:ascii="仿宋_GB2312" w:hAnsiTheme="minorHAnsi" w:cstheme="minorHAnsi"/>
          <w:color w:val="auto"/>
          <w:sz w:val="28"/>
          <w:szCs w:val="30"/>
        </w:rPr>
      </w:pPr>
      <w:r>
        <w:rPr>
          <w:rFonts w:hint="eastAsia" w:ascii="仿宋_GB2312"/>
          <w:color w:val="auto"/>
          <w:sz w:val="28"/>
          <w:szCs w:val="28"/>
        </w:rPr>
        <w:t>借鉴国内外农村物流建设的先进理念和成熟技术，在规划的农村物流核心区域内，升级改造一批农产品保鲜运输、低温仓储和冷链加工等农村物流基础设施。通过农村物流基础设施融合建设，提升和改造一批农村物流服务站的服务功能，建设和完善一批相关配套的查验与检测基础设施及设备。加快传统低温仓储设施、冷链运输装备、安全保护装置的技术改造。进一步强化整体农村物流装备能力，提升新型农村物流技术的研发水平，推进传统仓储向冷链物流快速集散处理中心转变，促进农村物流设施资源利用效率的提高。加强农村道路的改造，保障中型货车的通行，完善农村道路的临时停车位和标志标识牌的建设。到202</w:t>
      </w:r>
      <w:r>
        <w:rPr>
          <w:rFonts w:hint="eastAsia" w:ascii="仿宋_GB2312"/>
          <w:color w:val="auto"/>
          <w:sz w:val="28"/>
          <w:szCs w:val="28"/>
          <w:lang w:val="en-US" w:eastAsia="zh-CN"/>
        </w:rPr>
        <w:t>4</w:t>
      </w:r>
      <w:r>
        <w:rPr>
          <w:rFonts w:hint="eastAsia" w:ascii="仿宋_GB2312"/>
          <w:color w:val="auto"/>
          <w:sz w:val="28"/>
          <w:szCs w:val="28"/>
        </w:rPr>
        <w:t>年，建成村村满足中型货车畅通的道路达到100%。农产品主要产地和产业园区100%规划建设固定物流装卸作业区和共用停车场。</w:t>
      </w:r>
      <w:bookmarkStart w:id="27" w:name="_Toc22832"/>
    </w:p>
    <w:p>
      <w:pPr>
        <w:spacing w:line="560" w:lineRule="exact"/>
        <w:ind w:firstLine="562" w:firstLineChars="200"/>
        <w:rPr>
          <w:rFonts w:eastAsia="方正楷体简体" w:asciiTheme="minorHAnsi" w:hAnsiTheme="minorHAnsi" w:cstheme="minorHAnsi"/>
          <w:b/>
          <w:color w:val="auto"/>
          <w:sz w:val="28"/>
          <w:szCs w:val="28"/>
        </w:rPr>
      </w:pPr>
      <w:r>
        <w:rPr>
          <w:rFonts w:hint="eastAsia" w:eastAsia="方正楷体简体" w:asciiTheme="minorHAnsi" w:hAnsiTheme="minorHAnsi" w:cstheme="minorHAnsi"/>
          <w:b/>
          <w:color w:val="auto"/>
          <w:sz w:val="28"/>
          <w:szCs w:val="28"/>
        </w:rPr>
        <w:t>（三）推动农产品重要流通节点建设</w:t>
      </w:r>
      <w:bookmarkEnd w:id="27"/>
      <w:r>
        <w:rPr>
          <w:rFonts w:hint="eastAsia" w:eastAsia="方正楷体简体" w:asciiTheme="minorHAnsi" w:hAnsiTheme="minorHAnsi" w:cstheme="minorHAnsi"/>
          <w:b/>
          <w:color w:val="auto"/>
          <w:sz w:val="28"/>
          <w:szCs w:val="28"/>
        </w:rPr>
        <w:t>。</w:t>
      </w:r>
    </w:p>
    <w:p>
      <w:pPr>
        <w:spacing w:line="560" w:lineRule="exact"/>
        <w:ind w:firstLine="560" w:firstLineChars="200"/>
        <w:rPr>
          <w:rFonts w:eastAsia="方正楷体简体" w:asciiTheme="minorHAnsi" w:hAnsiTheme="minorHAnsi" w:cstheme="minorHAnsi"/>
          <w:color w:val="auto"/>
          <w:sz w:val="28"/>
          <w:szCs w:val="30"/>
        </w:rPr>
      </w:pPr>
      <w:r>
        <w:rPr>
          <w:rFonts w:hint="eastAsia"/>
          <w:color w:val="auto"/>
          <w:sz w:val="28"/>
          <w:szCs w:val="28"/>
        </w:rPr>
        <w:t>结合“一村一品、一镇一业”的产业发展模式，充分利用三级物流体系，围绕农产品产销地和流通节点，聚集和优化全县物流生产发展要素，推动重点物流项目建设，打造农业物流产业聚集区。依托县内农副产品、禽畜等传统优势产业的生产基地和主产区，优化交通枢纽与大宗农产品物流节点的空间布局，通过招商引资，引进大型物流企业，联合本地有实力物流企业，构建布局合理、业态丰富的区域型的重要节点（集散中心）；引入和叠加农产品交易、仓储配送、信息交流、技术推广等多种功能，以批发集散带动节点建设；推动建设以公用型的果蔬预冷库、储存保鲜库和全程冷链的肉类冷链物流中心为核心的冷链物流节点；充分发挥全县特色水果和特色蔬菜的优势，在流通节点上逐步推广蔬菜、水果的产后预冷、初加工、储存保鲜和低温运输技术；加快推进机关、企事业单位、院校、园区、住宅小区智能信包（快件）箱建设。到202</w:t>
      </w:r>
      <w:r>
        <w:rPr>
          <w:rFonts w:hint="eastAsia"/>
          <w:color w:val="auto"/>
          <w:sz w:val="28"/>
          <w:szCs w:val="28"/>
          <w:lang w:val="en-US" w:eastAsia="zh-CN"/>
        </w:rPr>
        <w:t>4</w:t>
      </w:r>
      <w:r>
        <w:rPr>
          <w:rFonts w:hint="eastAsia"/>
          <w:color w:val="auto"/>
          <w:sz w:val="28"/>
          <w:szCs w:val="28"/>
        </w:rPr>
        <w:t>年，建成1个县级综合物流产业园、每个镇建设1个镇级农村物流中转中心，实现物流重要节点在镇域和有规模的农产品生产基地100%全覆盖。</w:t>
      </w:r>
      <w:bookmarkStart w:id="28" w:name="_Toc32632"/>
      <w:bookmarkStart w:id="29" w:name="_Toc9051"/>
      <w:bookmarkStart w:id="30" w:name="_Toc519593265"/>
    </w:p>
    <w:p>
      <w:pPr>
        <w:spacing w:line="560" w:lineRule="exact"/>
        <w:ind w:firstLine="562" w:firstLineChars="200"/>
        <w:rPr>
          <w:rFonts w:eastAsia="方正楷体简体" w:asciiTheme="minorHAnsi" w:hAnsiTheme="minorHAnsi" w:cstheme="minorHAnsi"/>
          <w:b/>
          <w:color w:val="auto"/>
          <w:sz w:val="28"/>
          <w:szCs w:val="28"/>
        </w:rPr>
      </w:pPr>
      <w:r>
        <w:rPr>
          <w:rFonts w:hint="eastAsia" w:eastAsia="方正楷体简体" w:asciiTheme="minorHAnsi" w:hAnsiTheme="minorHAnsi" w:cstheme="minorHAnsi"/>
          <w:b/>
          <w:color w:val="auto"/>
          <w:sz w:val="28"/>
          <w:szCs w:val="28"/>
        </w:rPr>
        <w:t>（四）推动农村物流发展模式创新</w:t>
      </w:r>
      <w:bookmarkEnd w:id="28"/>
      <w:bookmarkEnd w:id="29"/>
      <w:r>
        <w:rPr>
          <w:rFonts w:hint="eastAsia" w:eastAsia="方正楷体简体" w:asciiTheme="minorHAnsi" w:hAnsiTheme="minorHAnsi" w:cstheme="minorHAnsi"/>
          <w:b/>
          <w:color w:val="auto"/>
          <w:sz w:val="28"/>
          <w:szCs w:val="28"/>
        </w:rPr>
        <w:t>。</w:t>
      </w:r>
    </w:p>
    <w:p>
      <w:pPr>
        <w:spacing w:line="560" w:lineRule="exact"/>
        <w:ind w:firstLine="560" w:firstLineChars="200"/>
        <w:rPr>
          <w:rFonts w:eastAsia="方正楷体简体" w:asciiTheme="minorHAnsi" w:hAnsiTheme="minorHAnsi" w:cstheme="minorHAnsi"/>
          <w:color w:val="auto"/>
          <w:sz w:val="28"/>
          <w:szCs w:val="30"/>
        </w:rPr>
      </w:pPr>
      <w:r>
        <w:rPr>
          <w:rFonts w:hint="eastAsia"/>
          <w:color w:val="auto"/>
          <w:sz w:val="28"/>
          <w:szCs w:val="28"/>
        </w:rPr>
        <w:t>创新农村物流运营模式，可以依托农村三级物流体系建设，构建“农户—电商—物流”三位一体的合作组织。探索“农村电商＋农村物流”协同发展模式、农村物流金融创新模式等，开展创新模式试点工程，取得经验后全面推广。鼓励和支持全县物流企业积极应用物联网、云计算、互联网等新兴信息技术，与营造品牌相结合，推广基于全球统一编码标识（GSI）的商品条码体系。提升农村物流企业标准化和信息化及装备技术的应用水平，大力支持和全面推广标准化托盘在采购、生产、流通、销售和回收等各环节上的共享。鼓励农村物流企业积极与上下游产业对接，创新物流服务新模式。鼓励跨行业企业之间资源整合，合作开发农业新业态。支持以原产地特色农产品为主要切入点，提供定制化服务，构建“一头对接农户，一头对接用户”的创新直销物流服务模式。到202</w:t>
      </w:r>
      <w:r>
        <w:rPr>
          <w:rFonts w:hint="eastAsia"/>
          <w:color w:val="auto"/>
          <w:sz w:val="28"/>
          <w:szCs w:val="28"/>
          <w:lang w:val="en-US" w:eastAsia="zh-CN"/>
        </w:rPr>
        <w:t>4</w:t>
      </w:r>
      <w:r>
        <w:rPr>
          <w:rFonts w:hint="eastAsia"/>
          <w:color w:val="auto"/>
          <w:sz w:val="28"/>
          <w:szCs w:val="28"/>
        </w:rPr>
        <w:t>年，整合100%末端村级各类服务站点，实现“一点多能”，最终实现物流、信息流的高度集成，推动物流成本降低，提升物流服务效率。</w:t>
      </w:r>
      <w:bookmarkStart w:id="31" w:name="_Toc9750"/>
      <w:bookmarkStart w:id="32" w:name="_Toc18572"/>
    </w:p>
    <w:p>
      <w:pPr>
        <w:spacing w:line="560" w:lineRule="exact"/>
        <w:ind w:firstLine="562" w:firstLineChars="200"/>
        <w:rPr>
          <w:rFonts w:eastAsia="方正楷体简体" w:asciiTheme="minorHAnsi" w:hAnsiTheme="minorHAnsi" w:cstheme="minorHAnsi"/>
          <w:b/>
          <w:color w:val="auto"/>
          <w:sz w:val="28"/>
          <w:szCs w:val="28"/>
        </w:rPr>
      </w:pPr>
      <w:r>
        <w:rPr>
          <w:rFonts w:hint="eastAsia" w:eastAsia="方正楷体简体" w:asciiTheme="minorHAnsi" w:hAnsiTheme="minorHAnsi" w:cstheme="minorHAnsi"/>
          <w:b/>
          <w:color w:val="auto"/>
          <w:sz w:val="28"/>
          <w:szCs w:val="28"/>
        </w:rPr>
        <w:t>（五）推动冷链物流绿色发展</w:t>
      </w:r>
      <w:bookmarkEnd w:id="31"/>
      <w:bookmarkEnd w:id="32"/>
      <w:r>
        <w:rPr>
          <w:rFonts w:hint="eastAsia" w:eastAsia="方正楷体简体" w:asciiTheme="minorHAnsi" w:hAnsiTheme="minorHAnsi" w:cstheme="minorHAnsi"/>
          <w:b/>
          <w:color w:val="auto"/>
          <w:sz w:val="28"/>
          <w:szCs w:val="28"/>
        </w:rPr>
        <w:t>。</w:t>
      </w:r>
    </w:p>
    <w:p>
      <w:pPr>
        <w:spacing w:line="560" w:lineRule="exact"/>
        <w:ind w:firstLine="560" w:firstLineChars="200"/>
        <w:rPr>
          <w:rFonts w:ascii="仿宋_GB2312" w:hAnsiTheme="minorHAnsi" w:cstheme="minorHAnsi"/>
          <w:color w:val="auto"/>
        </w:rPr>
      </w:pPr>
      <w:r>
        <w:rPr>
          <w:rFonts w:hint="eastAsia" w:ascii="仿宋_GB2312"/>
          <w:color w:val="auto"/>
          <w:sz w:val="28"/>
          <w:szCs w:val="28"/>
        </w:rPr>
        <w:t>促进农产品冷链物流体系的建设，推动冷链物流绿色发展，提高农产品附加值，延长产业链，推进农业与二、三产业融合发展。重点推动县内农产品主产区预冷库、重要物流节点冷链仓库基地建设，探索冷链公共设施建设、营运、维护的理想运作模式。以中央、省、市冷链物流发展和商贸流通项目为抓手，建设“五华县农村冷链物流公共信息服务平台”，落实执行鲜活农产品“绿色通道”政策。加快推进对产地预冷集配、农产品预冷处理、货架等设备，低温加工仓储、冷库封闭式交接货通道、月台等设施的标准化改造，提高农产品预冷处理、保鲜加工与包装技术水平。完善和优化全县配送冷藏运输车辆的通行和停靠管理措施，推动农产品产业链上下游高效衔接的全程冷链物流服务。扶持培育农产品冷链物流企业发展壮大。到202</w:t>
      </w:r>
      <w:r>
        <w:rPr>
          <w:rFonts w:hint="eastAsia" w:ascii="仿宋_GB2312"/>
          <w:color w:val="auto"/>
          <w:sz w:val="28"/>
          <w:szCs w:val="28"/>
          <w:lang w:val="en-US" w:eastAsia="zh-CN"/>
        </w:rPr>
        <w:t>4</w:t>
      </w:r>
      <w:r>
        <w:rPr>
          <w:rFonts w:hint="eastAsia" w:ascii="仿宋_GB2312"/>
          <w:color w:val="auto"/>
          <w:sz w:val="28"/>
          <w:szCs w:val="28"/>
        </w:rPr>
        <w:t>年，全县农村冷链流通率达到50%以上，冷藏运输率达到80%以上，流通环节损耗率下降30%左右。小型可移动冷链库使用率85%以上，实现乡镇网络交易覆盖率达到90%以上。</w:t>
      </w:r>
      <w:bookmarkStart w:id="33" w:name="_Toc27871"/>
      <w:bookmarkStart w:id="34" w:name="_Toc3718"/>
    </w:p>
    <w:p>
      <w:pPr>
        <w:spacing w:line="560" w:lineRule="exact"/>
        <w:ind w:firstLine="562" w:firstLineChars="200"/>
        <w:rPr>
          <w:rFonts w:eastAsia="方正楷体简体" w:asciiTheme="minorHAnsi" w:hAnsiTheme="minorHAnsi" w:cstheme="minorHAnsi"/>
          <w:b/>
          <w:color w:val="auto"/>
          <w:sz w:val="28"/>
          <w:szCs w:val="28"/>
        </w:rPr>
      </w:pPr>
      <w:r>
        <w:rPr>
          <w:rFonts w:hint="eastAsia" w:eastAsia="方正楷体简体" w:asciiTheme="minorHAnsi" w:hAnsiTheme="minorHAnsi" w:cstheme="minorHAnsi"/>
          <w:b/>
          <w:color w:val="auto"/>
          <w:sz w:val="28"/>
          <w:szCs w:val="28"/>
        </w:rPr>
        <w:t>（六）推动农村电商与精准扶贫联动发展</w:t>
      </w:r>
      <w:bookmarkEnd w:id="33"/>
      <w:bookmarkEnd w:id="34"/>
      <w:r>
        <w:rPr>
          <w:rFonts w:hint="eastAsia" w:eastAsia="方正楷体简体" w:asciiTheme="minorHAnsi" w:hAnsiTheme="minorHAnsi" w:cstheme="minorHAnsi"/>
          <w:b/>
          <w:color w:val="auto"/>
          <w:sz w:val="28"/>
          <w:szCs w:val="28"/>
        </w:rPr>
        <w:t>。</w:t>
      </w:r>
    </w:p>
    <w:p>
      <w:pPr>
        <w:spacing w:line="560" w:lineRule="exact"/>
        <w:ind w:firstLine="560" w:firstLineChars="200"/>
        <w:rPr>
          <w:rFonts w:ascii="仿宋_GB2312" w:hAnsiTheme="minorHAnsi" w:cstheme="minorHAnsi"/>
          <w:color w:val="auto"/>
        </w:rPr>
      </w:pPr>
      <w:r>
        <w:rPr>
          <w:rFonts w:hint="eastAsia" w:ascii="仿宋_GB2312"/>
          <w:color w:val="auto"/>
          <w:sz w:val="28"/>
          <w:szCs w:val="28"/>
        </w:rPr>
        <w:t>加快国家电子商务进农村综合示范县创建工作和农村电商物流服务网点建设步伐，积极引导、引进龙头农电商企业，充分利用电商平台开展形式多样的电商扶贫活动，整合市场资源，在大力开展电商物流扶智的同时，助力农产品“上行”和农民增收。整合政府和社会资源开展专业培训，加大农民互联网创业培训力度，充分调动贫困群体通过电商物流创业的积极性。支持和鼓励农民充分利用“五华电商大厦”这一平台、五华县电商创业孵化中心以及本地农电商龙头企业的电商物流服务平台，拓展贫困地区农产品销售渠道。引导农户不再单一低端廉价销售农产品原材料，推进品牌强农，提升绿色优质产品供给，向重点发展品牌农副产品精深加工转型，加强对拳头产品的培育、包装和宣传推广等，积极打造和培育地理标志产品。到202</w:t>
      </w:r>
      <w:r>
        <w:rPr>
          <w:rFonts w:hint="eastAsia" w:ascii="仿宋_GB2312"/>
          <w:color w:val="auto"/>
          <w:sz w:val="28"/>
          <w:szCs w:val="28"/>
          <w:lang w:val="en-US" w:eastAsia="zh-CN"/>
        </w:rPr>
        <w:t>4</w:t>
      </w:r>
      <w:r>
        <w:rPr>
          <w:rFonts w:hint="eastAsia" w:ascii="仿宋_GB2312"/>
          <w:color w:val="auto"/>
          <w:sz w:val="28"/>
          <w:szCs w:val="28"/>
        </w:rPr>
        <w:t>年，全县农村电商物流覆盖率达100%，打造一批地域特色突出、产品特性鲜明的区域公用品牌、企业品牌和名优产品品牌。</w:t>
      </w:r>
      <w:bookmarkEnd w:id="30"/>
      <w:bookmarkStart w:id="35" w:name="_Toc19237"/>
      <w:bookmarkStart w:id="36" w:name="_Toc4999"/>
    </w:p>
    <w:p>
      <w:pPr>
        <w:spacing w:line="560" w:lineRule="exact"/>
        <w:ind w:firstLine="562" w:firstLineChars="200"/>
        <w:rPr>
          <w:rFonts w:eastAsia="方正楷体简体" w:asciiTheme="minorHAnsi" w:hAnsiTheme="minorHAnsi" w:cstheme="minorHAnsi"/>
          <w:b/>
          <w:color w:val="auto"/>
          <w:sz w:val="28"/>
          <w:szCs w:val="28"/>
        </w:rPr>
      </w:pPr>
      <w:r>
        <w:rPr>
          <w:rFonts w:hint="eastAsia" w:eastAsia="方正楷体简体" w:asciiTheme="minorHAnsi" w:hAnsiTheme="minorHAnsi" w:cstheme="minorHAnsi"/>
          <w:b/>
          <w:color w:val="auto"/>
          <w:sz w:val="28"/>
          <w:szCs w:val="28"/>
        </w:rPr>
        <w:t>（七）促进农村物流融合发展</w:t>
      </w:r>
      <w:bookmarkEnd w:id="35"/>
      <w:bookmarkEnd w:id="36"/>
      <w:r>
        <w:rPr>
          <w:rFonts w:hint="eastAsia" w:eastAsia="方正楷体简体" w:asciiTheme="minorHAnsi" w:hAnsiTheme="minorHAnsi" w:cstheme="minorHAnsi"/>
          <w:b/>
          <w:color w:val="auto"/>
          <w:sz w:val="28"/>
          <w:szCs w:val="28"/>
        </w:rPr>
        <w:t>。</w:t>
      </w:r>
    </w:p>
    <w:p>
      <w:pPr>
        <w:spacing w:line="560" w:lineRule="exact"/>
        <w:ind w:firstLine="560" w:firstLineChars="200"/>
        <w:rPr>
          <w:rFonts w:hint="eastAsia" w:ascii="仿宋_GB2312" w:hAnsiTheme="minorHAnsi" w:cstheme="minorHAnsi"/>
          <w:b/>
          <w:color w:val="auto"/>
          <w:sz w:val="28"/>
          <w:szCs w:val="28"/>
        </w:rPr>
      </w:pPr>
      <w:r>
        <w:rPr>
          <w:rFonts w:hint="eastAsia" w:ascii="仿宋_GB2312"/>
          <w:color w:val="auto"/>
          <w:sz w:val="28"/>
          <w:szCs w:val="28"/>
        </w:rPr>
        <w:t>结合国家大力促进农村一二三产业融合发展的实施，更大发挥市场作用，深入推进“互联网+农业+物流”建设，调整运输结构、提高运输效率，降低实体经济物流成本。利用现有的交通运输、商务、供销、农业、邮政等各部门、各行业的管理和资源优势，推动货运站网络、运输配送、信息体系和经营主体一体化融合发展，加强交通运输、农业、供销、邮政快递等农村物流基础设施的规划衔接。依托三级物流体系建设，整合县级农村商贸流通市场、农资配送中心、农产品收购等各类资源。探索跨部门共建共管，跨行业联营合作发展的新机制，引导农村物流经营主体依托第三方电子商务服务平台，实现农村与市场直接对接，探索农村地区服务电商发展新模式。鼓励、支持规模较大、基础较好的第三方物流企业，延伸农村经营服务功能，推动农产品物流企业向“产供销”一体化方向发展。到202</w:t>
      </w:r>
      <w:r>
        <w:rPr>
          <w:rFonts w:hint="eastAsia" w:ascii="仿宋_GB2312"/>
          <w:color w:val="auto"/>
          <w:sz w:val="28"/>
          <w:szCs w:val="28"/>
          <w:lang w:val="en-US" w:eastAsia="zh-CN"/>
        </w:rPr>
        <w:t>4</w:t>
      </w:r>
      <w:r>
        <w:rPr>
          <w:rFonts w:hint="eastAsia" w:ascii="仿宋_GB2312"/>
          <w:color w:val="auto"/>
          <w:sz w:val="28"/>
          <w:szCs w:val="28"/>
        </w:rPr>
        <w:t>年，以三级物流体系为依托，乡村“一点多功能”节点覆盖率达到100%，推动农村物流融合示范工程建设，实现资源整合与共享。</w:t>
      </w:r>
      <w:bookmarkStart w:id="37" w:name="_Toc14003"/>
      <w:bookmarkStart w:id="38" w:name="_Toc519593272"/>
    </w:p>
    <w:p>
      <w:pPr>
        <w:adjustRightInd w:val="0"/>
        <w:snapToGrid w:val="0"/>
        <w:spacing w:line="560" w:lineRule="exact"/>
        <w:ind w:firstLine="600" w:firstLineChars="200"/>
        <w:rPr>
          <w:rFonts w:eastAsia="方正宋黑简体" w:asciiTheme="minorHAnsi" w:hAnsiTheme="minorHAnsi" w:cstheme="minorHAnsi"/>
          <w:color w:val="auto"/>
          <w:sz w:val="30"/>
          <w:szCs w:val="30"/>
        </w:rPr>
      </w:pPr>
      <w:r>
        <w:rPr>
          <w:rFonts w:hint="eastAsia" w:eastAsia="方正宋黑简体" w:asciiTheme="minorHAnsi" w:hAnsiTheme="minorHAnsi" w:cstheme="minorHAnsi"/>
          <w:color w:val="auto"/>
          <w:sz w:val="30"/>
          <w:szCs w:val="30"/>
        </w:rPr>
        <w:t>五、重点工程</w:t>
      </w:r>
      <w:bookmarkEnd w:id="37"/>
      <w:bookmarkEnd w:id="38"/>
      <w:bookmarkStart w:id="39" w:name="_Toc1420"/>
      <w:bookmarkStart w:id="40" w:name="_Toc12087"/>
      <w:bookmarkStart w:id="41" w:name="_Toc519593274"/>
    </w:p>
    <w:p>
      <w:pPr>
        <w:adjustRightInd w:val="0"/>
        <w:snapToGrid w:val="0"/>
        <w:spacing w:line="560" w:lineRule="exact"/>
        <w:ind w:firstLine="562" w:firstLineChars="200"/>
        <w:rPr>
          <w:rFonts w:eastAsia="方正楷体简体" w:asciiTheme="minorHAnsi" w:hAnsiTheme="minorHAnsi" w:cstheme="minorHAnsi"/>
          <w:b/>
          <w:color w:val="auto"/>
          <w:sz w:val="28"/>
          <w:szCs w:val="28"/>
        </w:rPr>
      </w:pPr>
      <w:r>
        <w:rPr>
          <w:rFonts w:hint="eastAsia" w:eastAsia="方正楷体简体" w:asciiTheme="minorHAnsi" w:hAnsiTheme="minorHAnsi" w:cstheme="minorHAnsi"/>
          <w:b/>
          <w:color w:val="auto"/>
          <w:sz w:val="28"/>
          <w:szCs w:val="28"/>
        </w:rPr>
        <w:t>（一）农村物流节点体系建设工程</w:t>
      </w:r>
      <w:bookmarkEnd w:id="39"/>
      <w:bookmarkEnd w:id="40"/>
      <w:r>
        <w:rPr>
          <w:rFonts w:hint="eastAsia" w:eastAsia="方正楷体简体" w:asciiTheme="minorHAnsi" w:hAnsiTheme="minorHAnsi" w:cstheme="minorHAnsi"/>
          <w:b/>
          <w:color w:val="auto"/>
          <w:sz w:val="28"/>
          <w:szCs w:val="28"/>
        </w:rPr>
        <w:t>。</w:t>
      </w:r>
    </w:p>
    <w:p>
      <w:pPr>
        <w:adjustRightInd w:val="0"/>
        <w:snapToGrid w:val="0"/>
        <w:spacing w:line="560" w:lineRule="exact"/>
        <w:ind w:firstLine="560" w:firstLineChars="200"/>
        <w:rPr>
          <w:rFonts w:eastAsia="方正楷体简体" w:asciiTheme="minorHAnsi" w:hAnsiTheme="minorHAnsi" w:cstheme="minorHAnsi"/>
          <w:color w:val="auto"/>
          <w:sz w:val="28"/>
          <w:szCs w:val="28"/>
        </w:rPr>
      </w:pPr>
      <w:r>
        <w:rPr>
          <w:rFonts w:hint="eastAsia"/>
          <w:color w:val="auto"/>
          <w:sz w:val="28"/>
          <w:szCs w:val="28"/>
        </w:rPr>
        <w:t>对接五华县“一核两区、三组团”的新发展格局，大力构建三级物流体系。充分发挥五华县“中国供销粤东农批”、“五华县农村电子商务物流配送中心”、“五华县农产品冷链仓储中心”、“广东汉光超顺农产品加工冷链物流园”等大宗商品集散中心和物流园区的辐射带动作用，加快完善供销社系统助农“百千工程”综合平台的建设。鼓励快递企业整合资源，实现强强联合，规划建设标准化的五华县快件集散中心，农特产品的重要生产基地设置物流集散节点，进一步完善农村物流节点体系建设，畅通农产品流通加工渠道，破解全县农产品季节性强，周期物流压力大，导致物流压仓、收货排队，配送缓慢的困局。</w:t>
      </w:r>
    </w:p>
    <w:p>
      <w:pPr>
        <w:adjustRightInd w:val="0"/>
        <w:snapToGrid w:val="0"/>
        <w:spacing w:line="560" w:lineRule="exact"/>
        <w:ind w:firstLine="560" w:firstLineChars="200"/>
        <w:rPr>
          <w:color w:val="auto"/>
          <w:sz w:val="28"/>
          <w:szCs w:val="28"/>
        </w:rPr>
      </w:pPr>
      <w:r>
        <w:rPr>
          <w:rFonts w:hint="eastAsia"/>
          <w:color w:val="auto"/>
          <w:sz w:val="28"/>
          <w:szCs w:val="28"/>
        </w:rPr>
        <w:t>试点工程：五华农村物流产业链示范工程。采取“乡村采集+镇级分拨+县级交易+省市对接（市场）”的模式，开展农村物流产业链示范工程。</w:t>
      </w:r>
      <w:bookmarkStart w:id="42" w:name="_Toc26951"/>
      <w:bookmarkStart w:id="43" w:name="_Toc17471"/>
    </w:p>
    <w:p>
      <w:pPr>
        <w:adjustRightInd w:val="0"/>
        <w:snapToGrid w:val="0"/>
        <w:spacing w:line="560" w:lineRule="exact"/>
        <w:ind w:firstLine="562" w:firstLineChars="200"/>
        <w:rPr>
          <w:rFonts w:eastAsia="方正楷体简体" w:asciiTheme="minorHAnsi" w:hAnsiTheme="minorHAnsi" w:cstheme="minorHAnsi"/>
          <w:b/>
          <w:color w:val="auto"/>
          <w:sz w:val="28"/>
          <w:szCs w:val="28"/>
        </w:rPr>
      </w:pPr>
      <w:r>
        <w:rPr>
          <w:rFonts w:hint="eastAsia" w:eastAsia="方正楷体简体" w:asciiTheme="minorHAnsi" w:hAnsiTheme="minorHAnsi" w:cstheme="minorHAnsi"/>
          <w:b/>
          <w:color w:val="auto"/>
          <w:sz w:val="28"/>
          <w:szCs w:val="28"/>
        </w:rPr>
        <w:t>（二）农村生鲜冷链物流工程</w:t>
      </w:r>
      <w:bookmarkEnd w:id="41"/>
      <w:bookmarkEnd w:id="42"/>
      <w:bookmarkEnd w:id="43"/>
      <w:r>
        <w:rPr>
          <w:rFonts w:hint="eastAsia" w:eastAsia="方正楷体简体" w:asciiTheme="minorHAnsi" w:hAnsiTheme="minorHAnsi" w:cstheme="minorHAnsi"/>
          <w:b/>
          <w:color w:val="auto"/>
          <w:sz w:val="28"/>
          <w:szCs w:val="28"/>
        </w:rPr>
        <w:t>。</w:t>
      </w:r>
    </w:p>
    <w:p>
      <w:pPr>
        <w:adjustRightInd w:val="0"/>
        <w:snapToGrid w:val="0"/>
        <w:spacing w:line="560" w:lineRule="exact"/>
        <w:ind w:firstLine="560" w:firstLineChars="200"/>
        <w:rPr>
          <w:rFonts w:ascii="仿宋_GB2312" w:hAnsiTheme="minorHAnsi" w:cstheme="minorHAnsi"/>
          <w:color w:val="auto"/>
          <w:sz w:val="28"/>
          <w:szCs w:val="30"/>
        </w:rPr>
      </w:pPr>
      <w:r>
        <w:rPr>
          <w:rFonts w:hint="eastAsia" w:ascii="仿宋_GB2312"/>
          <w:color w:val="auto"/>
          <w:sz w:val="28"/>
          <w:szCs w:val="28"/>
        </w:rPr>
        <w:t>通过分级、包装、预冷等商品化处理和公用型农产品预冷库、储存保鲜库等冷藏储存环节建设，改善全县农产品冷链物流设施条件，大力推进“农超对接”、“电商平台”，发展具有本地特色的农产品线上线下交易网络。依托三级物流体系，加强主产区、主销区生鲜冷链物流体系建设，发展具有跨区域采购交易、仓储配送等能力的现代农产品配送节点。支持企业申报冷链发展专项资金，加快改造建设农产品和畜禽冷链物流设施，提高先进的冷链物流装备使用率和冷链物流技术的广泛应用。鼓励和支持企业购置绿色冷链运输车辆、移动式冷柜以及便携式冷藏箱等。推动构建冷链物流公共信息服务和质量安全追溯平台，促进全县冷链物流及市场的信息共享，推广冷链物流业的共同配送模式和装备共用模式，解决全县外销生鲜农产品的仓储、加工和运输困境。</w:t>
      </w:r>
    </w:p>
    <w:p>
      <w:pPr>
        <w:adjustRightInd w:val="0"/>
        <w:snapToGrid w:val="0"/>
        <w:spacing w:line="560" w:lineRule="exact"/>
        <w:ind w:firstLine="560" w:firstLineChars="200"/>
        <w:rPr>
          <w:color w:val="auto"/>
          <w:sz w:val="28"/>
          <w:szCs w:val="28"/>
        </w:rPr>
      </w:pPr>
      <w:r>
        <w:rPr>
          <w:rFonts w:hint="eastAsia"/>
          <w:color w:val="auto"/>
          <w:sz w:val="28"/>
          <w:szCs w:val="28"/>
        </w:rPr>
        <w:t>试点工程：五华农产品全程冷链溯源示范工程。结合农产品品牌建设，通过使用无源移动冷库和物联网的技术，建立从田间到市场的全程冷链和溯源示范。</w:t>
      </w:r>
      <w:bookmarkStart w:id="44" w:name="_Toc13106"/>
      <w:bookmarkStart w:id="45" w:name="_Toc10003"/>
      <w:bookmarkStart w:id="46" w:name="_Toc519593276"/>
    </w:p>
    <w:p>
      <w:pPr>
        <w:adjustRightInd w:val="0"/>
        <w:snapToGrid w:val="0"/>
        <w:spacing w:line="560" w:lineRule="exact"/>
        <w:ind w:firstLine="562" w:firstLineChars="200"/>
        <w:rPr>
          <w:rFonts w:eastAsia="方正楷体简体" w:asciiTheme="minorHAnsi" w:hAnsiTheme="minorHAnsi" w:cstheme="minorHAnsi"/>
          <w:b/>
          <w:color w:val="auto"/>
          <w:sz w:val="28"/>
          <w:szCs w:val="28"/>
        </w:rPr>
      </w:pPr>
      <w:r>
        <w:rPr>
          <w:rFonts w:hint="eastAsia" w:eastAsia="方正楷体简体" w:asciiTheme="minorHAnsi" w:hAnsiTheme="minorHAnsi" w:cstheme="minorHAnsi"/>
          <w:b/>
          <w:color w:val="auto"/>
          <w:sz w:val="28"/>
          <w:szCs w:val="28"/>
        </w:rPr>
        <w:t>（三）农村电商物流建设工程</w:t>
      </w:r>
      <w:bookmarkEnd w:id="44"/>
      <w:bookmarkEnd w:id="45"/>
      <w:r>
        <w:rPr>
          <w:rFonts w:hint="eastAsia" w:eastAsia="方正楷体简体" w:asciiTheme="minorHAnsi" w:hAnsiTheme="minorHAnsi" w:cstheme="minorHAnsi"/>
          <w:b/>
          <w:color w:val="auto"/>
          <w:sz w:val="28"/>
          <w:szCs w:val="28"/>
        </w:rPr>
        <w:t>。</w:t>
      </w:r>
    </w:p>
    <w:p>
      <w:pPr>
        <w:adjustRightInd w:val="0"/>
        <w:snapToGrid w:val="0"/>
        <w:spacing w:line="560" w:lineRule="exact"/>
        <w:ind w:firstLine="560" w:firstLineChars="200"/>
        <w:rPr>
          <w:rFonts w:ascii="仿宋_GB2312" w:hAnsiTheme="minorHAnsi" w:cstheme="minorHAnsi"/>
          <w:color w:val="auto"/>
          <w:sz w:val="28"/>
          <w:szCs w:val="30"/>
        </w:rPr>
      </w:pPr>
      <w:r>
        <w:rPr>
          <w:rFonts w:hint="eastAsia" w:ascii="仿宋_GB2312"/>
          <w:color w:val="auto"/>
          <w:sz w:val="28"/>
          <w:szCs w:val="28"/>
        </w:rPr>
        <w:t>以创建“2018年国家电子商务进农村综合示范项目”为契机，加快推进全县电子商务进农村综合示范工作建设，依托三级物流体系，构建“县域电商公共服务中心体系建设、公共信息服务体系建设、镇村电商站点建设、农产品上行体系与品牌建设（物流冷链建设与运营维护服务）、农村电商人才（技能）培训体系建设”五大服务体系。积极开展物流与电商融合发展，加强与知名综合性电商平台、农产品专业物流平台的合作，努力拓宽农产品上行渠道。推动电商物流与精准扶贫深度融合，充分发挥政策效应，积极引进农电商物流企业、农产品加工物流企业等，深入贫困地区开展定点帮扶，整合市场资源，在大力开展“电商物流扶智”的同时，帮助具备条件的贫困地区发展特色、优势农产品产业，夯实产业基础，助力稳定脱贫，推动电商物流扶贫在脱贫攻坚中发挥更多作用。政企联动开展品牌推广，举行农产品线上“电商物流节”、“物流嘉年华”，线下“农产品展销会”等活动，集中宣传和销售。加强电商物流的配套服务，开展免费人才培训、创业孵化、品牌建设、网络推广等，形成产业集聚发展。</w:t>
      </w:r>
    </w:p>
    <w:p>
      <w:pPr>
        <w:adjustRightInd w:val="0"/>
        <w:snapToGrid w:val="0"/>
        <w:spacing w:line="560" w:lineRule="exact"/>
        <w:ind w:firstLine="560" w:firstLineChars="200"/>
        <w:rPr>
          <w:color w:val="auto"/>
          <w:sz w:val="28"/>
          <w:szCs w:val="28"/>
        </w:rPr>
      </w:pPr>
      <w:r>
        <w:rPr>
          <w:rFonts w:hint="eastAsia"/>
          <w:color w:val="auto"/>
          <w:sz w:val="28"/>
          <w:szCs w:val="28"/>
        </w:rPr>
        <w:t>试点工程：深入推进“2018年国家电子商务进农村综合示范项目”创建工作。结合三级网络体系建设和物联网的应用，助推国家电子商务进农村综合示范项目的实施。</w:t>
      </w:r>
    </w:p>
    <w:bookmarkEnd w:id="46"/>
    <w:p>
      <w:pPr>
        <w:pStyle w:val="4"/>
        <w:adjustRightInd w:val="0"/>
        <w:snapToGrid w:val="0"/>
        <w:spacing w:before="0" w:beforeAutospacing="0" w:after="0" w:afterAutospacing="0" w:line="560" w:lineRule="exact"/>
        <w:ind w:firstLine="562"/>
        <w:rPr>
          <w:rFonts w:eastAsia="方正楷体简体" w:asciiTheme="minorHAnsi" w:hAnsiTheme="minorHAnsi" w:cstheme="minorHAnsi"/>
          <w:color w:val="auto"/>
        </w:rPr>
      </w:pPr>
      <w:bookmarkStart w:id="47" w:name="_Toc1101"/>
      <w:bookmarkStart w:id="48" w:name="_Toc32321"/>
      <w:bookmarkStart w:id="49" w:name="_Toc519593277"/>
      <w:r>
        <w:rPr>
          <w:rFonts w:hint="eastAsia" w:eastAsia="方正楷体简体" w:asciiTheme="minorHAnsi" w:hAnsiTheme="minorHAnsi" w:cstheme="minorHAnsi"/>
          <w:color w:val="auto"/>
        </w:rPr>
        <w:t>（四）农村物流信息平台建设工程</w:t>
      </w:r>
      <w:bookmarkEnd w:id="47"/>
      <w:bookmarkEnd w:id="48"/>
      <w:r>
        <w:rPr>
          <w:rFonts w:hint="eastAsia" w:eastAsia="方正楷体简体" w:asciiTheme="minorHAnsi" w:hAnsiTheme="minorHAnsi" w:cstheme="minorHAnsi"/>
          <w:color w:val="auto"/>
        </w:rPr>
        <w:t>。</w:t>
      </w:r>
    </w:p>
    <w:p>
      <w:pPr>
        <w:pStyle w:val="4"/>
        <w:adjustRightInd w:val="0"/>
        <w:snapToGrid w:val="0"/>
        <w:spacing w:before="0" w:beforeAutospacing="0" w:after="0" w:afterAutospacing="0" w:line="560" w:lineRule="exact"/>
        <w:ind w:firstLine="560"/>
        <w:rPr>
          <w:rFonts w:ascii="仿宋_GB2312" w:eastAsia="仿宋_GB2312" w:hAnsiTheme="minorHAnsi" w:cstheme="minorHAnsi"/>
          <w:b w:val="0"/>
          <w:color w:val="auto"/>
        </w:rPr>
      </w:pPr>
      <w:r>
        <w:rPr>
          <w:rFonts w:hint="eastAsia" w:ascii="仿宋_GB2312" w:eastAsia="仿宋_GB2312"/>
          <w:b w:val="0"/>
          <w:color w:val="auto"/>
          <w:szCs w:val="28"/>
        </w:rPr>
        <w:t>采用“政企合作、企业运营”的模式，整合现有物流信息平台、车货匹配平台，升级改造成“五华县农村冷链物流信息公共平台”。推动供销社系统助农的综合平台建设，统一平台技术接口标准、操作流程及服务规范，主动对接省级物流信息平台，实现可公开信息的共享和互联互通。提供农村物流供需信息发布、撮合物流交易、物流资源调配、物流跟踪、产品溯源、信用评价、数据分析、宣传推广等功能。整合邮政车辆、客货班车、农资配送、农超商贸配送、电商配送、快递物流以及社会零散车辆运力资源，推动跨地区、跨行业的综合物流信息融合共享，与农村各种零散快递物流需求进行快速撮合，推广循环取货、返程取货等方式，实现规模化运输，减少车辆空载率，提升物流效率。</w:t>
      </w:r>
    </w:p>
    <w:p>
      <w:pPr>
        <w:spacing w:line="560" w:lineRule="exact"/>
        <w:ind w:firstLine="560" w:firstLineChars="200"/>
        <w:rPr>
          <w:color w:val="auto"/>
          <w:sz w:val="28"/>
          <w:szCs w:val="28"/>
        </w:rPr>
      </w:pPr>
      <w:r>
        <w:rPr>
          <w:rFonts w:hint="eastAsia"/>
          <w:color w:val="auto"/>
          <w:sz w:val="28"/>
          <w:szCs w:val="28"/>
        </w:rPr>
        <w:t>试点工程：五华县冷链物流信息公共平台。建立市场供给需求信息和农村冷链产品交易功能，接入到广东省冷链物流公共信息平台进行运营。</w:t>
      </w:r>
      <w:bookmarkEnd w:id="49"/>
      <w:bookmarkStart w:id="50" w:name="_Toc9318"/>
      <w:bookmarkStart w:id="51" w:name="_Toc32472"/>
    </w:p>
    <w:p>
      <w:pPr>
        <w:spacing w:line="560" w:lineRule="exact"/>
        <w:ind w:firstLine="562" w:firstLineChars="200"/>
        <w:rPr>
          <w:rFonts w:eastAsia="方正楷体简体" w:asciiTheme="minorHAnsi" w:hAnsiTheme="minorHAnsi" w:cstheme="minorHAnsi"/>
          <w:b/>
          <w:color w:val="auto"/>
          <w:sz w:val="28"/>
          <w:szCs w:val="28"/>
        </w:rPr>
      </w:pPr>
      <w:r>
        <w:rPr>
          <w:rFonts w:hint="eastAsia" w:eastAsia="方正楷体简体" w:asciiTheme="minorHAnsi" w:hAnsiTheme="minorHAnsi" w:cstheme="minorHAnsi"/>
          <w:b/>
          <w:color w:val="auto"/>
          <w:sz w:val="28"/>
          <w:szCs w:val="28"/>
        </w:rPr>
        <w:t>（五）乡村“幸福驿站”建设工程</w:t>
      </w:r>
      <w:bookmarkEnd w:id="50"/>
      <w:bookmarkEnd w:id="51"/>
      <w:r>
        <w:rPr>
          <w:rFonts w:hint="eastAsia" w:eastAsia="方正楷体简体" w:asciiTheme="minorHAnsi" w:hAnsiTheme="minorHAnsi" w:cstheme="minorHAnsi"/>
          <w:b/>
          <w:color w:val="auto"/>
          <w:sz w:val="28"/>
          <w:szCs w:val="28"/>
        </w:rPr>
        <w:t>。</w:t>
      </w:r>
    </w:p>
    <w:p>
      <w:pPr>
        <w:spacing w:line="560" w:lineRule="exact"/>
        <w:ind w:firstLine="560" w:firstLineChars="200"/>
        <w:rPr>
          <w:rFonts w:ascii="仿宋_GB2312" w:hAnsiTheme="minorHAnsi" w:cstheme="minorHAnsi"/>
          <w:color w:val="auto"/>
          <w:sz w:val="28"/>
          <w:szCs w:val="30"/>
        </w:rPr>
      </w:pPr>
      <w:r>
        <w:rPr>
          <w:rFonts w:hint="eastAsia" w:ascii="仿宋_GB2312"/>
          <w:color w:val="auto"/>
          <w:sz w:val="28"/>
          <w:szCs w:val="28"/>
        </w:rPr>
        <w:t>坚持“整体规划、市场运作、多业融合”发展原则，统一建设村级“幸福驿站”。整合现有村级电商服务站、村邮政网点、“三农”服务站、农村便利店等，实行“多站合一、多点合一”，融合快递收发、代销代购、产品汇集、水电费代收、信息服务等多重便民服务功能，作为三级物流节点，统一加挂“幸福驿站”标牌，实现“三规范”、“四统一”，即建设规范、服务规范、管理规范;实现装修式样统一、设施设备统一、服务范围统一、服务标准统一。各县依托当地成熟的单一物流体系(农村商超配送、电商物流、邮政快递、供销物流或其他专业物流等)，探索定时、定点、定线统一派送的农村物流“货运班车”服务，直抵终端“幸福驿站”，打通农村物流配送“最后一公里”。</w:t>
      </w:r>
    </w:p>
    <w:p>
      <w:pPr>
        <w:spacing w:line="560" w:lineRule="exact"/>
        <w:ind w:firstLine="560" w:firstLineChars="200"/>
        <w:rPr>
          <w:color w:val="auto"/>
          <w:sz w:val="28"/>
          <w:szCs w:val="28"/>
        </w:rPr>
      </w:pPr>
      <w:r>
        <w:rPr>
          <w:rFonts w:hint="eastAsia"/>
          <w:color w:val="auto"/>
          <w:sz w:val="28"/>
          <w:szCs w:val="28"/>
        </w:rPr>
        <w:t>试点工程：“幸福驿站”示范工程。依托当地成熟的单一物流体系的应用，引入绿色物流装备，减轻农民劳动强度，提升农民的幸福感。</w:t>
      </w:r>
    </w:p>
    <w:p>
      <w:pPr>
        <w:pStyle w:val="4"/>
        <w:adjustRightInd w:val="0"/>
        <w:snapToGrid w:val="0"/>
        <w:spacing w:before="0" w:beforeAutospacing="0" w:after="0" w:afterAutospacing="0" w:line="560" w:lineRule="exact"/>
        <w:ind w:firstLine="562"/>
        <w:rPr>
          <w:rFonts w:eastAsia="方正楷体简体" w:asciiTheme="minorHAnsi" w:hAnsiTheme="minorHAnsi" w:cstheme="minorHAnsi"/>
          <w:color w:val="auto"/>
        </w:rPr>
      </w:pPr>
      <w:bookmarkStart w:id="52" w:name="_Toc5713"/>
      <w:bookmarkStart w:id="53" w:name="_Toc519593281"/>
      <w:bookmarkStart w:id="54" w:name="_Toc28379"/>
      <w:r>
        <w:rPr>
          <w:rFonts w:hint="eastAsia" w:eastAsia="方正楷体简体" w:asciiTheme="minorHAnsi" w:hAnsiTheme="minorHAnsi" w:cstheme="minorHAnsi"/>
          <w:color w:val="auto"/>
        </w:rPr>
        <w:t>（六）农村物流标准化建设工程</w:t>
      </w:r>
      <w:bookmarkEnd w:id="52"/>
      <w:bookmarkEnd w:id="53"/>
      <w:bookmarkEnd w:id="54"/>
      <w:r>
        <w:rPr>
          <w:rFonts w:hint="eastAsia" w:eastAsia="方正楷体简体" w:asciiTheme="minorHAnsi" w:hAnsiTheme="minorHAnsi" w:cstheme="minorHAnsi"/>
          <w:color w:val="auto"/>
        </w:rPr>
        <w:t>。</w:t>
      </w:r>
    </w:p>
    <w:p>
      <w:pPr>
        <w:pStyle w:val="4"/>
        <w:adjustRightInd w:val="0"/>
        <w:snapToGrid w:val="0"/>
        <w:spacing w:before="0" w:beforeAutospacing="0" w:after="0" w:afterAutospacing="0" w:line="560" w:lineRule="exact"/>
        <w:ind w:firstLine="560"/>
        <w:rPr>
          <w:rFonts w:ascii="仿宋_GB2312" w:eastAsia="仿宋_GB2312" w:hAnsiTheme="minorHAnsi" w:cstheme="minorHAnsi"/>
          <w:b w:val="0"/>
          <w:color w:val="auto"/>
        </w:rPr>
      </w:pPr>
      <w:r>
        <w:rPr>
          <w:rFonts w:hint="eastAsia" w:ascii="仿宋_GB2312" w:eastAsia="仿宋_GB2312"/>
          <w:b w:val="0"/>
          <w:color w:val="auto"/>
          <w:szCs w:val="28"/>
        </w:rPr>
        <w:t>鼓励企业加快对原有农村物流设施、设备的标准化改造，推动企业积极参与生鲜果品、蔬菜、食品的低温仓储、冷藏运输；冷冻保鲜食品的加工、包装和储存；冷藏仓库设备配置、冷链作业、冷库管理等行业标准及规范的制订。建立完善全程质量与安全控制技术规程，促进农村物流技术标准与服务规范协调一致。推进农产品流通从田间地头到超市货架全程“不倒筐、零触碰”，推动城乡绿色配送车辆“统一标识、统一车型、统一管理、统一技术标准”。选择有条件的乡镇进行标准化示范建设，鼓励有条件的物流、农业等企业开展标准化示范建设，购置托盘、运输车辆、叉车、集装箱等标准化设备，在包装、装卸、搬运、运输作业等环节推进物流作业标准化。通过“典型引领、示范带动、由点到面、全面推进”的方式逐步展开，进一步提高全县物流标准化程度，助力农村物流降本增效。</w:t>
      </w:r>
    </w:p>
    <w:p>
      <w:pPr>
        <w:spacing w:line="560" w:lineRule="exact"/>
        <w:ind w:firstLine="560" w:firstLineChars="200"/>
        <w:rPr>
          <w:color w:val="auto"/>
          <w:sz w:val="28"/>
          <w:szCs w:val="28"/>
        </w:rPr>
      </w:pPr>
      <w:r>
        <w:rPr>
          <w:rFonts w:hint="eastAsia"/>
          <w:color w:val="auto"/>
          <w:sz w:val="28"/>
          <w:szCs w:val="28"/>
        </w:rPr>
        <w:t>试点工程：冷链物流标准应用示范工程。起草农产品冷链应用规范（联盟标准），统一标准研发建设，统一技术接口标准，鼓励平台间相互合作，实现可公开信息的共享互联互通，鼓励企业联盟组建冷链运输力量。</w:t>
      </w:r>
      <w:bookmarkStart w:id="55" w:name="_Toc22788"/>
      <w:bookmarkStart w:id="56" w:name="_Toc519593279"/>
      <w:bookmarkStart w:id="57" w:name="_Toc2182"/>
    </w:p>
    <w:p>
      <w:pPr>
        <w:spacing w:line="560" w:lineRule="exact"/>
        <w:ind w:firstLine="562" w:firstLineChars="200"/>
        <w:rPr>
          <w:rFonts w:eastAsia="方正楷体简体" w:asciiTheme="minorHAnsi" w:hAnsiTheme="minorHAnsi" w:cstheme="minorHAnsi"/>
          <w:b/>
          <w:color w:val="auto"/>
          <w:sz w:val="28"/>
          <w:szCs w:val="28"/>
        </w:rPr>
      </w:pPr>
      <w:r>
        <w:rPr>
          <w:rFonts w:hint="eastAsia" w:eastAsia="方正楷体简体" w:asciiTheme="minorHAnsi" w:hAnsiTheme="minorHAnsi" w:cstheme="minorHAnsi"/>
          <w:b/>
          <w:color w:val="auto"/>
          <w:sz w:val="28"/>
          <w:szCs w:val="28"/>
        </w:rPr>
        <w:t>（七）物流龙头企业培育工程</w:t>
      </w:r>
      <w:bookmarkEnd w:id="55"/>
      <w:bookmarkEnd w:id="56"/>
      <w:bookmarkEnd w:id="57"/>
      <w:r>
        <w:rPr>
          <w:rFonts w:hint="eastAsia" w:eastAsia="方正楷体简体" w:asciiTheme="minorHAnsi" w:hAnsiTheme="minorHAnsi" w:cstheme="minorHAnsi"/>
          <w:b/>
          <w:color w:val="auto"/>
          <w:sz w:val="28"/>
          <w:szCs w:val="28"/>
        </w:rPr>
        <w:t>。</w:t>
      </w:r>
    </w:p>
    <w:p>
      <w:pPr>
        <w:spacing w:line="560" w:lineRule="exact"/>
        <w:ind w:firstLine="560" w:firstLineChars="200"/>
        <w:rPr>
          <w:rFonts w:ascii="仿宋_GB2312" w:hAnsiTheme="minorHAnsi" w:cstheme="minorHAnsi"/>
          <w:color w:val="auto"/>
          <w:sz w:val="28"/>
          <w:szCs w:val="30"/>
        </w:rPr>
      </w:pPr>
      <w:r>
        <w:rPr>
          <w:rFonts w:hint="eastAsia" w:ascii="仿宋_GB2312"/>
          <w:color w:val="auto"/>
          <w:sz w:val="28"/>
          <w:szCs w:val="28"/>
        </w:rPr>
        <w:t>通过“集中扶持、内引外联”模式，重点培育一批主业突出、竞争力强、管理现代化、服务水平高、示范作用强的农村物流龙头企业，树立行业标杆，提升全县农业竞争力。组织优秀企业参与开展质量认证、信用等级评定和国家A级物流企业评估，诚信企业（园区）遴选、申报国家驰名商标，树立企业品牌。鼓励大中型商贸流通、快递物流企业，采用参股、兼并、联合等多种形式，整合资源和利益共享，实现企业的规模化、集约化发展，提升服务能力和市场竞争力，逐渐改变全县物流企业“小、散、乱”的现象。鼓励社会资本参与物流龙头企业建设发展，支持龙头企业开展绿色环保技术和物流信息技术的研发推广。</w:t>
      </w:r>
    </w:p>
    <w:p>
      <w:pPr>
        <w:spacing w:line="560" w:lineRule="exact"/>
        <w:ind w:firstLine="560" w:firstLineChars="200"/>
        <w:rPr>
          <w:color w:val="auto"/>
          <w:sz w:val="28"/>
          <w:szCs w:val="28"/>
        </w:rPr>
      </w:pPr>
      <w:r>
        <w:rPr>
          <w:rFonts w:hint="eastAsia"/>
          <w:color w:val="auto"/>
          <w:sz w:val="28"/>
          <w:szCs w:val="28"/>
        </w:rPr>
        <w:t>试点工程：农村物流企业竞争力提升试点工程。通过农村物流智库，重点培育3-5家农村物流龙头企业，支持物流企业在同链上集约发展，成为网络化、规模化的品牌公司。</w:t>
      </w:r>
    </w:p>
    <w:p>
      <w:pPr>
        <w:pStyle w:val="3"/>
        <w:adjustRightInd w:val="0"/>
        <w:snapToGrid w:val="0"/>
        <w:spacing w:before="0" w:beforeAutospacing="0" w:after="0" w:afterAutospacing="0" w:line="560" w:lineRule="exact"/>
        <w:ind w:firstLine="602"/>
        <w:rPr>
          <w:rFonts w:eastAsia="方正宋黑简体" w:asciiTheme="minorHAnsi" w:hAnsiTheme="minorHAnsi" w:cstheme="minorHAnsi"/>
          <w:color w:val="auto"/>
          <w:sz w:val="30"/>
          <w:szCs w:val="30"/>
        </w:rPr>
      </w:pPr>
      <w:bookmarkStart w:id="58" w:name="_Toc24121"/>
      <w:bookmarkStart w:id="59" w:name="_Toc519593282"/>
      <w:r>
        <w:rPr>
          <w:rFonts w:hint="eastAsia" w:eastAsia="方正宋黑简体" w:asciiTheme="minorHAnsi" w:hAnsiTheme="minorHAnsi" w:cstheme="minorHAnsi"/>
          <w:color w:val="auto"/>
          <w:sz w:val="30"/>
          <w:szCs w:val="30"/>
        </w:rPr>
        <w:t>六、保障措施</w:t>
      </w:r>
      <w:bookmarkEnd w:id="58"/>
      <w:bookmarkEnd w:id="59"/>
    </w:p>
    <w:p>
      <w:pPr>
        <w:pStyle w:val="4"/>
        <w:adjustRightInd w:val="0"/>
        <w:snapToGrid w:val="0"/>
        <w:spacing w:before="0" w:beforeAutospacing="0" w:after="0" w:afterAutospacing="0" w:line="560" w:lineRule="exact"/>
        <w:ind w:firstLine="562"/>
        <w:rPr>
          <w:rFonts w:eastAsia="方正楷体简体" w:asciiTheme="minorHAnsi" w:hAnsiTheme="minorHAnsi" w:cstheme="minorHAnsi"/>
          <w:color w:val="auto"/>
        </w:rPr>
      </w:pPr>
      <w:bookmarkStart w:id="60" w:name="_Toc5532"/>
      <w:bookmarkStart w:id="61" w:name="_Toc519593283"/>
      <w:r>
        <w:rPr>
          <w:rFonts w:hint="eastAsia" w:eastAsia="方正楷体简体" w:asciiTheme="minorHAnsi" w:hAnsiTheme="minorHAnsi" w:cstheme="minorHAnsi"/>
          <w:color w:val="auto"/>
        </w:rPr>
        <w:t>（一）建立农村物流组织保障机制</w:t>
      </w:r>
      <w:bookmarkEnd w:id="60"/>
      <w:bookmarkEnd w:id="61"/>
      <w:r>
        <w:rPr>
          <w:rFonts w:hint="eastAsia" w:eastAsia="方正楷体简体" w:asciiTheme="minorHAnsi" w:hAnsiTheme="minorHAnsi" w:cstheme="minorHAnsi"/>
          <w:color w:val="auto"/>
        </w:rPr>
        <w:t>。</w:t>
      </w:r>
    </w:p>
    <w:p>
      <w:pPr>
        <w:spacing w:line="560" w:lineRule="exact"/>
        <w:ind w:firstLine="560" w:firstLineChars="200"/>
        <w:rPr>
          <w:color w:val="auto"/>
          <w:sz w:val="28"/>
          <w:szCs w:val="28"/>
        </w:rPr>
      </w:pPr>
      <w:r>
        <w:rPr>
          <w:rFonts w:hint="eastAsia"/>
          <w:color w:val="auto"/>
          <w:sz w:val="28"/>
          <w:szCs w:val="28"/>
        </w:rPr>
        <w:t>加强各部门物流的职能统筹整合，理顺农村物流发展的组织框架和运作机制。在县政府的统一领导下，建立多部门共同参与的农村物流工作小组，建立跨地域跨部门信息共享和工作协同机制，加强协调配合，形成合力，加强对农村物流相关规划、物流园区和重大项目建设、资金运用等方面统筹协调，打破部门壁垒，建立“大物流”概念，切实推动农村物流一体化融合的落实。发挥行业组织、科研院所等在农村物流基础研究、市场开拓、技术研发、示范推广、人才培养等方面的作用，协助政府合力推动规划的落实。建立“五华县物流产业技术创新联盟”，共同推进全县物流融合发展，开展企业间联盟合作，实现资源的共享互联互通。</w:t>
      </w:r>
    </w:p>
    <w:p>
      <w:pPr>
        <w:pStyle w:val="4"/>
        <w:adjustRightInd w:val="0"/>
        <w:snapToGrid w:val="0"/>
        <w:spacing w:before="0" w:beforeAutospacing="0" w:after="0" w:afterAutospacing="0" w:line="560" w:lineRule="exact"/>
        <w:ind w:firstLine="562"/>
        <w:rPr>
          <w:rFonts w:eastAsia="方正楷体简体" w:asciiTheme="minorHAnsi" w:hAnsiTheme="minorHAnsi" w:cstheme="minorHAnsi"/>
          <w:color w:val="auto"/>
        </w:rPr>
      </w:pPr>
      <w:bookmarkStart w:id="62" w:name="_Toc519593284"/>
      <w:bookmarkStart w:id="63" w:name="_Toc19881"/>
      <w:r>
        <w:rPr>
          <w:rFonts w:hint="eastAsia" w:eastAsia="方正楷体简体" w:asciiTheme="minorHAnsi" w:hAnsiTheme="minorHAnsi" w:cstheme="minorHAnsi"/>
          <w:color w:val="auto"/>
        </w:rPr>
        <w:t>（二）</w:t>
      </w:r>
      <w:bookmarkEnd w:id="62"/>
      <w:r>
        <w:rPr>
          <w:rFonts w:hint="eastAsia" w:eastAsia="方正楷体简体" w:asciiTheme="minorHAnsi" w:hAnsiTheme="minorHAnsi" w:cstheme="minorHAnsi"/>
          <w:color w:val="auto"/>
        </w:rPr>
        <w:t>保障农村物流发展配套政策</w:t>
      </w:r>
      <w:bookmarkEnd w:id="63"/>
      <w:r>
        <w:rPr>
          <w:rFonts w:hint="eastAsia" w:eastAsia="方正楷体简体" w:asciiTheme="minorHAnsi" w:hAnsiTheme="minorHAnsi" w:cstheme="minorHAnsi"/>
          <w:color w:val="auto"/>
        </w:rPr>
        <w:t>。</w:t>
      </w:r>
    </w:p>
    <w:p>
      <w:pPr>
        <w:spacing w:line="560" w:lineRule="exact"/>
        <w:ind w:firstLine="560" w:firstLineChars="200"/>
        <w:rPr>
          <w:color w:val="auto"/>
          <w:sz w:val="28"/>
          <w:szCs w:val="28"/>
        </w:rPr>
      </w:pPr>
      <w:r>
        <w:rPr>
          <w:rFonts w:hint="eastAsia"/>
          <w:color w:val="auto"/>
          <w:sz w:val="28"/>
          <w:szCs w:val="28"/>
        </w:rPr>
        <w:t>农村物流建设发展统一纳入县域、村庄建设规划。支持符合规划要求的产地预冷库、农产品物流园区及基地等项目用地需求，鼓励利用“三旧改造”土地用于农村物流服务；支持承包土地向专业大户、家庭农场、农民合作社流转。继续加强农村“四好农村路”建设，进一步完善乡镇至村、组的客货车通车条件，加强重点农产品主产区公路改扩建。认真落实国家关于促进物流发展各项扶持政策，落实农村物流相关税收优惠政策，严格执行鲜活农产品运输“绿色通道”政策，推动冷链物流企业用水、用电、用气价格梯度优惠措施，切实降低运营成本，推动物流、电商、快递、交通、邮政等一体化设施建设，形成综合服务能力。</w:t>
      </w:r>
    </w:p>
    <w:p>
      <w:pPr>
        <w:pStyle w:val="4"/>
        <w:adjustRightInd w:val="0"/>
        <w:snapToGrid w:val="0"/>
        <w:spacing w:before="0" w:beforeAutospacing="0" w:after="0" w:afterAutospacing="0" w:line="560" w:lineRule="exact"/>
        <w:ind w:firstLine="562"/>
        <w:rPr>
          <w:rFonts w:eastAsia="方正楷体简体" w:asciiTheme="minorHAnsi" w:hAnsiTheme="minorHAnsi" w:cstheme="minorHAnsi"/>
          <w:color w:val="auto"/>
        </w:rPr>
      </w:pPr>
      <w:bookmarkStart w:id="64" w:name="_Toc519593285"/>
      <w:bookmarkStart w:id="65" w:name="_Toc13265"/>
      <w:r>
        <w:rPr>
          <w:rFonts w:hint="eastAsia" w:eastAsia="方正楷体简体" w:asciiTheme="minorHAnsi" w:hAnsiTheme="minorHAnsi" w:cstheme="minorHAnsi"/>
          <w:color w:val="auto"/>
        </w:rPr>
        <w:t>（三）加大农村物流相关扶持力度</w:t>
      </w:r>
      <w:bookmarkEnd w:id="64"/>
      <w:bookmarkEnd w:id="65"/>
      <w:r>
        <w:rPr>
          <w:rFonts w:hint="eastAsia" w:eastAsia="方正楷体简体" w:asciiTheme="minorHAnsi" w:hAnsiTheme="minorHAnsi" w:cstheme="minorHAnsi"/>
          <w:color w:val="auto"/>
        </w:rPr>
        <w:t>。</w:t>
      </w:r>
    </w:p>
    <w:p>
      <w:pPr>
        <w:spacing w:line="560" w:lineRule="exact"/>
        <w:ind w:firstLine="560" w:firstLineChars="200"/>
        <w:rPr>
          <w:color w:val="auto"/>
          <w:sz w:val="28"/>
          <w:szCs w:val="28"/>
        </w:rPr>
      </w:pPr>
      <w:r>
        <w:rPr>
          <w:rFonts w:hint="eastAsia"/>
          <w:color w:val="auto"/>
          <w:sz w:val="28"/>
          <w:szCs w:val="28"/>
        </w:rPr>
        <w:t>落实中央财政对农村物流发展的扶持政策。加大资金扶持力度，积极争取中央和省、市财政相应专项资金并配套地方资金，重点加强对县、镇、村三级农村物流体系、物流园区、冷链物流、设施装备改造、试点示范、专业人才队伍引进等方向，以补贴、贴息、奖励、股权投资等方式给予引导和扶持。支持企业开展物流标准化建设，发展冷链物流；支持龙头企业加快发展。引导金融机构、社会资本通过投资发展基金、PPP、大型电商平台等多元渠道投资建设农村物流设施和项目。在地方财政对农业的拨付款中设立“五华县物流基础设施发展专项资金”，用于农村物流基础设施规划建设、物流体系建设、公共信息平台建设和物流技术研发推广等。</w:t>
      </w:r>
      <w:bookmarkStart w:id="66" w:name="_Toc519593286"/>
    </w:p>
    <w:p>
      <w:pPr>
        <w:pStyle w:val="4"/>
        <w:adjustRightInd w:val="0"/>
        <w:snapToGrid w:val="0"/>
        <w:spacing w:before="0" w:beforeAutospacing="0" w:after="0" w:afterAutospacing="0" w:line="560" w:lineRule="exact"/>
        <w:ind w:firstLine="562"/>
        <w:rPr>
          <w:rFonts w:eastAsia="方正楷体简体" w:asciiTheme="minorHAnsi" w:hAnsiTheme="minorHAnsi" w:cstheme="minorHAnsi"/>
          <w:color w:val="auto"/>
        </w:rPr>
      </w:pPr>
      <w:bookmarkStart w:id="67" w:name="_Toc7068"/>
      <w:r>
        <w:rPr>
          <w:rFonts w:hint="eastAsia" w:eastAsia="方正楷体简体" w:asciiTheme="minorHAnsi" w:hAnsiTheme="minorHAnsi" w:cstheme="minorHAnsi"/>
          <w:color w:val="auto"/>
        </w:rPr>
        <w:t>（四）重视农村物流人才创新培养</w:t>
      </w:r>
      <w:bookmarkEnd w:id="66"/>
      <w:bookmarkEnd w:id="67"/>
      <w:r>
        <w:rPr>
          <w:rFonts w:hint="eastAsia" w:eastAsia="方正楷体简体" w:asciiTheme="minorHAnsi" w:hAnsiTheme="minorHAnsi" w:cstheme="minorHAnsi"/>
          <w:color w:val="auto"/>
        </w:rPr>
        <w:t>。</w:t>
      </w:r>
    </w:p>
    <w:p>
      <w:pPr>
        <w:spacing w:line="560" w:lineRule="exact"/>
        <w:ind w:firstLine="560" w:firstLineChars="200"/>
        <w:rPr>
          <w:color w:val="auto"/>
          <w:sz w:val="28"/>
          <w:szCs w:val="28"/>
        </w:rPr>
      </w:pPr>
      <w:r>
        <w:rPr>
          <w:rFonts w:hint="eastAsia"/>
          <w:color w:val="auto"/>
          <w:sz w:val="28"/>
          <w:szCs w:val="28"/>
        </w:rPr>
        <w:t>加强农村物流人才队伍建设，完善用人机制。通过多种渠道和方式，发展急需的各类专业人才、高层次人才、紧缺人才的培养和引进。鼓励企业与本科高等院校、职业院校等联合培养所需物流人才，基本实现农村物流从业人员全员培训，培养一批适用型的高端农村物流人才，从根本上解决农村物流人才的需求。结合省政府推动的百万乡村振兴人才培养计划，推动共建“五华县物流人才教育培训基地”，借助五华县职业技术学校的力量，增设电商物流专业，加强电子商务和物流人才培养，提高从业人员专业化水平与业务技能；联合研究机构、高校、企业等，开展农村物流专题调研，为政府提供决策咨询，为农村物流企业提供培训和业务指导等。</w:t>
      </w:r>
    </w:p>
    <w:p>
      <w:pPr>
        <w:pStyle w:val="4"/>
        <w:adjustRightInd w:val="0"/>
        <w:snapToGrid w:val="0"/>
        <w:spacing w:before="0" w:beforeAutospacing="0" w:after="0" w:afterAutospacing="0" w:line="560" w:lineRule="exact"/>
        <w:ind w:firstLine="562"/>
        <w:rPr>
          <w:rFonts w:eastAsia="方正楷体简体" w:asciiTheme="minorHAnsi" w:hAnsiTheme="minorHAnsi" w:cstheme="minorHAnsi"/>
          <w:color w:val="auto"/>
        </w:rPr>
      </w:pPr>
      <w:bookmarkStart w:id="68" w:name="_Toc519593288"/>
      <w:bookmarkStart w:id="69" w:name="_Toc1511"/>
      <w:r>
        <w:rPr>
          <w:rFonts w:hint="eastAsia" w:eastAsia="方正楷体简体" w:asciiTheme="minorHAnsi" w:hAnsiTheme="minorHAnsi" w:cstheme="minorHAnsi"/>
          <w:color w:val="auto"/>
        </w:rPr>
        <w:t>（五）发挥行业协会商会平台作用</w:t>
      </w:r>
      <w:bookmarkEnd w:id="68"/>
      <w:bookmarkEnd w:id="69"/>
      <w:r>
        <w:rPr>
          <w:rFonts w:hint="eastAsia" w:eastAsia="方正楷体简体" w:asciiTheme="minorHAnsi" w:hAnsiTheme="minorHAnsi" w:cstheme="minorHAnsi"/>
          <w:color w:val="auto"/>
        </w:rPr>
        <w:t>。</w:t>
      </w:r>
    </w:p>
    <w:p>
      <w:pPr>
        <w:spacing w:line="560" w:lineRule="exact"/>
        <w:ind w:firstLine="560" w:firstLineChars="200"/>
        <w:rPr>
          <w:color w:val="auto"/>
          <w:sz w:val="28"/>
          <w:szCs w:val="28"/>
        </w:rPr>
      </w:pPr>
      <w:r>
        <w:rPr>
          <w:rFonts w:hint="eastAsia"/>
          <w:color w:val="auto"/>
          <w:sz w:val="28"/>
          <w:szCs w:val="28"/>
        </w:rPr>
        <w:t>充分发挥行业协会、商会在农村物流发展中的推动作用。通过协会、商会调动社会资源和民间资本参与发展农村物流，推动农村专业合作社和专业的物流企业进行合作，促进农村物流领域第三方物流企业的发展。依托协会、商会的社会力量，借助行业平台，开展城乡企业市场对接，共同开辟新的农产品市场。结合五华县农村物流的建设需要，</w:t>
      </w:r>
      <w:r>
        <w:rPr>
          <w:rFonts w:hint="eastAsia"/>
          <w:color w:val="auto"/>
          <w:sz w:val="28"/>
          <w:szCs w:val="28"/>
          <w:lang w:eastAsia="zh-CN"/>
        </w:rPr>
        <w:t>培育成立</w:t>
      </w:r>
      <w:r>
        <w:rPr>
          <w:rFonts w:hint="eastAsia"/>
          <w:color w:val="auto"/>
          <w:sz w:val="28"/>
          <w:szCs w:val="28"/>
        </w:rPr>
        <w:t>“</w:t>
      </w:r>
      <w:r>
        <w:rPr>
          <w:rFonts w:hint="eastAsia"/>
          <w:color w:val="auto"/>
          <w:sz w:val="28"/>
          <w:szCs w:val="28"/>
          <w:lang w:eastAsia="zh-CN"/>
        </w:rPr>
        <w:t>五华县物流</w:t>
      </w:r>
      <w:r>
        <w:rPr>
          <w:rFonts w:hint="eastAsia"/>
          <w:color w:val="auto"/>
          <w:sz w:val="28"/>
          <w:szCs w:val="28"/>
        </w:rPr>
        <w:t>行业协会”，引导我县物流快递行业发展。组织协会商会会员开展多种创新、相关信息联度以及农村物流供应链的资源整合，以市场配置资源开展企业间的联合，促进农村物流融合发展。</w:t>
      </w:r>
    </w:p>
    <w:p>
      <w:pPr>
        <w:pStyle w:val="2"/>
        <w:ind w:firstLine="0" w:firstLineChars="0"/>
        <w:rPr>
          <w:color w:val="auto"/>
          <w:sz w:val="28"/>
          <w:szCs w:val="28"/>
        </w:rPr>
      </w:pPr>
    </w:p>
    <w:p>
      <w:pPr>
        <w:pStyle w:val="2"/>
        <w:ind w:firstLine="0" w:firstLineChars="0"/>
        <w:rPr>
          <w:rFonts w:hint="eastAsia"/>
          <w:color w:val="auto"/>
          <w:sz w:val="28"/>
          <w:szCs w:val="28"/>
        </w:rPr>
      </w:pPr>
    </w:p>
    <w:p>
      <w:pPr>
        <w:pStyle w:val="3"/>
        <w:adjustRightInd w:val="0"/>
        <w:snapToGrid w:val="0"/>
        <w:spacing w:before="0" w:beforeAutospacing="0" w:after="0" w:afterAutospacing="0" w:line="240" w:lineRule="auto"/>
        <w:ind w:firstLine="0" w:firstLineChars="0"/>
        <w:jc w:val="center"/>
        <w:rPr>
          <w:color w:val="auto"/>
        </w:rPr>
      </w:pPr>
      <w:bookmarkStart w:id="70" w:name="_Toc20657"/>
      <w:r>
        <w:rPr>
          <w:rFonts w:hint="eastAsia" w:eastAsia="方正宋黑简体" w:asciiTheme="minorHAnsi" w:hAnsiTheme="minorHAnsi" w:cstheme="minorHAnsi"/>
          <w:color w:val="auto"/>
          <w:sz w:val="30"/>
          <w:szCs w:val="30"/>
        </w:rPr>
        <w:t>附件</w:t>
      </w:r>
      <w:r>
        <w:rPr>
          <w:rFonts w:eastAsia="方正宋黑简体" w:asciiTheme="minorHAnsi" w:hAnsiTheme="minorHAnsi" w:cstheme="minorHAnsi"/>
          <w:color w:val="auto"/>
          <w:sz w:val="30"/>
          <w:szCs w:val="30"/>
        </w:rPr>
        <w:t>：</w:t>
      </w:r>
      <w:r>
        <w:rPr>
          <w:rFonts w:hint="eastAsia" w:eastAsia="方正宋黑简体" w:asciiTheme="minorHAnsi" w:hAnsiTheme="minorHAnsi" w:cstheme="minorHAnsi"/>
          <w:color w:val="auto"/>
          <w:sz w:val="30"/>
          <w:szCs w:val="30"/>
        </w:rPr>
        <w:t>五华县农村物流建设发展规划任务分工表</w:t>
      </w:r>
      <w:bookmarkEnd w:id="70"/>
    </w:p>
    <w:tbl>
      <w:tblPr>
        <w:tblStyle w:val="17"/>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253"/>
        <w:gridCol w:w="2027"/>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54" w:type="dxa"/>
            <w:vAlign w:val="center"/>
          </w:tcPr>
          <w:p>
            <w:pPr>
              <w:jc w:val="center"/>
              <w:rPr>
                <w:rFonts w:asciiTheme="minorHAnsi" w:hAnsiTheme="minorHAnsi" w:cstheme="minorHAnsi"/>
                <w:b/>
                <w:bCs/>
                <w:color w:val="auto"/>
              </w:rPr>
            </w:pPr>
            <w:r>
              <w:rPr>
                <w:rFonts w:asciiTheme="minorHAnsi" w:hAnsiTheme="minorHAnsi" w:cstheme="minorHAnsi"/>
                <w:b/>
                <w:bCs/>
                <w:color w:val="auto"/>
              </w:rPr>
              <w:t>序 号</w:t>
            </w:r>
          </w:p>
        </w:tc>
        <w:tc>
          <w:tcPr>
            <w:tcW w:w="2253" w:type="dxa"/>
            <w:vAlign w:val="center"/>
          </w:tcPr>
          <w:p>
            <w:pPr>
              <w:jc w:val="center"/>
              <w:rPr>
                <w:rFonts w:asciiTheme="minorHAnsi" w:hAnsiTheme="minorHAnsi" w:cstheme="minorHAnsi"/>
                <w:b/>
                <w:bCs/>
                <w:color w:val="auto"/>
              </w:rPr>
            </w:pPr>
            <w:r>
              <w:rPr>
                <w:rFonts w:asciiTheme="minorHAnsi" w:hAnsiTheme="minorHAnsi" w:cstheme="minorHAnsi"/>
                <w:b/>
                <w:bCs/>
                <w:color w:val="auto"/>
              </w:rPr>
              <w:t>重点工作内容</w:t>
            </w:r>
          </w:p>
        </w:tc>
        <w:tc>
          <w:tcPr>
            <w:tcW w:w="2027" w:type="dxa"/>
            <w:vAlign w:val="center"/>
          </w:tcPr>
          <w:p>
            <w:pPr>
              <w:jc w:val="center"/>
              <w:rPr>
                <w:rFonts w:asciiTheme="minorHAnsi" w:hAnsiTheme="minorHAnsi" w:cstheme="minorHAnsi"/>
                <w:b/>
                <w:bCs/>
                <w:color w:val="auto"/>
              </w:rPr>
            </w:pPr>
            <w:r>
              <w:rPr>
                <w:rFonts w:asciiTheme="minorHAnsi" w:hAnsiTheme="minorHAnsi" w:cstheme="minorHAnsi"/>
                <w:b/>
                <w:bCs/>
                <w:color w:val="auto"/>
              </w:rPr>
              <w:t>牵头部门</w:t>
            </w:r>
          </w:p>
        </w:tc>
        <w:tc>
          <w:tcPr>
            <w:tcW w:w="3666" w:type="dxa"/>
            <w:vAlign w:val="center"/>
          </w:tcPr>
          <w:p>
            <w:pPr>
              <w:jc w:val="center"/>
              <w:rPr>
                <w:rFonts w:asciiTheme="minorHAnsi" w:hAnsiTheme="minorHAnsi" w:cstheme="minorHAnsi"/>
                <w:b/>
                <w:bCs/>
                <w:color w:val="auto"/>
              </w:rPr>
            </w:pPr>
            <w:r>
              <w:rPr>
                <w:rFonts w:asciiTheme="minorHAnsi" w:hAnsiTheme="minorHAnsi" w:cstheme="minorHAnsi"/>
                <w:b/>
                <w:bCs/>
                <w:color w:val="auto"/>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54" w:type="dxa"/>
            <w:vAlign w:val="center"/>
          </w:tcPr>
          <w:p>
            <w:pPr>
              <w:jc w:val="center"/>
              <w:rPr>
                <w:rFonts w:asciiTheme="minorHAnsi" w:hAnsiTheme="minorHAnsi" w:cstheme="minorHAnsi"/>
                <w:b/>
                <w:bCs/>
                <w:color w:val="auto"/>
              </w:rPr>
            </w:pPr>
            <w:r>
              <w:rPr>
                <w:rFonts w:asciiTheme="minorHAnsi" w:hAnsiTheme="minorHAnsi" w:cstheme="minorHAnsi"/>
                <w:b/>
                <w:bCs/>
                <w:color w:val="auto"/>
              </w:rPr>
              <w:t>1</w:t>
            </w:r>
          </w:p>
        </w:tc>
        <w:tc>
          <w:tcPr>
            <w:tcW w:w="2253" w:type="dxa"/>
            <w:vAlign w:val="center"/>
          </w:tcPr>
          <w:p>
            <w:pPr>
              <w:jc w:val="left"/>
              <w:rPr>
                <w:rFonts w:asciiTheme="minorHAnsi" w:hAnsiTheme="minorHAnsi" w:cstheme="minorHAnsi"/>
                <w:b/>
                <w:bCs/>
                <w:color w:val="auto"/>
              </w:rPr>
            </w:pPr>
            <w:r>
              <w:rPr>
                <w:rFonts w:asciiTheme="minorHAnsi" w:hAnsiTheme="minorHAnsi" w:cstheme="minorHAnsi"/>
                <w:color w:val="auto"/>
              </w:rPr>
              <w:t>推动完善农村物流网络体系</w:t>
            </w:r>
          </w:p>
        </w:tc>
        <w:tc>
          <w:tcPr>
            <w:tcW w:w="2027" w:type="dxa"/>
            <w:vAlign w:val="center"/>
          </w:tcPr>
          <w:p>
            <w:pPr>
              <w:jc w:val="center"/>
              <w:rPr>
                <w:rFonts w:asciiTheme="minorHAnsi" w:hAnsiTheme="minorHAnsi" w:cstheme="minorHAnsi"/>
                <w:b/>
                <w:bCs/>
                <w:color w:val="auto"/>
              </w:rPr>
            </w:pPr>
            <w:r>
              <w:rPr>
                <w:rFonts w:asciiTheme="minorHAnsi" w:hAnsiTheme="minorHAnsi" w:cstheme="minorHAnsi"/>
                <w:color w:val="auto"/>
              </w:rPr>
              <w:t>县科工商务局</w:t>
            </w:r>
          </w:p>
        </w:tc>
        <w:tc>
          <w:tcPr>
            <w:tcW w:w="3666" w:type="dxa"/>
            <w:vAlign w:val="center"/>
          </w:tcPr>
          <w:p>
            <w:pPr>
              <w:rPr>
                <w:rFonts w:asciiTheme="minorHAnsi" w:hAnsiTheme="minorHAnsi" w:cstheme="minorHAnsi"/>
                <w:b/>
                <w:bCs/>
                <w:color w:val="auto"/>
              </w:rPr>
            </w:pPr>
            <w:r>
              <w:rPr>
                <w:rFonts w:asciiTheme="minorHAnsi" w:hAnsiTheme="minorHAnsi" w:cstheme="minorHAnsi"/>
                <w:color w:val="auto"/>
              </w:rPr>
              <w:t>县发改局、交通运输局、供销社、邮政公司五华分公司</w:t>
            </w:r>
            <w:r>
              <w:rPr>
                <w:rFonts w:hint="eastAsia" w:asciiTheme="minorHAnsi" w:hAnsiTheme="minorHAnsi" w:cstheme="minorHAnsi"/>
                <w:color w:val="auto"/>
              </w:rPr>
              <w:t>、经济开发区管委会、公路事务中心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54" w:type="dxa"/>
            <w:vAlign w:val="center"/>
          </w:tcPr>
          <w:p>
            <w:pPr>
              <w:jc w:val="center"/>
              <w:rPr>
                <w:rFonts w:asciiTheme="minorHAnsi" w:hAnsiTheme="minorHAnsi" w:cstheme="minorHAnsi"/>
                <w:b/>
                <w:bCs/>
                <w:color w:val="auto"/>
              </w:rPr>
            </w:pPr>
            <w:r>
              <w:rPr>
                <w:rFonts w:asciiTheme="minorHAnsi" w:hAnsiTheme="minorHAnsi" w:cstheme="minorHAnsi"/>
                <w:b/>
                <w:bCs/>
                <w:color w:val="auto"/>
              </w:rPr>
              <w:t>2</w:t>
            </w:r>
          </w:p>
        </w:tc>
        <w:tc>
          <w:tcPr>
            <w:tcW w:w="2253" w:type="dxa"/>
            <w:vAlign w:val="center"/>
          </w:tcPr>
          <w:p>
            <w:pPr>
              <w:jc w:val="left"/>
              <w:rPr>
                <w:rFonts w:asciiTheme="minorHAnsi" w:hAnsiTheme="minorHAnsi" w:cstheme="minorHAnsi"/>
                <w:b/>
                <w:bCs/>
                <w:color w:val="auto"/>
              </w:rPr>
            </w:pPr>
            <w:r>
              <w:rPr>
                <w:rFonts w:asciiTheme="minorHAnsi" w:hAnsiTheme="minorHAnsi" w:cstheme="minorHAnsi"/>
                <w:color w:val="auto"/>
              </w:rPr>
              <w:t>推动农产品重要流通节点建设</w:t>
            </w:r>
          </w:p>
        </w:tc>
        <w:tc>
          <w:tcPr>
            <w:tcW w:w="2027" w:type="dxa"/>
            <w:vAlign w:val="center"/>
          </w:tcPr>
          <w:p>
            <w:pPr>
              <w:jc w:val="center"/>
              <w:rPr>
                <w:rFonts w:asciiTheme="minorHAnsi" w:hAnsiTheme="minorHAnsi" w:cstheme="minorHAnsi"/>
                <w:b/>
                <w:bCs/>
                <w:color w:val="auto"/>
              </w:rPr>
            </w:pPr>
            <w:r>
              <w:rPr>
                <w:rFonts w:asciiTheme="minorHAnsi" w:hAnsiTheme="minorHAnsi" w:cstheme="minorHAnsi"/>
                <w:color w:val="auto"/>
              </w:rPr>
              <w:t>县农业农村局</w:t>
            </w:r>
          </w:p>
        </w:tc>
        <w:tc>
          <w:tcPr>
            <w:tcW w:w="3666" w:type="dxa"/>
            <w:vAlign w:val="center"/>
          </w:tcPr>
          <w:p>
            <w:pPr>
              <w:rPr>
                <w:rFonts w:asciiTheme="minorHAnsi" w:hAnsiTheme="minorHAnsi" w:cstheme="minorHAnsi"/>
                <w:b/>
                <w:bCs/>
                <w:color w:val="auto"/>
              </w:rPr>
            </w:pPr>
            <w:r>
              <w:rPr>
                <w:rFonts w:asciiTheme="minorHAnsi" w:hAnsiTheme="minorHAnsi" w:cstheme="minorHAnsi"/>
                <w:color w:val="auto"/>
              </w:rPr>
              <w:t>县发改局、自然资源局、交通运输局、邮政公司五华分公司</w:t>
            </w:r>
            <w:r>
              <w:rPr>
                <w:rFonts w:hint="eastAsia" w:asciiTheme="minorHAnsi" w:hAnsiTheme="minorHAnsi" w:cstheme="minorHAnsi"/>
                <w:color w:val="auto"/>
              </w:rPr>
              <w:t>、经济开发区管委会、公路事务中心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54" w:type="dxa"/>
            <w:vAlign w:val="center"/>
          </w:tcPr>
          <w:p>
            <w:pPr>
              <w:jc w:val="center"/>
              <w:rPr>
                <w:rFonts w:asciiTheme="minorHAnsi" w:hAnsiTheme="minorHAnsi" w:cstheme="minorHAnsi"/>
                <w:b/>
                <w:bCs/>
                <w:color w:val="auto"/>
              </w:rPr>
            </w:pPr>
            <w:r>
              <w:rPr>
                <w:rFonts w:asciiTheme="minorHAnsi" w:hAnsiTheme="minorHAnsi" w:cstheme="minorHAnsi"/>
                <w:b/>
                <w:bCs/>
                <w:color w:val="auto"/>
              </w:rPr>
              <w:t>3</w:t>
            </w:r>
          </w:p>
        </w:tc>
        <w:tc>
          <w:tcPr>
            <w:tcW w:w="2253" w:type="dxa"/>
            <w:vAlign w:val="center"/>
          </w:tcPr>
          <w:p>
            <w:pPr>
              <w:jc w:val="left"/>
              <w:rPr>
                <w:rFonts w:asciiTheme="minorHAnsi" w:hAnsiTheme="minorHAnsi" w:cstheme="minorHAnsi"/>
                <w:b/>
                <w:bCs/>
                <w:color w:val="auto"/>
              </w:rPr>
            </w:pPr>
            <w:r>
              <w:rPr>
                <w:rFonts w:asciiTheme="minorHAnsi" w:hAnsiTheme="minorHAnsi" w:cstheme="minorHAnsi"/>
                <w:color w:val="auto"/>
              </w:rPr>
              <w:t>推动农村物流发展模式创新</w:t>
            </w:r>
          </w:p>
        </w:tc>
        <w:tc>
          <w:tcPr>
            <w:tcW w:w="2027" w:type="dxa"/>
            <w:vAlign w:val="center"/>
          </w:tcPr>
          <w:p>
            <w:pPr>
              <w:jc w:val="center"/>
              <w:rPr>
                <w:rFonts w:asciiTheme="minorHAnsi" w:hAnsiTheme="minorHAnsi" w:cstheme="minorHAnsi"/>
                <w:b/>
                <w:bCs/>
                <w:color w:val="auto"/>
              </w:rPr>
            </w:pPr>
            <w:r>
              <w:rPr>
                <w:rFonts w:asciiTheme="minorHAnsi" w:hAnsiTheme="minorHAnsi" w:cstheme="minorHAnsi"/>
                <w:color w:val="auto"/>
              </w:rPr>
              <w:t>县科工商务局</w:t>
            </w:r>
          </w:p>
        </w:tc>
        <w:tc>
          <w:tcPr>
            <w:tcW w:w="3666" w:type="dxa"/>
            <w:vAlign w:val="center"/>
          </w:tcPr>
          <w:p>
            <w:pPr>
              <w:rPr>
                <w:rFonts w:asciiTheme="minorHAnsi" w:hAnsiTheme="minorHAnsi" w:cstheme="minorHAnsi"/>
                <w:b/>
                <w:bCs/>
                <w:color w:val="auto"/>
              </w:rPr>
            </w:pPr>
            <w:r>
              <w:rPr>
                <w:rFonts w:asciiTheme="minorHAnsi" w:hAnsiTheme="minorHAnsi" w:cstheme="minorHAnsi"/>
                <w:color w:val="auto"/>
              </w:rPr>
              <w:t>县农业农村局、供销社、邮政公司五华分公司、市场监管局</w:t>
            </w:r>
            <w:r>
              <w:rPr>
                <w:rFonts w:hint="eastAsia" w:asciiTheme="minorHAnsi" w:hAnsiTheme="minorHAnsi" w:cstheme="minorHAnsi"/>
                <w:color w:val="auto"/>
              </w:rPr>
              <w:t>、经济开发区管委会、公路事务中心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54" w:type="dxa"/>
            <w:vAlign w:val="center"/>
          </w:tcPr>
          <w:p>
            <w:pPr>
              <w:jc w:val="center"/>
              <w:rPr>
                <w:rFonts w:asciiTheme="minorHAnsi" w:hAnsiTheme="minorHAnsi" w:cstheme="minorHAnsi"/>
                <w:b/>
                <w:bCs/>
                <w:color w:val="auto"/>
              </w:rPr>
            </w:pPr>
            <w:r>
              <w:rPr>
                <w:rFonts w:asciiTheme="minorHAnsi" w:hAnsiTheme="minorHAnsi" w:cstheme="minorHAnsi"/>
                <w:b/>
                <w:bCs/>
                <w:color w:val="auto"/>
              </w:rPr>
              <w:t>4</w:t>
            </w:r>
          </w:p>
        </w:tc>
        <w:tc>
          <w:tcPr>
            <w:tcW w:w="2253" w:type="dxa"/>
            <w:vAlign w:val="center"/>
          </w:tcPr>
          <w:p>
            <w:pPr>
              <w:jc w:val="left"/>
              <w:rPr>
                <w:rFonts w:asciiTheme="minorHAnsi" w:hAnsiTheme="minorHAnsi" w:cstheme="minorHAnsi"/>
                <w:b/>
                <w:bCs/>
                <w:color w:val="auto"/>
              </w:rPr>
            </w:pPr>
            <w:r>
              <w:rPr>
                <w:rFonts w:asciiTheme="minorHAnsi" w:hAnsiTheme="minorHAnsi" w:cstheme="minorHAnsi"/>
                <w:color w:val="auto"/>
              </w:rPr>
              <w:t>推动冷链物流绿色发展</w:t>
            </w:r>
          </w:p>
        </w:tc>
        <w:tc>
          <w:tcPr>
            <w:tcW w:w="2027" w:type="dxa"/>
            <w:vAlign w:val="center"/>
          </w:tcPr>
          <w:p>
            <w:pPr>
              <w:jc w:val="center"/>
              <w:rPr>
                <w:rFonts w:asciiTheme="minorHAnsi" w:hAnsiTheme="minorHAnsi" w:cstheme="minorHAnsi"/>
                <w:b/>
                <w:bCs/>
                <w:color w:val="auto"/>
              </w:rPr>
            </w:pPr>
            <w:r>
              <w:rPr>
                <w:rFonts w:asciiTheme="minorHAnsi" w:hAnsiTheme="minorHAnsi" w:cstheme="minorHAnsi"/>
                <w:color w:val="auto"/>
              </w:rPr>
              <w:t>县科工商务局</w:t>
            </w:r>
          </w:p>
        </w:tc>
        <w:tc>
          <w:tcPr>
            <w:tcW w:w="3666" w:type="dxa"/>
            <w:vAlign w:val="center"/>
          </w:tcPr>
          <w:p>
            <w:pPr>
              <w:rPr>
                <w:rFonts w:asciiTheme="minorHAnsi" w:hAnsiTheme="minorHAnsi" w:cstheme="minorHAnsi"/>
                <w:b/>
                <w:bCs/>
                <w:color w:val="auto"/>
              </w:rPr>
            </w:pPr>
            <w:r>
              <w:rPr>
                <w:rFonts w:asciiTheme="minorHAnsi" w:hAnsiTheme="minorHAnsi" w:cstheme="minorHAnsi"/>
                <w:color w:val="auto"/>
              </w:rPr>
              <w:t>县发改局、交通运输局、农业农村局、邮政公司五华分公司</w:t>
            </w:r>
            <w:r>
              <w:rPr>
                <w:rFonts w:hint="eastAsia" w:asciiTheme="minorHAnsi" w:hAnsiTheme="minorHAnsi" w:cstheme="minorHAnsi"/>
                <w:color w:val="auto"/>
              </w:rPr>
              <w:t>、经济开发区管委会、公路事务中心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54" w:type="dxa"/>
            <w:vAlign w:val="center"/>
          </w:tcPr>
          <w:p>
            <w:pPr>
              <w:jc w:val="center"/>
              <w:rPr>
                <w:rFonts w:asciiTheme="minorHAnsi" w:hAnsiTheme="minorHAnsi" w:cstheme="minorHAnsi"/>
                <w:b/>
                <w:bCs/>
                <w:color w:val="auto"/>
              </w:rPr>
            </w:pPr>
            <w:r>
              <w:rPr>
                <w:rFonts w:asciiTheme="minorHAnsi" w:hAnsiTheme="minorHAnsi" w:cstheme="minorHAnsi"/>
                <w:b/>
                <w:bCs/>
                <w:color w:val="auto"/>
              </w:rPr>
              <w:t>5</w:t>
            </w:r>
          </w:p>
        </w:tc>
        <w:tc>
          <w:tcPr>
            <w:tcW w:w="2253" w:type="dxa"/>
            <w:vAlign w:val="center"/>
          </w:tcPr>
          <w:p>
            <w:pPr>
              <w:jc w:val="left"/>
              <w:rPr>
                <w:rFonts w:asciiTheme="minorHAnsi" w:hAnsiTheme="minorHAnsi" w:cstheme="minorHAnsi"/>
                <w:b/>
                <w:bCs/>
                <w:color w:val="auto"/>
              </w:rPr>
            </w:pPr>
            <w:r>
              <w:rPr>
                <w:rFonts w:asciiTheme="minorHAnsi" w:hAnsiTheme="minorHAnsi" w:cstheme="minorHAnsi"/>
                <w:color w:val="auto"/>
              </w:rPr>
              <w:t>推动农村电商与精准扶贫联动发展</w:t>
            </w:r>
          </w:p>
        </w:tc>
        <w:tc>
          <w:tcPr>
            <w:tcW w:w="2027" w:type="dxa"/>
            <w:vAlign w:val="center"/>
          </w:tcPr>
          <w:p>
            <w:pPr>
              <w:jc w:val="center"/>
              <w:rPr>
                <w:rFonts w:asciiTheme="minorHAnsi" w:hAnsiTheme="minorHAnsi" w:cstheme="minorHAnsi"/>
                <w:b/>
                <w:bCs/>
                <w:color w:val="auto"/>
              </w:rPr>
            </w:pPr>
            <w:r>
              <w:rPr>
                <w:rFonts w:asciiTheme="minorHAnsi" w:hAnsiTheme="minorHAnsi" w:cstheme="minorHAnsi"/>
                <w:color w:val="auto"/>
              </w:rPr>
              <w:t>县科工商务局</w:t>
            </w:r>
          </w:p>
        </w:tc>
        <w:tc>
          <w:tcPr>
            <w:tcW w:w="3666" w:type="dxa"/>
            <w:vAlign w:val="center"/>
          </w:tcPr>
          <w:p>
            <w:pPr>
              <w:rPr>
                <w:rFonts w:asciiTheme="minorHAnsi" w:hAnsiTheme="minorHAnsi" w:cstheme="minorHAnsi"/>
                <w:b/>
                <w:bCs/>
                <w:color w:val="auto"/>
              </w:rPr>
            </w:pPr>
            <w:r>
              <w:rPr>
                <w:rFonts w:asciiTheme="minorHAnsi" w:hAnsiTheme="minorHAnsi" w:cstheme="minorHAnsi"/>
                <w:color w:val="auto"/>
              </w:rPr>
              <w:t>县农业农村局、供销社、邮政公司五华分公司、市场监管局</w:t>
            </w:r>
            <w:r>
              <w:rPr>
                <w:rFonts w:hint="eastAsia" w:asciiTheme="minorHAnsi" w:hAnsiTheme="minorHAnsi" w:cstheme="minorHAnsi"/>
                <w:color w:val="auto"/>
              </w:rPr>
              <w:t>、经济开发区管委会、公路事务中心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54" w:type="dxa"/>
            <w:vAlign w:val="center"/>
          </w:tcPr>
          <w:p>
            <w:pPr>
              <w:jc w:val="center"/>
              <w:rPr>
                <w:rFonts w:asciiTheme="minorHAnsi" w:hAnsiTheme="minorHAnsi" w:cstheme="minorHAnsi"/>
                <w:b/>
                <w:bCs/>
                <w:color w:val="auto"/>
              </w:rPr>
            </w:pPr>
            <w:r>
              <w:rPr>
                <w:rFonts w:asciiTheme="minorHAnsi" w:hAnsiTheme="minorHAnsi" w:cstheme="minorHAnsi"/>
                <w:b/>
                <w:bCs/>
                <w:color w:val="auto"/>
              </w:rPr>
              <w:t>6</w:t>
            </w:r>
          </w:p>
        </w:tc>
        <w:tc>
          <w:tcPr>
            <w:tcW w:w="2253" w:type="dxa"/>
            <w:vAlign w:val="center"/>
          </w:tcPr>
          <w:p>
            <w:pPr>
              <w:jc w:val="left"/>
              <w:rPr>
                <w:rFonts w:asciiTheme="minorHAnsi" w:hAnsiTheme="minorHAnsi" w:cstheme="minorHAnsi"/>
                <w:b/>
                <w:bCs/>
                <w:color w:val="auto"/>
              </w:rPr>
            </w:pPr>
            <w:r>
              <w:rPr>
                <w:rFonts w:asciiTheme="minorHAnsi" w:hAnsiTheme="minorHAnsi" w:cstheme="minorHAnsi"/>
                <w:color w:val="auto"/>
              </w:rPr>
              <w:t>推动农村物流提升管理水平</w:t>
            </w:r>
          </w:p>
        </w:tc>
        <w:tc>
          <w:tcPr>
            <w:tcW w:w="2027" w:type="dxa"/>
            <w:vAlign w:val="center"/>
          </w:tcPr>
          <w:p>
            <w:pPr>
              <w:jc w:val="center"/>
              <w:rPr>
                <w:rFonts w:asciiTheme="minorHAnsi" w:hAnsiTheme="minorHAnsi" w:cstheme="minorHAnsi"/>
                <w:b/>
                <w:bCs/>
                <w:color w:val="auto"/>
              </w:rPr>
            </w:pPr>
            <w:r>
              <w:rPr>
                <w:rFonts w:asciiTheme="minorHAnsi" w:hAnsiTheme="minorHAnsi" w:cstheme="minorHAnsi"/>
                <w:color w:val="auto"/>
              </w:rPr>
              <w:t>县科工商务局</w:t>
            </w:r>
          </w:p>
        </w:tc>
        <w:tc>
          <w:tcPr>
            <w:tcW w:w="3666" w:type="dxa"/>
            <w:vAlign w:val="center"/>
          </w:tcPr>
          <w:p>
            <w:pPr>
              <w:rPr>
                <w:rFonts w:asciiTheme="minorHAnsi" w:hAnsiTheme="minorHAnsi" w:cstheme="minorHAnsi"/>
                <w:b/>
                <w:bCs/>
                <w:color w:val="auto"/>
              </w:rPr>
            </w:pPr>
            <w:r>
              <w:rPr>
                <w:rFonts w:asciiTheme="minorHAnsi" w:hAnsiTheme="minorHAnsi" w:cstheme="minorHAnsi"/>
                <w:color w:val="auto"/>
              </w:rPr>
              <w:t>县人社局、农业农村局、邮政公司五华分公司</w:t>
            </w:r>
            <w:r>
              <w:rPr>
                <w:rFonts w:hint="eastAsia" w:asciiTheme="minorHAnsi" w:hAnsiTheme="minorHAnsi" w:cstheme="minorHAnsi"/>
                <w:color w:val="auto"/>
              </w:rPr>
              <w:t>、经济开发区管委会、</w:t>
            </w:r>
            <w:r>
              <w:rPr>
                <w:rFonts w:asciiTheme="minorHAnsi" w:hAnsiTheme="minorHAnsi" w:cstheme="minorHAnsi"/>
                <w:color w:val="auto"/>
              </w:rPr>
              <w:t>交通运输局</w:t>
            </w:r>
            <w:r>
              <w:rPr>
                <w:rFonts w:hint="eastAsia" w:asciiTheme="minorHAnsi" w:hAnsiTheme="minorHAnsi" w:cstheme="minorHAnsi"/>
                <w:color w:val="auto"/>
              </w:rPr>
              <w:t>、公路事务中心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54" w:type="dxa"/>
            <w:vAlign w:val="center"/>
          </w:tcPr>
          <w:p>
            <w:pPr>
              <w:jc w:val="center"/>
              <w:rPr>
                <w:rFonts w:asciiTheme="minorHAnsi" w:hAnsiTheme="minorHAnsi" w:cstheme="minorHAnsi"/>
                <w:b/>
                <w:bCs/>
                <w:color w:val="auto"/>
              </w:rPr>
            </w:pPr>
            <w:r>
              <w:rPr>
                <w:rFonts w:asciiTheme="minorHAnsi" w:hAnsiTheme="minorHAnsi" w:cstheme="minorHAnsi"/>
                <w:b/>
                <w:bCs/>
                <w:color w:val="auto"/>
              </w:rPr>
              <w:t>7</w:t>
            </w:r>
          </w:p>
        </w:tc>
        <w:tc>
          <w:tcPr>
            <w:tcW w:w="2253" w:type="dxa"/>
            <w:vAlign w:val="center"/>
          </w:tcPr>
          <w:p>
            <w:pPr>
              <w:jc w:val="left"/>
              <w:rPr>
                <w:rFonts w:asciiTheme="minorHAnsi" w:hAnsiTheme="minorHAnsi" w:cstheme="minorHAnsi"/>
                <w:b/>
                <w:bCs/>
                <w:color w:val="auto"/>
              </w:rPr>
            </w:pPr>
            <w:r>
              <w:rPr>
                <w:rFonts w:asciiTheme="minorHAnsi" w:hAnsiTheme="minorHAnsi" w:cstheme="minorHAnsi"/>
                <w:color w:val="auto"/>
              </w:rPr>
              <w:t>农村物流节点体系建设工程</w:t>
            </w:r>
          </w:p>
        </w:tc>
        <w:tc>
          <w:tcPr>
            <w:tcW w:w="2027" w:type="dxa"/>
            <w:vAlign w:val="center"/>
          </w:tcPr>
          <w:p>
            <w:pPr>
              <w:jc w:val="center"/>
              <w:rPr>
                <w:rFonts w:asciiTheme="minorHAnsi" w:hAnsiTheme="minorHAnsi" w:cstheme="minorHAnsi"/>
                <w:b/>
                <w:bCs/>
                <w:color w:val="auto"/>
              </w:rPr>
            </w:pPr>
            <w:r>
              <w:rPr>
                <w:rFonts w:asciiTheme="minorHAnsi" w:hAnsiTheme="minorHAnsi" w:cstheme="minorHAnsi"/>
                <w:color w:val="auto"/>
              </w:rPr>
              <w:t>县农业农村局</w:t>
            </w:r>
          </w:p>
        </w:tc>
        <w:tc>
          <w:tcPr>
            <w:tcW w:w="3666" w:type="dxa"/>
            <w:vAlign w:val="center"/>
          </w:tcPr>
          <w:p>
            <w:pPr>
              <w:rPr>
                <w:rFonts w:asciiTheme="minorHAnsi" w:hAnsiTheme="minorHAnsi" w:cstheme="minorHAnsi"/>
                <w:b/>
                <w:bCs/>
                <w:color w:val="auto"/>
              </w:rPr>
            </w:pPr>
            <w:r>
              <w:rPr>
                <w:rFonts w:asciiTheme="minorHAnsi" w:hAnsiTheme="minorHAnsi" w:cstheme="minorHAnsi"/>
                <w:color w:val="auto"/>
              </w:rPr>
              <w:t>县科工商务局、发改局、交通运输局、供销社、邮政公司五华分公司</w:t>
            </w:r>
            <w:r>
              <w:rPr>
                <w:rFonts w:hint="eastAsia" w:asciiTheme="minorHAnsi" w:hAnsiTheme="minorHAnsi" w:cstheme="minorHAnsi"/>
                <w:color w:val="auto"/>
              </w:rPr>
              <w:t>、经济开发区管委会、公路事务中心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854" w:type="dxa"/>
            <w:vAlign w:val="center"/>
          </w:tcPr>
          <w:p>
            <w:pPr>
              <w:jc w:val="center"/>
              <w:rPr>
                <w:rFonts w:asciiTheme="minorHAnsi" w:hAnsiTheme="minorHAnsi" w:cstheme="minorHAnsi"/>
                <w:b/>
                <w:bCs/>
                <w:color w:val="auto"/>
              </w:rPr>
            </w:pPr>
            <w:r>
              <w:rPr>
                <w:rFonts w:asciiTheme="minorHAnsi" w:hAnsiTheme="minorHAnsi" w:cstheme="minorHAnsi"/>
                <w:b/>
                <w:bCs/>
                <w:color w:val="auto"/>
              </w:rPr>
              <w:t>8</w:t>
            </w:r>
          </w:p>
        </w:tc>
        <w:tc>
          <w:tcPr>
            <w:tcW w:w="2253" w:type="dxa"/>
            <w:vAlign w:val="center"/>
          </w:tcPr>
          <w:p>
            <w:pPr>
              <w:jc w:val="left"/>
              <w:rPr>
                <w:rFonts w:asciiTheme="minorHAnsi" w:hAnsiTheme="minorHAnsi" w:cstheme="minorHAnsi"/>
                <w:b/>
                <w:bCs/>
                <w:color w:val="auto"/>
              </w:rPr>
            </w:pPr>
            <w:r>
              <w:rPr>
                <w:rFonts w:asciiTheme="minorHAnsi" w:hAnsiTheme="minorHAnsi" w:cstheme="minorHAnsi"/>
                <w:color w:val="auto"/>
              </w:rPr>
              <w:t>农村物流标准化建设工程</w:t>
            </w:r>
          </w:p>
        </w:tc>
        <w:tc>
          <w:tcPr>
            <w:tcW w:w="2027" w:type="dxa"/>
            <w:vAlign w:val="center"/>
          </w:tcPr>
          <w:p>
            <w:pPr>
              <w:jc w:val="center"/>
              <w:rPr>
                <w:rFonts w:asciiTheme="minorHAnsi" w:hAnsiTheme="minorHAnsi" w:cstheme="minorHAnsi"/>
                <w:b/>
                <w:bCs/>
                <w:color w:val="auto"/>
              </w:rPr>
            </w:pPr>
            <w:r>
              <w:rPr>
                <w:rFonts w:hint="eastAsia" w:asciiTheme="minorHAnsi" w:hAnsiTheme="minorHAnsi" w:cstheme="minorHAnsi"/>
                <w:color w:val="auto"/>
              </w:rPr>
              <w:t>县</w:t>
            </w:r>
            <w:r>
              <w:rPr>
                <w:rFonts w:asciiTheme="minorHAnsi" w:hAnsiTheme="minorHAnsi" w:cstheme="minorHAnsi"/>
                <w:color w:val="auto"/>
              </w:rPr>
              <w:t>农业农村局</w:t>
            </w:r>
          </w:p>
        </w:tc>
        <w:tc>
          <w:tcPr>
            <w:tcW w:w="3666" w:type="dxa"/>
            <w:vAlign w:val="center"/>
          </w:tcPr>
          <w:p>
            <w:pPr>
              <w:rPr>
                <w:rFonts w:asciiTheme="minorHAnsi" w:hAnsiTheme="minorHAnsi" w:cstheme="minorHAnsi"/>
                <w:b/>
                <w:bCs/>
                <w:color w:val="auto"/>
              </w:rPr>
            </w:pPr>
            <w:r>
              <w:rPr>
                <w:rFonts w:asciiTheme="minorHAnsi" w:hAnsiTheme="minorHAnsi" w:cstheme="minorHAnsi"/>
                <w:color w:val="auto"/>
              </w:rPr>
              <w:t>县市场监管局、县科工商务局、供销社、邮政公司五华分公司</w:t>
            </w:r>
            <w:r>
              <w:rPr>
                <w:rFonts w:hint="eastAsia" w:asciiTheme="minorHAnsi" w:hAnsiTheme="minorHAnsi" w:cstheme="minorHAnsi"/>
                <w:color w:val="auto"/>
              </w:rPr>
              <w:t>、经济开发区管委会、公路事务中心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54" w:type="dxa"/>
            <w:vAlign w:val="center"/>
          </w:tcPr>
          <w:p>
            <w:pPr>
              <w:jc w:val="center"/>
              <w:rPr>
                <w:rFonts w:asciiTheme="minorHAnsi" w:hAnsiTheme="minorHAnsi" w:cstheme="minorHAnsi"/>
                <w:b/>
                <w:bCs/>
                <w:color w:val="auto"/>
              </w:rPr>
            </w:pPr>
            <w:r>
              <w:rPr>
                <w:rFonts w:asciiTheme="minorHAnsi" w:hAnsiTheme="minorHAnsi" w:cstheme="minorHAnsi"/>
                <w:b/>
                <w:bCs/>
                <w:color w:val="auto"/>
              </w:rPr>
              <w:t>9</w:t>
            </w:r>
          </w:p>
        </w:tc>
        <w:tc>
          <w:tcPr>
            <w:tcW w:w="2253" w:type="dxa"/>
            <w:vAlign w:val="center"/>
          </w:tcPr>
          <w:p>
            <w:pPr>
              <w:jc w:val="left"/>
              <w:rPr>
                <w:rFonts w:asciiTheme="minorHAnsi" w:hAnsiTheme="minorHAnsi" w:cstheme="minorHAnsi"/>
                <w:b/>
                <w:bCs/>
                <w:color w:val="auto"/>
              </w:rPr>
            </w:pPr>
            <w:r>
              <w:rPr>
                <w:rFonts w:asciiTheme="minorHAnsi" w:hAnsiTheme="minorHAnsi" w:cstheme="minorHAnsi"/>
                <w:color w:val="auto"/>
              </w:rPr>
              <w:t>农产品冷链物流建设工程</w:t>
            </w:r>
          </w:p>
        </w:tc>
        <w:tc>
          <w:tcPr>
            <w:tcW w:w="2027" w:type="dxa"/>
            <w:vAlign w:val="center"/>
          </w:tcPr>
          <w:p>
            <w:pPr>
              <w:jc w:val="center"/>
              <w:rPr>
                <w:rFonts w:asciiTheme="minorHAnsi" w:hAnsiTheme="minorHAnsi" w:cstheme="minorHAnsi"/>
                <w:b/>
                <w:bCs/>
                <w:color w:val="auto"/>
              </w:rPr>
            </w:pPr>
            <w:r>
              <w:rPr>
                <w:rFonts w:asciiTheme="minorHAnsi" w:hAnsiTheme="minorHAnsi" w:cstheme="minorHAnsi"/>
                <w:color w:val="auto"/>
              </w:rPr>
              <w:t>县科工商务局</w:t>
            </w:r>
          </w:p>
        </w:tc>
        <w:tc>
          <w:tcPr>
            <w:tcW w:w="3666" w:type="dxa"/>
            <w:vAlign w:val="center"/>
          </w:tcPr>
          <w:p>
            <w:pPr>
              <w:rPr>
                <w:rFonts w:asciiTheme="minorHAnsi" w:hAnsiTheme="minorHAnsi" w:cstheme="minorHAnsi"/>
                <w:b/>
                <w:bCs/>
                <w:color w:val="auto"/>
              </w:rPr>
            </w:pPr>
            <w:r>
              <w:rPr>
                <w:rFonts w:asciiTheme="minorHAnsi" w:hAnsiTheme="minorHAnsi" w:cstheme="minorHAnsi"/>
                <w:color w:val="auto"/>
              </w:rPr>
              <w:t>县农业农村局、邮政公司五华分公司</w:t>
            </w:r>
            <w:r>
              <w:rPr>
                <w:rFonts w:hint="eastAsia" w:asciiTheme="minorHAnsi" w:hAnsiTheme="minorHAnsi" w:cstheme="minorHAnsi"/>
                <w:color w:val="auto"/>
              </w:rPr>
              <w:t>、经济开发区管委会、公路事务中心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54" w:type="dxa"/>
            <w:vAlign w:val="center"/>
          </w:tcPr>
          <w:p>
            <w:pPr>
              <w:jc w:val="center"/>
              <w:rPr>
                <w:rFonts w:asciiTheme="minorHAnsi" w:hAnsiTheme="minorHAnsi" w:cstheme="minorHAnsi"/>
                <w:b/>
                <w:bCs/>
                <w:color w:val="auto"/>
              </w:rPr>
            </w:pPr>
            <w:r>
              <w:rPr>
                <w:rFonts w:asciiTheme="minorHAnsi" w:hAnsiTheme="minorHAnsi" w:cstheme="minorHAnsi"/>
                <w:b/>
                <w:bCs/>
                <w:color w:val="auto"/>
              </w:rPr>
              <w:t>10</w:t>
            </w:r>
          </w:p>
        </w:tc>
        <w:tc>
          <w:tcPr>
            <w:tcW w:w="2253" w:type="dxa"/>
            <w:vAlign w:val="center"/>
          </w:tcPr>
          <w:p>
            <w:pPr>
              <w:jc w:val="left"/>
              <w:rPr>
                <w:rFonts w:asciiTheme="minorHAnsi" w:hAnsiTheme="minorHAnsi" w:cstheme="minorHAnsi"/>
                <w:b/>
                <w:bCs/>
                <w:color w:val="auto"/>
              </w:rPr>
            </w:pPr>
            <w:r>
              <w:rPr>
                <w:rFonts w:asciiTheme="minorHAnsi" w:hAnsiTheme="minorHAnsi" w:cstheme="minorHAnsi"/>
                <w:color w:val="auto"/>
              </w:rPr>
              <w:t>农村电商物流建设工程</w:t>
            </w:r>
          </w:p>
        </w:tc>
        <w:tc>
          <w:tcPr>
            <w:tcW w:w="2027" w:type="dxa"/>
            <w:vAlign w:val="center"/>
          </w:tcPr>
          <w:p>
            <w:pPr>
              <w:jc w:val="center"/>
              <w:rPr>
                <w:rFonts w:asciiTheme="minorHAnsi" w:hAnsiTheme="minorHAnsi" w:cstheme="minorHAnsi"/>
                <w:b/>
                <w:bCs/>
                <w:color w:val="auto"/>
              </w:rPr>
            </w:pPr>
            <w:r>
              <w:rPr>
                <w:rFonts w:asciiTheme="minorHAnsi" w:hAnsiTheme="minorHAnsi" w:cstheme="minorHAnsi"/>
                <w:color w:val="auto"/>
              </w:rPr>
              <w:t>县科工商务局</w:t>
            </w:r>
          </w:p>
        </w:tc>
        <w:tc>
          <w:tcPr>
            <w:tcW w:w="3666" w:type="dxa"/>
            <w:vAlign w:val="center"/>
          </w:tcPr>
          <w:p>
            <w:pPr>
              <w:rPr>
                <w:rFonts w:asciiTheme="minorHAnsi" w:hAnsiTheme="minorHAnsi" w:cstheme="minorHAnsi"/>
                <w:b/>
                <w:bCs/>
                <w:color w:val="auto"/>
              </w:rPr>
            </w:pPr>
            <w:r>
              <w:rPr>
                <w:rFonts w:asciiTheme="minorHAnsi" w:hAnsiTheme="minorHAnsi" w:cstheme="minorHAnsi"/>
                <w:color w:val="auto"/>
              </w:rPr>
              <w:t>县农业农村局、市场监管局、人社局</w:t>
            </w:r>
            <w:r>
              <w:rPr>
                <w:rFonts w:hint="eastAsia" w:asciiTheme="minorHAnsi" w:hAnsiTheme="minorHAnsi" w:cstheme="minorHAnsi"/>
                <w:color w:val="auto"/>
              </w:rPr>
              <w:t>、经济开发区管委会、公路事务中心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54" w:type="dxa"/>
            <w:vAlign w:val="center"/>
          </w:tcPr>
          <w:p>
            <w:pPr>
              <w:jc w:val="center"/>
              <w:rPr>
                <w:rFonts w:asciiTheme="minorHAnsi" w:hAnsiTheme="minorHAnsi" w:cstheme="minorHAnsi"/>
                <w:b/>
                <w:bCs/>
                <w:color w:val="auto"/>
              </w:rPr>
            </w:pPr>
            <w:r>
              <w:rPr>
                <w:rFonts w:asciiTheme="minorHAnsi" w:hAnsiTheme="minorHAnsi" w:cstheme="minorHAnsi"/>
                <w:b/>
                <w:bCs/>
                <w:color w:val="auto"/>
              </w:rPr>
              <w:t>11</w:t>
            </w:r>
          </w:p>
        </w:tc>
        <w:tc>
          <w:tcPr>
            <w:tcW w:w="2253" w:type="dxa"/>
            <w:vAlign w:val="center"/>
          </w:tcPr>
          <w:p>
            <w:pPr>
              <w:jc w:val="left"/>
              <w:rPr>
                <w:rFonts w:asciiTheme="minorHAnsi" w:hAnsiTheme="minorHAnsi" w:cstheme="minorHAnsi"/>
                <w:b/>
                <w:bCs/>
                <w:color w:val="auto"/>
              </w:rPr>
            </w:pPr>
            <w:r>
              <w:rPr>
                <w:rFonts w:asciiTheme="minorHAnsi" w:hAnsiTheme="minorHAnsi" w:cstheme="minorHAnsi"/>
                <w:color w:val="auto"/>
              </w:rPr>
              <w:t>农村物流信息平台建设工程</w:t>
            </w:r>
          </w:p>
        </w:tc>
        <w:tc>
          <w:tcPr>
            <w:tcW w:w="2027" w:type="dxa"/>
            <w:vAlign w:val="center"/>
          </w:tcPr>
          <w:p>
            <w:pPr>
              <w:jc w:val="center"/>
              <w:rPr>
                <w:rFonts w:asciiTheme="minorHAnsi" w:hAnsiTheme="minorHAnsi" w:cstheme="minorHAnsi"/>
                <w:b/>
                <w:bCs/>
                <w:color w:val="auto"/>
              </w:rPr>
            </w:pPr>
            <w:r>
              <w:rPr>
                <w:rFonts w:asciiTheme="minorHAnsi" w:hAnsiTheme="minorHAnsi" w:cstheme="minorHAnsi"/>
                <w:color w:val="auto"/>
              </w:rPr>
              <w:t>县科工商务局</w:t>
            </w:r>
          </w:p>
        </w:tc>
        <w:tc>
          <w:tcPr>
            <w:tcW w:w="3666" w:type="dxa"/>
            <w:vAlign w:val="center"/>
          </w:tcPr>
          <w:p>
            <w:pPr>
              <w:rPr>
                <w:rFonts w:asciiTheme="minorHAnsi" w:hAnsiTheme="minorHAnsi" w:cstheme="minorHAnsi"/>
                <w:b/>
                <w:bCs/>
                <w:color w:val="auto"/>
              </w:rPr>
            </w:pPr>
            <w:r>
              <w:rPr>
                <w:rFonts w:asciiTheme="minorHAnsi" w:hAnsiTheme="minorHAnsi" w:cstheme="minorHAnsi"/>
                <w:color w:val="auto"/>
              </w:rPr>
              <w:t>县交通运输局、农业农村局、供销社、市场监管局、邮政公司五华分公司</w:t>
            </w:r>
            <w:r>
              <w:rPr>
                <w:rFonts w:hint="eastAsia" w:asciiTheme="minorHAnsi" w:hAnsiTheme="minorHAnsi" w:cstheme="minorHAnsi"/>
                <w:color w:val="auto"/>
              </w:rPr>
              <w:t>、经济开发区管委会、公路事务中心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854" w:type="dxa"/>
            <w:vAlign w:val="center"/>
          </w:tcPr>
          <w:p>
            <w:pPr>
              <w:jc w:val="center"/>
              <w:rPr>
                <w:rFonts w:asciiTheme="minorHAnsi" w:hAnsiTheme="minorHAnsi" w:cstheme="minorHAnsi"/>
                <w:b/>
                <w:bCs/>
                <w:color w:val="auto"/>
              </w:rPr>
            </w:pPr>
            <w:r>
              <w:rPr>
                <w:rFonts w:asciiTheme="minorHAnsi" w:hAnsiTheme="minorHAnsi" w:cstheme="minorHAnsi"/>
                <w:b/>
                <w:bCs/>
                <w:color w:val="auto"/>
              </w:rPr>
              <w:t>12</w:t>
            </w:r>
          </w:p>
        </w:tc>
        <w:tc>
          <w:tcPr>
            <w:tcW w:w="2253" w:type="dxa"/>
            <w:vAlign w:val="center"/>
          </w:tcPr>
          <w:p>
            <w:pPr>
              <w:jc w:val="left"/>
              <w:rPr>
                <w:rFonts w:asciiTheme="minorHAnsi" w:hAnsiTheme="minorHAnsi" w:cstheme="minorHAnsi"/>
                <w:b/>
                <w:bCs/>
                <w:color w:val="auto"/>
              </w:rPr>
            </w:pPr>
            <w:r>
              <w:rPr>
                <w:rFonts w:asciiTheme="minorHAnsi" w:hAnsiTheme="minorHAnsi" w:cstheme="minorHAnsi"/>
                <w:color w:val="auto"/>
              </w:rPr>
              <w:t>龙头企业培育工程</w:t>
            </w:r>
          </w:p>
        </w:tc>
        <w:tc>
          <w:tcPr>
            <w:tcW w:w="2027" w:type="dxa"/>
            <w:vAlign w:val="center"/>
          </w:tcPr>
          <w:p>
            <w:pPr>
              <w:jc w:val="center"/>
              <w:rPr>
                <w:rFonts w:asciiTheme="minorHAnsi" w:hAnsiTheme="minorHAnsi" w:cstheme="minorHAnsi"/>
                <w:b/>
                <w:bCs/>
                <w:color w:val="auto"/>
              </w:rPr>
            </w:pPr>
            <w:r>
              <w:rPr>
                <w:rFonts w:asciiTheme="minorHAnsi" w:hAnsiTheme="minorHAnsi" w:cstheme="minorHAnsi"/>
                <w:color w:val="auto"/>
              </w:rPr>
              <w:t>县农业农村局</w:t>
            </w:r>
          </w:p>
        </w:tc>
        <w:tc>
          <w:tcPr>
            <w:tcW w:w="3666" w:type="dxa"/>
            <w:vAlign w:val="center"/>
          </w:tcPr>
          <w:p>
            <w:pPr>
              <w:rPr>
                <w:rFonts w:asciiTheme="minorHAnsi" w:hAnsiTheme="minorHAnsi" w:cstheme="minorHAnsi"/>
                <w:b/>
                <w:bCs/>
                <w:color w:val="auto"/>
              </w:rPr>
            </w:pPr>
            <w:r>
              <w:rPr>
                <w:rFonts w:asciiTheme="minorHAnsi" w:hAnsiTheme="minorHAnsi" w:cstheme="minorHAnsi"/>
                <w:color w:val="auto"/>
              </w:rPr>
              <w:t>县科工商务局、交通运输局、供销社、市场监管局</w:t>
            </w:r>
            <w:r>
              <w:rPr>
                <w:rFonts w:hint="eastAsia" w:asciiTheme="minorHAnsi" w:hAnsiTheme="minorHAnsi" w:cstheme="minorHAnsi"/>
                <w:color w:val="auto"/>
              </w:rPr>
              <w:t>、经济开发区管委会、公路事务中心</w:t>
            </w:r>
          </w:p>
        </w:tc>
      </w:tr>
    </w:tbl>
    <w:p>
      <w:pPr>
        <w:rPr>
          <w:color w:val="auto"/>
          <w:sz w:val="28"/>
          <w:szCs w:val="28"/>
        </w:rPr>
      </w:pPr>
    </w:p>
    <w:sectPr>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cs="Times New Roman"/>
      </w:rPr>
    </w:pPr>
    <w:r>
      <w:fldChar w:fldCharType="begin"/>
    </w:r>
    <w:r>
      <w:instrText xml:space="preserve">PAGE   \* MERGEFORMAT</w:instrText>
    </w:r>
    <w:r>
      <w:fldChar w:fldCharType="separate"/>
    </w:r>
    <w:r>
      <w:rPr>
        <w:lang w:val="zh-CN"/>
      </w:rPr>
      <w:t>2</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FF2F44"/>
    <w:rsid w:val="0000496B"/>
    <w:rsid w:val="000122EE"/>
    <w:rsid w:val="00022112"/>
    <w:rsid w:val="00043704"/>
    <w:rsid w:val="00051096"/>
    <w:rsid w:val="000578AF"/>
    <w:rsid w:val="00062A04"/>
    <w:rsid w:val="00064741"/>
    <w:rsid w:val="000717F8"/>
    <w:rsid w:val="0007694E"/>
    <w:rsid w:val="00077EDB"/>
    <w:rsid w:val="000838FE"/>
    <w:rsid w:val="0008533D"/>
    <w:rsid w:val="00095894"/>
    <w:rsid w:val="000A5B89"/>
    <w:rsid w:val="000A6D21"/>
    <w:rsid w:val="000A6D34"/>
    <w:rsid w:val="000B2C30"/>
    <w:rsid w:val="000C3FE6"/>
    <w:rsid w:val="000D0B9F"/>
    <w:rsid w:val="000D4C05"/>
    <w:rsid w:val="000D50DE"/>
    <w:rsid w:val="000F1854"/>
    <w:rsid w:val="000F51AF"/>
    <w:rsid w:val="000F6738"/>
    <w:rsid w:val="00100D0B"/>
    <w:rsid w:val="00106005"/>
    <w:rsid w:val="001205A1"/>
    <w:rsid w:val="0012171E"/>
    <w:rsid w:val="00127B1A"/>
    <w:rsid w:val="00132D98"/>
    <w:rsid w:val="00135EFD"/>
    <w:rsid w:val="00141257"/>
    <w:rsid w:val="0014680D"/>
    <w:rsid w:val="00150572"/>
    <w:rsid w:val="001574DF"/>
    <w:rsid w:val="001610D6"/>
    <w:rsid w:val="00180442"/>
    <w:rsid w:val="001935B2"/>
    <w:rsid w:val="001977FE"/>
    <w:rsid w:val="001B4EF7"/>
    <w:rsid w:val="001B5CDD"/>
    <w:rsid w:val="001C7CA1"/>
    <w:rsid w:val="001D7BE5"/>
    <w:rsid w:val="001E1150"/>
    <w:rsid w:val="001E4740"/>
    <w:rsid w:val="001E69C0"/>
    <w:rsid w:val="001E7A52"/>
    <w:rsid w:val="001F4ECA"/>
    <w:rsid w:val="002122FA"/>
    <w:rsid w:val="0021471A"/>
    <w:rsid w:val="002160E6"/>
    <w:rsid w:val="00230F74"/>
    <w:rsid w:val="00233927"/>
    <w:rsid w:val="00240522"/>
    <w:rsid w:val="002560E1"/>
    <w:rsid w:val="00271A07"/>
    <w:rsid w:val="002849FE"/>
    <w:rsid w:val="002B7996"/>
    <w:rsid w:val="002C0DDF"/>
    <w:rsid w:val="002D2220"/>
    <w:rsid w:val="002D7A68"/>
    <w:rsid w:val="002E4CE0"/>
    <w:rsid w:val="002E766E"/>
    <w:rsid w:val="00321B90"/>
    <w:rsid w:val="0032553A"/>
    <w:rsid w:val="00334C34"/>
    <w:rsid w:val="0034454B"/>
    <w:rsid w:val="003451BE"/>
    <w:rsid w:val="003710E7"/>
    <w:rsid w:val="00372DB1"/>
    <w:rsid w:val="00372E51"/>
    <w:rsid w:val="00375CBC"/>
    <w:rsid w:val="00380608"/>
    <w:rsid w:val="003817F1"/>
    <w:rsid w:val="003B6892"/>
    <w:rsid w:val="003C2227"/>
    <w:rsid w:val="003D7E38"/>
    <w:rsid w:val="003F7D7F"/>
    <w:rsid w:val="004022B8"/>
    <w:rsid w:val="00416083"/>
    <w:rsid w:val="00421F67"/>
    <w:rsid w:val="00424B56"/>
    <w:rsid w:val="00425A89"/>
    <w:rsid w:val="00431296"/>
    <w:rsid w:val="004427E7"/>
    <w:rsid w:val="0044431D"/>
    <w:rsid w:val="004535A3"/>
    <w:rsid w:val="004563B7"/>
    <w:rsid w:val="00461DE9"/>
    <w:rsid w:val="004760E8"/>
    <w:rsid w:val="004930FD"/>
    <w:rsid w:val="004A32D4"/>
    <w:rsid w:val="004B1EAC"/>
    <w:rsid w:val="004B71E2"/>
    <w:rsid w:val="004D0F38"/>
    <w:rsid w:val="004E1730"/>
    <w:rsid w:val="004E6E1B"/>
    <w:rsid w:val="00501384"/>
    <w:rsid w:val="00505F1C"/>
    <w:rsid w:val="00551F8A"/>
    <w:rsid w:val="005532E9"/>
    <w:rsid w:val="00556336"/>
    <w:rsid w:val="00565399"/>
    <w:rsid w:val="0056547B"/>
    <w:rsid w:val="00590D1D"/>
    <w:rsid w:val="00592263"/>
    <w:rsid w:val="005A09A2"/>
    <w:rsid w:val="005A3A7C"/>
    <w:rsid w:val="005B749F"/>
    <w:rsid w:val="005C4EED"/>
    <w:rsid w:val="005D0E89"/>
    <w:rsid w:val="005D2095"/>
    <w:rsid w:val="005E2EC8"/>
    <w:rsid w:val="005E380A"/>
    <w:rsid w:val="005E77EC"/>
    <w:rsid w:val="00605629"/>
    <w:rsid w:val="00605C4A"/>
    <w:rsid w:val="006275E1"/>
    <w:rsid w:val="006278E5"/>
    <w:rsid w:val="006349DB"/>
    <w:rsid w:val="006656EF"/>
    <w:rsid w:val="0067081A"/>
    <w:rsid w:val="00674EDA"/>
    <w:rsid w:val="006942A2"/>
    <w:rsid w:val="006A5DF2"/>
    <w:rsid w:val="006A65CB"/>
    <w:rsid w:val="006A7A7D"/>
    <w:rsid w:val="006B1F85"/>
    <w:rsid w:val="006B5200"/>
    <w:rsid w:val="006C0A46"/>
    <w:rsid w:val="006C3432"/>
    <w:rsid w:val="006D09EC"/>
    <w:rsid w:val="006D19C6"/>
    <w:rsid w:val="006E1EB0"/>
    <w:rsid w:val="0072123A"/>
    <w:rsid w:val="00736630"/>
    <w:rsid w:val="00737177"/>
    <w:rsid w:val="007534F6"/>
    <w:rsid w:val="007649EF"/>
    <w:rsid w:val="00770325"/>
    <w:rsid w:val="00771AC0"/>
    <w:rsid w:val="00783033"/>
    <w:rsid w:val="00785FB7"/>
    <w:rsid w:val="00793440"/>
    <w:rsid w:val="00793D61"/>
    <w:rsid w:val="007A011F"/>
    <w:rsid w:val="007A1247"/>
    <w:rsid w:val="007B3C4A"/>
    <w:rsid w:val="007B4B06"/>
    <w:rsid w:val="007D5D7E"/>
    <w:rsid w:val="007E18F6"/>
    <w:rsid w:val="007F053E"/>
    <w:rsid w:val="007F0F62"/>
    <w:rsid w:val="007F2EB0"/>
    <w:rsid w:val="00804AFC"/>
    <w:rsid w:val="00810561"/>
    <w:rsid w:val="008138A3"/>
    <w:rsid w:val="00824B09"/>
    <w:rsid w:val="00842632"/>
    <w:rsid w:val="00843650"/>
    <w:rsid w:val="008440AB"/>
    <w:rsid w:val="0085733D"/>
    <w:rsid w:val="00866113"/>
    <w:rsid w:val="00867BD8"/>
    <w:rsid w:val="008704A0"/>
    <w:rsid w:val="008743D1"/>
    <w:rsid w:val="008A5A69"/>
    <w:rsid w:val="008A6852"/>
    <w:rsid w:val="008C189F"/>
    <w:rsid w:val="008C313B"/>
    <w:rsid w:val="008C5956"/>
    <w:rsid w:val="008C74FB"/>
    <w:rsid w:val="008E05C8"/>
    <w:rsid w:val="008F554B"/>
    <w:rsid w:val="00901AAB"/>
    <w:rsid w:val="00905A2B"/>
    <w:rsid w:val="00907D92"/>
    <w:rsid w:val="00910F2B"/>
    <w:rsid w:val="00930193"/>
    <w:rsid w:val="009308E3"/>
    <w:rsid w:val="00931593"/>
    <w:rsid w:val="00945DD3"/>
    <w:rsid w:val="00950D5A"/>
    <w:rsid w:val="009606E5"/>
    <w:rsid w:val="009633FA"/>
    <w:rsid w:val="00963E15"/>
    <w:rsid w:val="009666FB"/>
    <w:rsid w:val="009710B0"/>
    <w:rsid w:val="00973B3F"/>
    <w:rsid w:val="009762C7"/>
    <w:rsid w:val="0098080F"/>
    <w:rsid w:val="009820ED"/>
    <w:rsid w:val="009A045F"/>
    <w:rsid w:val="009B2DBB"/>
    <w:rsid w:val="009B3B41"/>
    <w:rsid w:val="009B563A"/>
    <w:rsid w:val="009C0B79"/>
    <w:rsid w:val="009C1F1C"/>
    <w:rsid w:val="009C2991"/>
    <w:rsid w:val="009C5067"/>
    <w:rsid w:val="009C7A30"/>
    <w:rsid w:val="009D7B0A"/>
    <w:rsid w:val="009E6262"/>
    <w:rsid w:val="00A01A43"/>
    <w:rsid w:val="00A10310"/>
    <w:rsid w:val="00A120F2"/>
    <w:rsid w:val="00A27E63"/>
    <w:rsid w:val="00A301FC"/>
    <w:rsid w:val="00A364F0"/>
    <w:rsid w:val="00A40885"/>
    <w:rsid w:val="00A4488B"/>
    <w:rsid w:val="00A5163D"/>
    <w:rsid w:val="00A6310F"/>
    <w:rsid w:val="00A65F4F"/>
    <w:rsid w:val="00A667C6"/>
    <w:rsid w:val="00A727C0"/>
    <w:rsid w:val="00A74D16"/>
    <w:rsid w:val="00A74FCA"/>
    <w:rsid w:val="00A83AED"/>
    <w:rsid w:val="00A8414E"/>
    <w:rsid w:val="00A84ADA"/>
    <w:rsid w:val="00A9042A"/>
    <w:rsid w:val="00A949E3"/>
    <w:rsid w:val="00A971EE"/>
    <w:rsid w:val="00A9736F"/>
    <w:rsid w:val="00A97F81"/>
    <w:rsid w:val="00AA6195"/>
    <w:rsid w:val="00AA755C"/>
    <w:rsid w:val="00AD1038"/>
    <w:rsid w:val="00AD3741"/>
    <w:rsid w:val="00AD55AD"/>
    <w:rsid w:val="00AD6413"/>
    <w:rsid w:val="00AE3F63"/>
    <w:rsid w:val="00AF4427"/>
    <w:rsid w:val="00AF7D64"/>
    <w:rsid w:val="00AF7FD9"/>
    <w:rsid w:val="00B104A8"/>
    <w:rsid w:val="00B31235"/>
    <w:rsid w:val="00B31F89"/>
    <w:rsid w:val="00B36BA8"/>
    <w:rsid w:val="00B42E64"/>
    <w:rsid w:val="00B4685C"/>
    <w:rsid w:val="00B60BAF"/>
    <w:rsid w:val="00B62419"/>
    <w:rsid w:val="00B66289"/>
    <w:rsid w:val="00B67BD4"/>
    <w:rsid w:val="00B71091"/>
    <w:rsid w:val="00B814D9"/>
    <w:rsid w:val="00B8712F"/>
    <w:rsid w:val="00BD3417"/>
    <w:rsid w:val="00BD49F2"/>
    <w:rsid w:val="00BE7D2C"/>
    <w:rsid w:val="00BF35E9"/>
    <w:rsid w:val="00BF392B"/>
    <w:rsid w:val="00BF51F2"/>
    <w:rsid w:val="00BF5A4D"/>
    <w:rsid w:val="00BF784C"/>
    <w:rsid w:val="00C00650"/>
    <w:rsid w:val="00C03599"/>
    <w:rsid w:val="00C06B6D"/>
    <w:rsid w:val="00C231A4"/>
    <w:rsid w:val="00C323EA"/>
    <w:rsid w:val="00C33694"/>
    <w:rsid w:val="00C45CF8"/>
    <w:rsid w:val="00C470BD"/>
    <w:rsid w:val="00C50018"/>
    <w:rsid w:val="00C53B0B"/>
    <w:rsid w:val="00C53FB4"/>
    <w:rsid w:val="00C547C5"/>
    <w:rsid w:val="00C55EF2"/>
    <w:rsid w:val="00C57841"/>
    <w:rsid w:val="00C631B8"/>
    <w:rsid w:val="00C72E39"/>
    <w:rsid w:val="00C76BBF"/>
    <w:rsid w:val="00C93B2C"/>
    <w:rsid w:val="00CB18AE"/>
    <w:rsid w:val="00CB22A3"/>
    <w:rsid w:val="00CF4F0C"/>
    <w:rsid w:val="00D2337F"/>
    <w:rsid w:val="00D33AD3"/>
    <w:rsid w:val="00D40B47"/>
    <w:rsid w:val="00D42557"/>
    <w:rsid w:val="00D43EA9"/>
    <w:rsid w:val="00D45CE2"/>
    <w:rsid w:val="00D500EC"/>
    <w:rsid w:val="00D632B9"/>
    <w:rsid w:val="00DA026C"/>
    <w:rsid w:val="00DC2BBB"/>
    <w:rsid w:val="00DC728C"/>
    <w:rsid w:val="00DD25FC"/>
    <w:rsid w:val="00DD6CDB"/>
    <w:rsid w:val="00E052D8"/>
    <w:rsid w:val="00E06352"/>
    <w:rsid w:val="00E13CE9"/>
    <w:rsid w:val="00E1799F"/>
    <w:rsid w:val="00E2727C"/>
    <w:rsid w:val="00E34520"/>
    <w:rsid w:val="00E41D99"/>
    <w:rsid w:val="00E525CC"/>
    <w:rsid w:val="00E539BD"/>
    <w:rsid w:val="00E54616"/>
    <w:rsid w:val="00E815CB"/>
    <w:rsid w:val="00E866FE"/>
    <w:rsid w:val="00E9235A"/>
    <w:rsid w:val="00EA5F25"/>
    <w:rsid w:val="00EB0ED8"/>
    <w:rsid w:val="00EB5149"/>
    <w:rsid w:val="00EB62B2"/>
    <w:rsid w:val="00EC2981"/>
    <w:rsid w:val="00EC5339"/>
    <w:rsid w:val="00ED1404"/>
    <w:rsid w:val="00EE43D3"/>
    <w:rsid w:val="00F0673B"/>
    <w:rsid w:val="00F15F45"/>
    <w:rsid w:val="00F31250"/>
    <w:rsid w:val="00F45B5F"/>
    <w:rsid w:val="00F65AFE"/>
    <w:rsid w:val="00F66EB8"/>
    <w:rsid w:val="00F730D2"/>
    <w:rsid w:val="00F87AF5"/>
    <w:rsid w:val="00F914E8"/>
    <w:rsid w:val="00F9404E"/>
    <w:rsid w:val="00FC7DFA"/>
    <w:rsid w:val="00FE1103"/>
    <w:rsid w:val="00FE4E2B"/>
    <w:rsid w:val="00FF2ECA"/>
    <w:rsid w:val="00FF77FF"/>
    <w:rsid w:val="01257C95"/>
    <w:rsid w:val="01B9617B"/>
    <w:rsid w:val="02806505"/>
    <w:rsid w:val="02E7664E"/>
    <w:rsid w:val="03741544"/>
    <w:rsid w:val="0395017A"/>
    <w:rsid w:val="040D031E"/>
    <w:rsid w:val="041D6961"/>
    <w:rsid w:val="04873ADA"/>
    <w:rsid w:val="0493330D"/>
    <w:rsid w:val="05253F27"/>
    <w:rsid w:val="05DA04D6"/>
    <w:rsid w:val="063F2D36"/>
    <w:rsid w:val="06FE019E"/>
    <w:rsid w:val="074516DE"/>
    <w:rsid w:val="07587876"/>
    <w:rsid w:val="07E67D52"/>
    <w:rsid w:val="07FA6623"/>
    <w:rsid w:val="08133260"/>
    <w:rsid w:val="08243B6A"/>
    <w:rsid w:val="0840738A"/>
    <w:rsid w:val="08503412"/>
    <w:rsid w:val="08CC4E0D"/>
    <w:rsid w:val="09CC0DCB"/>
    <w:rsid w:val="0A1E15FB"/>
    <w:rsid w:val="0B552F02"/>
    <w:rsid w:val="0B6D4634"/>
    <w:rsid w:val="0B7568EA"/>
    <w:rsid w:val="0B7941CB"/>
    <w:rsid w:val="0B7E4680"/>
    <w:rsid w:val="0C1A68D0"/>
    <w:rsid w:val="0D04590A"/>
    <w:rsid w:val="0D223E62"/>
    <w:rsid w:val="0D4E0F99"/>
    <w:rsid w:val="0D9F4C65"/>
    <w:rsid w:val="0DD31243"/>
    <w:rsid w:val="0DD43F37"/>
    <w:rsid w:val="0E824EF5"/>
    <w:rsid w:val="0ECC699D"/>
    <w:rsid w:val="0EDF1283"/>
    <w:rsid w:val="0F920160"/>
    <w:rsid w:val="0FAD2C39"/>
    <w:rsid w:val="0FF57C65"/>
    <w:rsid w:val="1042171C"/>
    <w:rsid w:val="105458FB"/>
    <w:rsid w:val="10F11DA9"/>
    <w:rsid w:val="112E7F1B"/>
    <w:rsid w:val="11CD7B52"/>
    <w:rsid w:val="11F96D11"/>
    <w:rsid w:val="128E4073"/>
    <w:rsid w:val="12B17749"/>
    <w:rsid w:val="134A147A"/>
    <w:rsid w:val="134B27FD"/>
    <w:rsid w:val="135823C0"/>
    <w:rsid w:val="135C0A6F"/>
    <w:rsid w:val="13E805A5"/>
    <w:rsid w:val="14913AEF"/>
    <w:rsid w:val="14AA2177"/>
    <w:rsid w:val="14B04107"/>
    <w:rsid w:val="153E5045"/>
    <w:rsid w:val="15520D9A"/>
    <w:rsid w:val="1587646A"/>
    <w:rsid w:val="158E1AC3"/>
    <w:rsid w:val="16540B23"/>
    <w:rsid w:val="166015D0"/>
    <w:rsid w:val="17264254"/>
    <w:rsid w:val="172E489D"/>
    <w:rsid w:val="176957D3"/>
    <w:rsid w:val="18880645"/>
    <w:rsid w:val="18AC284F"/>
    <w:rsid w:val="199D7ABF"/>
    <w:rsid w:val="19A85A4B"/>
    <w:rsid w:val="1A3B324F"/>
    <w:rsid w:val="1A4564DE"/>
    <w:rsid w:val="1A8A790D"/>
    <w:rsid w:val="1B4B075C"/>
    <w:rsid w:val="1C1B1C0C"/>
    <w:rsid w:val="1C2753C5"/>
    <w:rsid w:val="1CC82588"/>
    <w:rsid w:val="1EAA747D"/>
    <w:rsid w:val="1EF004A7"/>
    <w:rsid w:val="1F3F4021"/>
    <w:rsid w:val="1F837D23"/>
    <w:rsid w:val="1FDC2065"/>
    <w:rsid w:val="20107434"/>
    <w:rsid w:val="20174A5D"/>
    <w:rsid w:val="206068EB"/>
    <w:rsid w:val="20630521"/>
    <w:rsid w:val="207F0237"/>
    <w:rsid w:val="20B37A76"/>
    <w:rsid w:val="21751CF0"/>
    <w:rsid w:val="218906AB"/>
    <w:rsid w:val="224C1290"/>
    <w:rsid w:val="23865A2E"/>
    <w:rsid w:val="243E4D51"/>
    <w:rsid w:val="24E87254"/>
    <w:rsid w:val="25251E14"/>
    <w:rsid w:val="25911BBE"/>
    <w:rsid w:val="25C31A10"/>
    <w:rsid w:val="262A4B83"/>
    <w:rsid w:val="26367009"/>
    <w:rsid w:val="26B5228D"/>
    <w:rsid w:val="26DD4D6D"/>
    <w:rsid w:val="27330BA7"/>
    <w:rsid w:val="27331096"/>
    <w:rsid w:val="2809678F"/>
    <w:rsid w:val="28E21B06"/>
    <w:rsid w:val="29A16896"/>
    <w:rsid w:val="29A325C0"/>
    <w:rsid w:val="29D96173"/>
    <w:rsid w:val="29ED3BFA"/>
    <w:rsid w:val="2A100C01"/>
    <w:rsid w:val="2A740BA1"/>
    <w:rsid w:val="2ADA3F78"/>
    <w:rsid w:val="2AE4078D"/>
    <w:rsid w:val="2B030CC0"/>
    <w:rsid w:val="2B575CB1"/>
    <w:rsid w:val="2B840641"/>
    <w:rsid w:val="2B911FEB"/>
    <w:rsid w:val="2C1669EA"/>
    <w:rsid w:val="2CEE15FC"/>
    <w:rsid w:val="2DC522FA"/>
    <w:rsid w:val="2DFB6CBB"/>
    <w:rsid w:val="2E2470AF"/>
    <w:rsid w:val="2E42709E"/>
    <w:rsid w:val="2F2B3069"/>
    <w:rsid w:val="2F4D7887"/>
    <w:rsid w:val="2F65440B"/>
    <w:rsid w:val="2FA50221"/>
    <w:rsid w:val="2FE266DD"/>
    <w:rsid w:val="30423544"/>
    <w:rsid w:val="31DE70DB"/>
    <w:rsid w:val="32946A84"/>
    <w:rsid w:val="335D50DD"/>
    <w:rsid w:val="33C84F20"/>
    <w:rsid w:val="340654B6"/>
    <w:rsid w:val="345379B9"/>
    <w:rsid w:val="348403B5"/>
    <w:rsid w:val="34A36FBD"/>
    <w:rsid w:val="356F48E6"/>
    <w:rsid w:val="36C6393D"/>
    <w:rsid w:val="37051915"/>
    <w:rsid w:val="375D258B"/>
    <w:rsid w:val="381C5E33"/>
    <w:rsid w:val="383C65E0"/>
    <w:rsid w:val="38703603"/>
    <w:rsid w:val="38BA60AD"/>
    <w:rsid w:val="38FF5470"/>
    <w:rsid w:val="394C6903"/>
    <w:rsid w:val="3999363B"/>
    <w:rsid w:val="39EF3D12"/>
    <w:rsid w:val="3ACE26F8"/>
    <w:rsid w:val="3AF57941"/>
    <w:rsid w:val="3B1B3359"/>
    <w:rsid w:val="3B6F39F4"/>
    <w:rsid w:val="3BEE5DCF"/>
    <w:rsid w:val="3CA71511"/>
    <w:rsid w:val="3CAC2D4A"/>
    <w:rsid w:val="3CED549C"/>
    <w:rsid w:val="3D01067D"/>
    <w:rsid w:val="3D01609F"/>
    <w:rsid w:val="3DAA1E4E"/>
    <w:rsid w:val="3DFE4762"/>
    <w:rsid w:val="3DFF7C66"/>
    <w:rsid w:val="3E560CF6"/>
    <w:rsid w:val="3E676DB9"/>
    <w:rsid w:val="3EA71975"/>
    <w:rsid w:val="3EB63598"/>
    <w:rsid w:val="3EDA6748"/>
    <w:rsid w:val="3F0872B1"/>
    <w:rsid w:val="41036866"/>
    <w:rsid w:val="426D49F9"/>
    <w:rsid w:val="428F1CA9"/>
    <w:rsid w:val="42A55CDD"/>
    <w:rsid w:val="44050335"/>
    <w:rsid w:val="440C3FC5"/>
    <w:rsid w:val="44917D91"/>
    <w:rsid w:val="44BB4EAA"/>
    <w:rsid w:val="45693E35"/>
    <w:rsid w:val="458713D8"/>
    <w:rsid w:val="458852BC"/>
    <w:rsid w:val="460736FA"/>
    <w:rsid w:val="46794ECD"/>
    <w:rsid w:val="47484D1D"/>
    <w:rsid w:val="47517D3B"/>
    <w:rsid w:val="47566955"/>
    <w:rsid w:val="479D69B8"/>
    <w:rsid w:val="48750BEE"/>
    <w:rsid w:val="487C2717"/>
    <w:rsid w:val="487D138B"/>
    <w:rsid w:val="48CB2452"/>
    <w:rsid w:val="490466C2"/>
    <w:rsid w:val="494A3AE5"/>
    <w:rsid w:val="496274A9"/>
    <w:rsid w:val="49B3733A"/>
    <w:rsid w:val="49CE00A3"/>
    <w:rsid w:val="49D06A0A"/>
    <w:rsid w:val="49F21165"/>
    <w:rsid w:val="4A320334"/>
    <w:rsid w:val="4B007E6F"/>
    <w:rsid w:val="4B11576B"/>
    <w:rsid w:val="4B460986"/>
    <w:rsid w:val="4BD2617E"/>
    <w:rsid w:val="4C1A2416"/>
    <w:rsid w:val="4C484328"/>
    <w:rsid w:val="4CC42041"/>
    <w:rsid w:val="4CED79E3"/>
    <w:rsid w:val="4D815253"/>
    <w:rsid w:val="4DB203FB"/>
    <w:rsid w:val="4DC7159C"/>
    <w:rsid w:val="4E333463"/>
    <w:rsid w:val="4E874889"/>
    <w:rsid w:val="4EA05B2B"/>
    <w:rsid w:val="4EF408A2"/>
    <w:rsid w:val="4F2E0462"/>
    <w:rsid w:val="4F556F32"/>
    <w:rsid w:val="4F7A15BF"/>
    <w:rsid w:val="4F9A1DCB"/>
    <w:rsid w:val="4F9C1C06"/>
    <w:rsid w:val="505C3394"/>
    <w:rsid w:val="508E5663"/>
    <w:rsid w:val="50A229EA"/>
    <w:rsid w:val="50BA2CF6"/>
    <w:rsid w:val="51034817"/>
    <w:rsid w:val="51694301"/>
    <w:rsid w:val="51874FDE"/>
    <w:rsid w:val="51A74314"/>
    <w:rsid w:val="52BB3D35"/>
    <w:rsid w:val="52C35432"/>
    <w:rsid w:val="53A3292C"/>
    <w:rsid w:val="53EF4E5E"/>
    <w:rsid w:val="53F76B8F"/>
    <w:rsid w:val="54026D81"/>
    <w:rsid w:val="54AA0C69"/>
    <w:rsid w:val="55492810"/>
    <w:rsid w:val="55D81195"/>
    <w:rsid w:val="56250C96"/>
    <w:rsid w:val="567B04AC"/>
    <w:rsid w:val="56F2165F"/>
    <w:rsid w:val="57036CFF"/>
    <w:rsid w:val="574773B3"/>
    <w:rsid w:val="582E0E04"/>
    <w:rsid w:val="588C04FF"/>
    <w:rsid w:val="58B157BA"/>
    <w:rsid w:val="596314BF"/>
    <w:rsid w:val="5986392F"/>
    <w:rsid w:val="59C2278C"/>
    <w:rsid w:val="59C655E2"/>
    <w:rsid w:val="59F01121"/>
    <w:rsid w:val="5A8C1559"/>
    <w:rsid w:val="5AB651F9"/>
    <w:rsid w:val="5ADA4EC8"/>
    <w:rsid w:val="5B0378BE"/>
    <w:rsid w:val="5B0E7E51"/>
    <w:rsid w:val="5B323EE0"/>
    <w:rsid w:val="5B8E3B3F"/>
    <w:rsid w:val="5B9E267B"/>
    <w:rsid w:val="5C6E6BEF"/>
    <w:rsid w:val="5D6A2E66"/>
    <w:rsid w:val="5E4670A0"/>
    <w:rsid w:val="5E621643"/>
    <w:rsid w:val="5E784858"/>
    <w:rsid w:val="5F0A3810"/>
    <w:rsid w:val="5F286AA0"/>
    <w:rsid w:val="609D3F34"/>
    <w:rsid w:val="61A80E7B"/>
    <w:rsid w:val="624318CA"/>
    <w:rsid w:val="62A108DF"/>
    <w:rsid w:val="63EE14E6"/>
    <w:rsid w:val="63F528B5"/>
    <w:rsid w:val="64116A56"/>
    <w:rsid w:val="643227D4"/>
    <w:rsid w:val="647760DA"/>
    <w:rsid w:val="65AE700C"/>
    <w:rsid w:val="65BC778B"/>
    <w:rsid w:val="65C7245C"/>
    <w:rsid w:val="661E251E"/>
    <w:rsid w:val="664F2F40"/>
    <w:rsid w:val="667243FB"/>
    <w:rsid w:val="67102B9A"/>
    <w:rsid w:val="67460C14"/>
    <w:rsid w:val="67AA26A1"/>
    <w:rsid w:val="67C72508"/>
    <w:rsid w:val="67FA4C2F"/>
    <w:rsid w:val="684F7EEC"/>
    <w:rsid w:val="69E70927"/>
    <w:rsid w:val="69FB1EB0"/>
    <w:rsid w:val="69FB5B7B"/>
    <w:rsid w:val="6A294898"/>
    <w:rsid w:val="6B084ECF"/>
    <w:rsid w:val="6B640D2E"/>
    <w:rsid w:val="6C2966C7"/>
    <w:rsid w:val="6D411A56"/>
    <w:rsid w:val="6D432CA5"/>
    <w:rsid w:val="6D444DB3"/>
    <w:rsid w:val="6D7A56FB"/>
    <w:rsid w:val="6E36106E"/>
    <w:rsid w:val="6E4D30BD"/>
    <w:rsid w:val="6E682EA9"/>
    <w:rsid w:val="6F2F35D2"/>
    <w:rsid w:val="6F4244D2"/>
    <w:rsid w:val="6F9E1B03"/>
    <w:rsid w:val="7152050D"/>
    <w:rsid w:val="72432F53"/>
    <w:rsid w:val="727D2DFC"/>
    <w:rsid w:val="72B43785"/>
    <w:rsid w:val="72C05CA3"/>
    <w:rsid w:val="736118A2"/>
    <w:rsid w:val="73730E30"/>
    <w:rsid w:val="73C528CF"/>
    <w:rsid w:val="73FF2F44"/>
    <w:rsid w:val="741C152C"/>
    <w:rsid w:val="746D28BA"/>
    <w:rsid w:val="751804DA"/>
    <w:rsid w:val="754054CF"/>
    <w:rsid w:val="75AA33A9"/>
    <w:rsid w:val="75DC4465"/>
    <w:rsid w:val="76C82135"/>
    <w:rsid w:val="76E413FE"/>
    <w:rsid w:val="784B40B6"/>
    <w:rsid w:val="784F1D26"/>
    <w:rsid w:val="78D84A5A"/>
    <w:rsid w:val="78DC7F68"/>
    <w:rsid w:val="78F7230E"/>
    <w:rsid w:val="79080707"/>
    <w:rsid w:val="791778D4"/>
    <w:rsid w:val="794A2556"/>
    <w:rsid w:val="797639DD"/>
    <w:rsid w:val="7A0A7E94"/>
    <w:rsid w:val="7A123470"/>
    <w:rsid w:val="7A664D02"/>
    <w:rsid w:val="7B230FB2"/>
    <w:rsid w:val="7BEF0092"/>
    <w:rsid w:val="7BF717B3"/>
    <w:rsid w:val="7C1070A8"/>
    <w:rsid w:val="7C73761B"/>
    <w:rsid w:val="7C845CFA"/>
    <w:rsid w:val="7D407D1D"/>
    <w:rsid w:val="7D6E18E2"/>
    <w:rsid w:val="7D704535"/>
    <w:rsid w:val="7DB30200"/>
    <w:rsid w:val="7E442641"/>
    <w:rsid w:val="7E4A7237"/>
    <w:rsid w:val="7F12455A"/>
    <w:rsid w:val="7F625983"/>
    <w:rsid w:val="7F845F49"/>
    <w:rsid w:val="7F960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2"/>
      <w:sz w:val="21"/>
      <w:szCs w:val="21"/>
      <w:lang w:val="en-US" w:eastAsia="zh-CN" w:bidi="ar-SA"/>
    </w:rPr>
  </w:style>
  <w:style w:type="paragraph" w:styleId="3">
    <w:name w:val="heading 1"/>
    <w:basedOn w:val="1"/>
    <w:next w:val="1"/>
    <w:qFormat/>
    <w:uiPriority w:val="99"/>
    <w:pPr>
      <w:keepNext/>
      <w:keepLines/>
      <w:spacing w:before="100" w:beforeAutospacing="1" w:after="100" w:afterAutospacing="1" w:line="360" w:lineRule="auto"/>
      <w:ind w:firstLine="200" w:firstLineChars="200"/>
      <w:outlineLvl w:val="0"/>
    </w:pPr>
    <w:rPr>
      <w:rFonts w:eastAsiaTheme="majorEastAsia"/>
      <w:b/>
      <w:bCs/>
      <w:kern w:val="44"/>
      <w:sz w:val="32"/>
      <w:szCs w:val="32"/>
    </w:rPr>
  </w:style>
  <w:style w:type="paragraph" w:styleId="4">
    <w:name w:val="heading 2"/>
    <w:basedOn w:val="1"/>
    <w:next w:val="1"/>
    <w:link w:val="25"/>
    <w:qFormat/>
    <w:uiPriority w:val="99"/>
    <w:pPr>
      <w:keepNext/>
      <w:keepLines/>
      <w:spacing w:before="156" w:beforeAutospacing="1" w:after="156" w:afterAutospacing="1" w:line="360" w:lineRule="auto"/>
      <w:ind w:firstLine="602" w:firstLineChars="200"/>
      <w:outlineLvl w:val="1"/>
    </w:pPr>
    <w:rPr>
      <w:rFonts w:ascii="宋体" w:hAnsi="宋体" w:eastAsia="宋体" w:cs="宋体"/>
      <w:b/>
      <w:bCs/>
      <w:sz w:val="28"/>
      <w:szCs w:val="30"/>
    </w:rPr>
  </w:style>
  <w:style w:type="paragraph" w:styleId="5">
    <w:name w:val="heading 3"/>
    <w:basedOn w:val="1"/>
    <w:next w:val="1"/>
    <w:link w:val="19"/>
    <w:qFormat/>
    <w:uiPriority w:val="99"/>
    <w:pPr>
      <w:keepNext/>
      <w:keepLines/>
      <w:spacing w:before="100" w:beforeAutospacing="1" w:after="100" w:afterAutospacing="1" w:line="360" w:lineRule="auto"/>
      <w:ind w:firstLine="200" w:firstLineChars="200"/>
      <w:outlineLvl w:val="2"/>
    </w:pPr>
    <w:rPr>
      <w:b/>
      <w:bCs/>
      <w:sz w:val="28"/>
      <w:szCs w:val="32"/>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Cs w:val="24"/>
    </w:rPr>
  </w:style>
  <w:style w:type="paragraph" w:styleId="6">
    <w:name w:val="toc 3"/>
    <w:basedOn w:val="1"/>
    <w:next w:val="1"/>
    <w:qFormat/>
    <w:uiPriority w:val="39"/>
    <w:pPr>
      <w:ind w:left="840" w:leftChars="400"/>
    </w:p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296"/>
      </w:tabs>
    </w:pPr>
  </w:style>
  <w:style w:type="paragraph" w:styleId="10">
    <w:name w:val="toc 2"/>
    <w:basedOn w:val="1"/>
    <w:next w:val="1"/>
    <w:qFormat/>
    <w:uiPriority w:val="39"/>
    <w:pPr>
      <w:ind w:left="420" w:leftChars="200"/>
    </w:pPr>
  </w:style>
  <w:style w:type="paragraph" w:styleId="11">
    <w:name w:val="Normal (Web)"/>
    <w:basedOn w:val="1"/>
    <w:qFormat/>
    <w:uiPriority w:val="0"/>
    <w:pPr>
      <w:jc w:val="left"/>
    </w:pPr>
    <w:rPr>
      <w:rFonts w:cs="Times New Roman"/>
      <w:kern w:val="0"/>
      <w:sz w:val="24"/>
    </w:rPr>
  </w:style>
  <w:style w:type="character" w:styleId="13">
    <w:name w:val="FollowedHyperlink"/>
    <w:basedOn w:val="12"/>
    <w:qFormat/>
    <w:uiPriority w:val="0"/>
    <w:rPr>
      <w:color w:val="333333"/>
      <w:u w:val="none"/>
    </w:rPr>
  </w:style>
  <w:style w:type="character" w:styleId="14">
    <w:name w:val="Emphasis"/>
    <w:basedOn w:val="12"/>
    <w:qFormat/>
    <w:uiPriority w:val="0"/>
  </w:style>
  <w:style w:type="character" w:styleId="15">
    <w:name w:val="Hyperlink"/>
    <w:basedOn w:val="12"/>
    <w:qFormat/>
    <w:uiPriority w:val="99"/>
    <w:rPr>
      <w:color w:val="0563C1"/>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TOC 标题1"/>
    <w:basedOn w:val="3"/>
    <w:next w:val="1"/>
    <w:qFormat/>
    <w:uiPriority w:val="99"/>
    <w:pPr>
      <w:widowControl/>
      <w:spacing w:before="240" w:after="0" w:line="259" w:lineRule="auto"/>
      <w:ind w:firstLine="0" w:firstLineChars="0"/>
      <w:jc w:val="left"/>
      <w:outlineLvl w:val="9"/>
    </w:pPr>
    <w:rPr>
      <w:rFonts w:ascii="Calibri Light" w:hAnsi="Calibri Light" w:eastAsia="宋体" w:cs="Calibri Light"/>
      <w:b w:val="0"/>
      <w:bCs w:val="0"/>
      <w:color w:val="2E74B5"/>
      <w:kern w:val="0"/>
    </w:rPr>
  </w:style>
  <w:style w:type="character" w:customStyle="1" w:styleId="19">
    <w:name w:val="标题 3 字符"/>
    <w:link w:val="5"/>
    <w:qFormat/>
    <w:uiPriority w:val="99"/>
    <w:rPr>
      <w:rFonts w:ascii="Calibri" w:hAnsi="Calibri" w:eastAsia="仿宋_GB2312" w:cs="Calibri"/>
      <w:b/>
      <w:bCs/>
      <w:kern w:val="2"/>
      <w:sz w:val="28"/>
      <w:szCs w:val="32"/>
    </w:rPr>
  </w:style>
  <w:style w:type="character" w:customStyle="1" w:styleId="20">
    <w:name w:val="页眉 字符"/>
    <w:basedOn w:val="12"/>
    <w:link w:val="8"/>
    <w:qFormat/>
    <w:uiPriority w:val="0"/>
    <w:rPr>
      <w:rFonts w:ascii="Calibri" w:hAnsi="Calibri" w:eastAsia="仿宋_GB2312" w:cs="Calibri"/>
      <w:kern w:val="2"/>
      <w:sz w:val="18"/>
      <w:szCs w:val="18"/>
    </w:rPr>
  </w:style>
  <w:style w:type="paragraph" w:customStyle="1" w:styleId="21">
    <w:name w:val="TOC 标题2"/>
    <w:basedOn w:val="3"/>
    <w:next w:val="1"/>
    <w:unhideWhenUsed/>
    <w:qFormat/>
    <w:uiPriority w:val="39"/>
    <w:pPr>
      <w:widowControl/>
      <w:spacing w:before="240" w:beforeAutospacing="0" w:after="0" w:afterAutospacing="0" w:line="259" w:lineRule="auto"/>
      <w:ind w:firstLine="0" w:firstLineChars="0"/>
      <w:jc w:val="left"/>
      <w:outlineLvl w:val="9"/>
    </w:pPr>
    <w:rPr>
      <w:rFonts w:asciiTheme="majorHAnsi" w:hAnsiTheme="majorHAnsi" w:cstheme="majorBidi"/>
      <w:b w:val="0"/>
      <w:bCs w:val="0"/>
      <w:color w:val="2E75B6" w:themeColor="accent1" w:themeShade="BF"/>
      <w:kern w:val="0"/>
    </w:rPr>
  </w:style>
  <w:style w:type="character" w:customStyle="1" w:styleId="22">
    <w:name w:val="页脚 字符"/>
    <w:basedOn w:val="12"/>
    <w:link w:val="7"/>
    <w:qFormat/>
    <w:uiPriority w:val="99"/>
    <w:rPr>
      <w:rFonts w:ascii="Calibri" w:hAnsi="Calibri" w:eastAsia="仿宋_GB2312" w:cs="Calibri"/>
      <w:kern w:val="2"/>
      <w:sz w:val="18"/>
      <w:szCs w:val="18"/>
    </w:rPr>
  </w:style>
  <w:style w:type="character" w:customStyle="1" w:styleId="23">
    <w:name w:val="font01"/>
    <w:basedOn w:val="12"/>
    <w:qFormat/>
    <w:uiPriority w:val="0"/>
    <w:rPr>
      <w:rFonts w:ascii="方正仿宋简体" w:hAnsi="方正仿宋简体" w:eastAsia="方正仿宋简体" w:cs="方正仿宋简体"/>
      <w:color w:val="000000"/>
      <w:sz w:val="32"/>
      <w:szCs w:val="32"/>
      <w:u w:val="none"/>
    </w:rPr>
  </w:style>
  <w:style w:type="character" w:customStyle="1" w:styleId="24">
    <w:name w:val="font11"/>
    <w:basedOn w:val="12"/>
    <w:qFormat/>
    <w:uiPriority w:val="0"/>
    <w:rPr>
      <w:rFonts w:hint="default" w:ascii="Times New Roman" w:hAnsi="Times New Roman" w:cs="Times New Roman"/>
      <w:color w:val="000000"/>
      <w:sz w:val="32"/>
      <w:szCs w:val="32"/>
      <w:u w:val="none"/>
    </w:rPr>
  </w:style>
  <w:style w:type="character" w:customStyle="1" w:styleId="25">
    <w:name w:val="标题 2 字符"/>
    <w:link w:val="4"/>
    <w:qFormat/>
    <w:uiPriority w:val="99"/>
    <w:rPr>
      <w:rFonts w:ascii="宋体" w:hAnsi="宋体" w:eastAsia="宋体" w:cs="宋体"/>
      <w:b/>
      <w:bCs/>
      <w:sz w:val="28"/>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69FCA-2150-46A2-95BD-6D2A8EB60E4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2377</Words>
  <Characters>13552</Characters>
  <Lines>112</Lines>
  <Paragraphs>31</Paragraphs>
  <TotalTime>146</TotalTime>
  <ScaleCrop>false</ScaleCrop>
  <LinksUpToDate>false</LinksUpToDate>
  <CharactersWithSpaces>15898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2019-07-02T13:43:00Z</dcterms:created>
  <dc:creator>Sher.</dc:creator>
  <cp:lastModifiedBy>ぎえんかん</cp:lastModifiedBy>
  <cp:lastPrinted>2020-01-15T06:45:00Z</cp:lastPrinted>
  <dcterms:modified xsi:type="dcterms:W3CDTF">2020-02-18T02:45:51Z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