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五华县</w:t>
      </w:r>
      <w:r>
        <w:rPr>
          <w:rFonts w:hint="eastAsia" w:ascii="方正小标宋简体" w:hAnsi="方正小标宋简体" w:eastAsia="方正小标宋简体" w:cs="方正小标宋简体"/>
          <w:b w:val="0"/>
          <w:bCs w:val="0"/>
          <w:sz w:val="44"/>
          <w:szCs w:val="44"/>
        </w:rPr>
        <w:t>农村集体土地征收</w:t>
      </w:r>
      <w:r>
        <w:rPr>
          <w:rFonts w:hint="eastAsia" w:ascii="方正小标宋简体" w:hAnsi="方正小标宋简体" w:eastAsia="方正小标宋简体" w:cs="方正小标宋简体"/>
          <w:b w:val="0"/>
          <w:bCs w:val="0"/>
          <w:sz w:val="44"/>
          <w:szCs w:val="44"/>
          <w:lang w:val="en-US" w:eastAsia="zh-CN"/>
        </w:rPr>
        <w:t>领域</w:t>
      </w:r>
      <w:r>
        <w:rPr>
          <w:rFonts w:hint="eastAsia" w:ascii="方正小标宋简体" w:hAnsi="方正小标宋简体" w:eastAsia="方正小标宋简体" w:cs="方正小标宋简体"/>
          <w:b w:val="0"/>
          <w:bCs w:val="0"/>
          <w:sz w:val="44"/>
          <w:szCs w:val="44"/>
        </w:rPr>
        <w:t>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w:t>
            </w:r>
          </w:p>
        </w:tc>
        <w:tc>
          <w:tcPr>
            <w:tcW w:w="720"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征地管理政策</w:t>
            </w:r>
          </w:p>
        </w:tc>
        <w:tc>
          <w:tcPr>
            <w:tcW w:w="720"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2714" w:type="dxa"/>
            <w:vAlign w:val="center"/>
          </w:tcPr>
          <w:p>
            <w:pPr>
              <w:widowControl/>
              <w:spacing w:line="24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w:t>
            </w:r>
          </w:p>
        </w:tc>
        <w:tc>
          <w:tcPr>
            <w:tcW w:w="198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■征地信息公开平台      </w:t>
            </w:r>
          </w:p>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p>
          <w:p>
            <w:pPr>
              <w:widowControl/>
              <w:spacing w:line="240" w:lineRule="exact"/>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551"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w:t>
            </w:r>
          </w:p>
        </w:tc>
        <w:tc>
          <w:tcPr>
            <w:tcW w:w="720"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p>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征地前期准备</w:t>
            </w:r>
          </w:p>
          <w:p>
            <w:pPr>
              <w:widowControl/>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拟征收土地告知</w:t>
            </w:r>
          </w:p>
        </w:tc>
        <w:tc>
          <w:tcPr>
            <w:tcW w:w="2714" w:type="dxa"/>
            <w:vMerge w:val="restart"/>
            <w:vAlign w:val="center"/>
          </w:tcPr>
          <w:p>
            <w:pPr>
              <w:widowControl/>
              <w:spacing w:line="24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《国务院关于深化改革严格土地管理的决定》</w:t>
            </w:r>
          </w:p>
        </w:tc>
        <w:tc>
          <w:tcPr>
            <w:tcW w:w="198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在实地启动拟征收土地工作时，在村公示栏公开。</w:t>
            </w:r>
          </w:p>
          <w:p>
            <w:pPr>
              <w:spacing w:line="240" w:lineRule="exact"/>
              <w:rPr>
                <w:rFonts w:hint="default" w:ascii="Times New Roman" w:hAnsi="Times New Roman" w:eastAsia="方正仿宋简体" w:cs="Times New Roman"/>
                <w:color w:val="000000"/>
                <w:sz w:val="18"/>
                <w:szCs w:val="18"/>
              </w:rPr>
            </w:pPr>
          </w:p>
        </w:tc>
        <w:tc>
          <w:tcPr>
            <w:tcW w:w="1620" w:type="dxa"/>
            <w:vMerge w:val="restart"/>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县自然资源主管部门以及负责实施农村集体土地征收的有关部门（含乡镇政府等）</w:t>
            </w:r>
          </w:p>
        </w:tc>
        <w:tc>
          <w:tcPr>
            <w:tcW w:w="1786" w:type="dxa"/>
            <w:vMerge w:val="restart"/>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▲征地信息公开平台</w:t>
            </w:r>
          </w:p>
          <w:p>
            <w:pPr>
              <w:widowControl/>
              <w:spacing w:line="240" w:lineRule="exact"/>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√面向拟征收土地所在地的村集体成员</w:t>
            </w:r>
          </w:p>
        </w:tc>
        <w:tc>
          <w:tcPr>
            <w:tcW w:w="551"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tcBorders/>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p>
        </w:tc>
        <w:tc>
          <w:tcPr>
            <w:tcW w:w="2714" w:type="dxa"/>
            <w:vMerge w:val="continue"/>
            <w:vAlign w:val="center"/>
          </w:tcPr>
          <w:p>
            <w:pPr>
              <w:widowControl/>
              <w:jc w:val="left"/>
              <w:rPr>
                <w:rFonts w:hint="default" w:ascii="Times New Roman" w:hAnsi="Times New Roman" w:eastAsia="方正仿宋简体" w:cs="Times New Roman"/>
                <w:color w:val="000000"/>
                <w:sz w:val="18"/>
                <w:szCs w:val="18"/>
              </w:rPr>
            </w:pPr>
          </w:p>
        </w:tc>
        <w:tc>
          <w:tcPr>
            <w:tcW w:w="1260" w:type="dxa"/>
            <w:vMerge w:val="continue"/>
            <w:vAlign w:val="center"/>
          </w:tcPr>
          <w:p>
            <w:pPr>
              <w:widowControl/>
              <w:rPr>
                <w:rFonts w:hint="default" w:ascii="Times New Roman" w:hAnsi="Times New Roman" w:eastAsia="方正仿宋简体" w:cs="Times New Roman"/>
                <w:color w:val="000000"/>
                <w:sz w:val="18"/>
                <w:szCs w:val="18"/>
              </w:rPr>
            </w:pPr>
          </w:p>
        </w:tc>
        <w:tc>
          <w:tcPr>
            <w:tcW w:w="198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收到征地批准文件之日起10个工作日内，在政府网站、征地信息公开平台公开。</w:t>
            </w:r>
          </w:p>
        </w:tc>
        <w:tc>
          <w:tcPr>
            <w:tcW w:w="1620" w:type="dxa"/>
            <w:vMerge w:val="continue"/>
            <w:vAlign w:val="center"/>
          </w:tcPr>
          <w:p>
            <w:pPr>
              <w:widowControl/>
              <w:rPr>
                <w:rFonts w:hint="default" w:ascii="Times New Roman" w:hAnsi="Times New Roman" w:eastAsia="方正仿宋简体" w:cs="Times New Roman"/>
                <w:color w:val="000000"/>
                <w:sz w:val="18"/>
                <w:szCs w:val="18"/>
              </w:rPr>
            </w:pPr>
          </w:p>
        </w:tc>
        <w:tc>
          <w:tcPr>
            <w:tcW w:w="1786" w:type="dxa"/>
            <w:vMerge w:val="continue"/>
            <w:vAlign w:val="center"/>
          </w:tcPr>
          <w:p>
            <w:pPr>
              <w:widowControl/>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jc w:val="center"/>
              <w:rPr>
                <w:rFonts w:hint="default" w:ascii="Times New Roman" w:hAnsi="Times New Roman" w:eastAsia="方正仿宋简体" w:cs="Times New Roman"/>
                <w:color w:val="000000"/>
                <w:sz w:val="18"/>
                <w:szCs w:val="18"/>
              </w:rPr>
            </w:pPr>
          </w:p>
        </w:tc>
        <w:tc>
          <w:tcPr>
            <w:tcW w:w="551" w:type="dxa"/>
            <w:vMerge w:val="continue"/>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240" w:lineRule="exact"/>
              <w:jc w:val="center"/>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540" w:type="dxa"/>
            <w:vMerge w:val="restart"/>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w:t>
            </w:r>
          </w:p>
        </w:tc>
        <w:tc>
          <w:tcPr>
            <w:tcW w:w="720" w:type="dxa"/>
            <w:vMerge w:val="continue"/>
            <w:tcBorders/>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拟征收土地现状调查</w:t>
            </w:r>
          </w:p>
        </w:tc>
        <w:tc>
          <w:tcPr>
            <w:tcW w:w="2714" w:type="dxa"/>
            <w:vMerge w:val="restart"/>
            <w:vAlign w:val="center"/>
          </w:tcPr>
          <w:p>
            <w:pPr>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拟征收土地现状调查结果按规定确认后，调查结果予以公开。</w:t>
            </w:r>
          </w:p>
          <w:p>
            <w:pPr>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1.征收土地勘测调查表；</w:t>
            </w:r>
          </w:p>
          <w:p>
            <w:pPr>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2.地上附着物和青苗调查登记表；</w:t>
            </w:r>
          </w:p>
          <w:p>
            <w:pPr>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〔*土地勘测定界图件（涉及国家秘密的项目除外；图件应按有关法律法规规定予以技术处理）〕。</w:t>
            </w:r>
          </w:p>
          <w:p>
            <w:pPr>
              <w:widowControl/>
              <w:rPr>
                <w:rFonts w:hint="default" w:ascii="Times New Roman" w:hAnsi="Times New Roman" w:eastAsia="方正仿宋简体" w:cs="Times New Roman"/>
                <w:color w:val="000000"/>
                <w:sz w:val="18"/>
                <w:szCs w:val="18"/>
              </w:rPr>
            </w:pPr>
          </w:p>
        </w:tc>
        <w:tc>
          <w:tcPr>
            <w:tcW w:w="1260" w:type="dxa"/>
            <w:vMerge w:val="restart"/>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《土地管理法》、《国务院关于深化改革严格土地管理的决定》</w:t>
            </w:r>
          </w:p>
        </w:tc>
        <w:tc>
          <w:tcPr>
            <w:tcW w:w="1980" w:type="dxa"/>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Merge w:val="restart"/>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▲征地信息公开平台</w:t>
            </w:r>
            <w:r>
              <w:rPr>
                <w:rFonts w:hint="default" w:ascii="Times New Roman" w:hAnsi="Times New Roman" w:eastAsia="方正仿宋简体" w:cs="Times New Roman"/>
                <w:color w:val="000000"/>
                <w:sz w:val="18"/>
                <w:szCs w:val="18"/>
              </w:rPr>
              <w:br w:type="textWrapping"/>
            </w: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√面向拟征收土地所在地的村集体成员</w:t>
            </w:r>
          </w:p>
        </w:tc>
        <w:tc>
          <w:tcPr>
            <w:tcW w:w="551"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tcBorders/>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p>
        </w:tc>
        <w:tc>
          <w:tcPr>
            <w:tcW w:w="2714" w:type="dxa"/>
            <w:vMerge w:val="continue"/>
            <w:vAlign w:val="center"/>
          </w:tcPr>
          <w:p>
            <w:pPr>
              <w:rPr>
                <w:rFonts w:hint="default" w:ascii="Times New Roman" w:hAnsi="Times New Roman" w:eastAsia="方正仿宋简体" w:cs="Times New Roman"/>
                <w:color w:val="000000"/>
                <w:sz w:val="18"/>
                <w:szCs w:val="18"/>
              </w:rPr>
            </w:pPr>
          </w:p>
        </w:tc>
        <w:tc>
          <w:tcPr>
            <w:tcW w:w="1260" w:type="dxa"/>
            <w:vMerge w:val="continue"/>
            <w:vAlign w:val="center"/>
          </w:tcPr>
          <w:p>
            <w:pPr>
              <w:widowControl/>
              <w:rPr>
                <w:rFonts w:hint="default" w:ascii="Times New Roman" w:hAnsi="Times New Roman" w:eastAsia="方正仿宋简体" w:cs="Times New Roman"/>
                <w:color w:val="000000"/>
                <w:sz w:val="18"/>
                <w:szCs w:val="18"/>
              </w:rPr>
            </w:pPr>
          </w:p>
        </w:tc>
        <w:tc>
          <w:tcPr>
            <w:tcW w:w="1980" w:type="dxa"/>
            <w:vAlign w:val="center"/>
          </w:tcPr>
          <w:p>
            <w:pPr>
              <w:spacing w:line="24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default" w:ascii="Times New Roman" w:hAnsi="Times New Roman" w:eastAsia="方正仿宋简体" w:cs="Times New Roman"/>
                <w:color w:val="000000"/>
                <w:sz w:val="18"/>
                <w:szCs w:val="18"/>
              </w:rPr>
            </w:pPr>
          </w:p>
        </w:tc>
        <w:tc>
          <w:tcPr>
            <w:tcW w:w="1786" w:type="dxa"/>
            <w:vMerge w:val="continue"/>
            <w:vAlign w:val="center"/>
          </w:tcPr>
          <w:p>
            <w:pPr>
              <w:widowControl/>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jc w:val="center"/>
              <w:rPr>
                <w:rFonts w:hint="default" w:ascii="Times New Roman" w:hAnsi="Times New Roman" w:eastAsia="方正仿宋简体" w:cs="Times New Roman"/>
                <w:color w:val="000000"/>
                <w:sz w:val="18"/>
                <w:szCs w:val="18"/>
              </w:rPr>
            </w:pPr>
          </w:p>
        </w:tc>
        <w:tc>
          <w:tcPr>
            <w:tcW w:w="551"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w:t>
            </w:r>
          </w:p>
        </w:tc>
        <w:tc>
          <w:tcPr>
            <w:tcW w:w="720" w:type="dxa"/>
            <w:vMerge w:val="continue"/>
            <w:tcBorders/>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拟征地听证</w:t>
            </w:r>
          </w:p>
        </w:tc>
        <w:tc>
          <w:tcPr>
            <w:tcW w:w="2714" w:type="dxa"/>
            <w:vMerge w:val="restart"/>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1.《听证通知书》；</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2.听证处理意见；</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〔*听证笔录有关资料〕。</w:t>
            </w:r>
          </w:p>
        </w:tc>
        <w:tc>
          <w:tcPr>
            <w:tcW w:w="1260" w:type="dxa"/>
            <w:vMerge w:val="restart"/>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《国土资源听证规定》、《国土资源部办公厅关于进一步做好市县征地信息公开工作有关问题的通知》</w:t>
            </w:r>
          </w:p>
        </w:tc>
        <w:tc>
          <w:tcPr>
            <w:tcW w:w="1980" w:type="dxa"/>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Merge w:val="restart"/>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▲征地信息公开平台</w:t>
            </w:r>
            <w:r>
              <w:rPr>
                <w:rFonts w:hint="default" w:ascii="Times New Roman" w:hAnsi="Times New Roman" w:eastAsia="方正仿宋简体" w:cs="Times New Roman"/>
                <w:color w:val="000000"/>
                <w:sz w:val="18"/>
                <w:szCs w:val="18"/>
              </w:rPr>
              <w:br w:type="textWrapping"/>
            </w: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√面向拟征收土地所在地的村集体成员</w:t>
            </w:r>
          </w:p>
        </w:tc>
        <w:tc>
          <w:tcPr>
            <w:tcW w:w="551"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tcBorders/>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p>
        </w:tc>
        <w:tc>
          <w:tcPr>
            <w:tcW w:w="2714" w:type="dxa"/>
            <w:vMerge w:val="continue"/>
            <w:vAlign w:val="center"/>
          </w:tcPr>
          <w:p>
            <w:pPr>
              <w:widowControl/>
              <w:rPr>
                <w:rFonts w:hint="default" w:ascii="Times New Roman" w:hAnsi="Times New Roman" w:eastAsia="方正仿宋简体" w:cs="Times New Roman"/>
                <w:color w:val="000000"/>
                <w:sz w:val="18"/>
                <w:szCs w:val="18"/>
              </w:rPr>
            </w:pPr>
          </w:p>
        </w:tc>
        <w:tc>
          <w:tcPr>
            <w:tcW w:w="1260" w:type="dxa"/>
            <w:vMerge w:val="continue"/>
            <w:vAlign w:val="center"/>
          </w:tcPr>
          <w:p>
            <w:pPr>
              <w:widowControl/>
              <w:rPr>
                <w:rFonts w:hint="default" w:ascii="Times New Roman" w:hAnsi="Times New Roman" w:eastAsia="方正仿宋简体" w:cs="Times New Roman"/>
                <w:color w:val="000000"/>
                <w:sz w:val="18"/>
                <w:szCs w:val="18"/>
              </w:rPr>
            </w:pPr>
          </w:p>
        </w:tc>
        <w:tc>
          <w:tcPr>
            <w:tcW w:w="1980" w:type="dxa"/>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default" w:ascii="Times New Roman" w:hAnsi="Times New Roman" w:eastAsia="方正仿宋简体" w:cs="Times New Roman"/>
                <w:color w:val="000000"/>
                <w:sz w:val="18"/>
                <w:szCs w:val="18"/>
              </w:rPr>
            </w:pPr>
          </w:p>
        </w:tc>
        <w:tc>
          <w:tcPr>
            <w:tcW w:w="1786" w:type="dxa"/>
            <w:vMerge w:val="continue"/>
            <w:vAlign w:val="center"/>
          </w:tcPr>
          <w:p>
            <w:pPr>
              <w:widowControl/>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jc w:val="center"/>
              <w:rPr>
                <w:rFonts w:hint="default" w:ascii="Times New Roman" w:hAnsi="Times New Roman" w:eastAsia="方正仿宋简体" w:cs="Times New Roman"/>
                <w:color w:val="000000"/>
                <w:sz w:val="18"/>
                <w:szCs w:val="18"/>
              </w:rPr>
            </w:pPr>
          </w:p>
        </w:tc>
        <w:tc>
          <w:tcPr>
            <w:tcW w:w="551"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w:t>
            </w:r>
          </w:p>
        </w:tc>
        <w:tc>
          <w:tcPr>
            <w:tcW w:w="720" w:type="dxa"/>
            <w:vMerge w:val="restart"/>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征地审查报批</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征地报批材料</w:t>
            </w:r>
          </w:p>
        </w:tc>
        <w:tc>
          <w:tcPr>
            <w:tcW w:w="2714" w:type="dxa"/>
            <w:vAlign w:val="center"/>
          </w:tcPr>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县人民政府按照建设用地审查报批有关规定，组织用地报批过程中的相关报批材料予以公开。</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1.县人民政府建设用地请示；</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2.县自然资源主管部门建设用地审查意见；</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3.建设用地呈报说明书、农用地转用方案、补充耕地方案、征收土地方案、供地方案；</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〔*其他相关文字报批材料和图件由各省（区、市）确定公开方式〕。</w:t>
            </w:r>
          </w:p>
        </w:tc>
        <w:tc>
          <w:tcPr>
            <w:tcW w:w="126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收到征地批准文件之日起10个工作日内公开。</w:t>
            </w:r>
          </w:p>
        </w:tc>
        <w:tc>
          <w:tcPr>
            <w:tcW w:w="162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w:t>
            </w:r>
          </w:p>
        </w:tc>
        <w:tc>
          <w:tcPr>
            <w:tcW w:w="1786"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▲征地信息公开平台</w:t>
            </w:r>
          </w:p>
          <w:p>
            <w:pPr>
              <w:widowControl/>
              <w:spacing w:line="260" w:lineRule="exact"/>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551"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w:t>
            </w:r>
          </w:p>
        </w:tc>
        <w:tc>
          <w:tcPr>
            <w:tcW w:w="720" w:type="dxa"/>
            <w:vMerge w:val="continue"/>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征地批准文件</w:t>
            </w:r>
          </w:p>
        </w:tc>
        <w:tc>
          <w:tcPr>
            <w:tcW w:w="2714" w:type="dxa"/>
            <w:vAlign w:val="center"/>
          </w:tcPr>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有权一级人民政府批准用地的批复文件、地方人民政府转发批复文件应予以公开。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1.国务院批准用地批复文件（指用地由国务院批准）；</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2.省级人民政府批准用地批复文件（指用地由省级人民政府批准）；</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3.国务院批准城市用地后省级人民政府审核同意实施方案文件；</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4.地方人民政府转发用地批复文件；</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5.其他用地批准文件。</w:t>
            </w:r>
          </w:p>
        </w:tc>
        <w:tc>
          <w:tcPr>
            <w:tcW w:w="1260" w:type="dxa"/>
            <w:vAlign w:val="center"/>
          </w:tcPr>
          <w:p>
            <w:pPr>
              <w:widowControl/>
              <w:spacing w:line="26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《土地管理法》、《政府信息公开条例》</w:t>
            </w:r>
          </w:p>
          <w:p>
            <w:pPr>
              <w:widowControl/>
              <w:spacing w:line="260" w:lineRule="exact"/>
              <w:jc w:val="left"/>
              <w:rPr>
                <w:rFonts w:hint="default" w:ascii="Times New Roman" w:hAnsi="Times New Roman" w:eastAsia="方正仿宋简体" w:cs="Times New Roman"/>
                <w:color w:val="000000"/>
                <w:sz w:val="18"/>
                <w:szCs w:val="18"/>
              </w:rPr>
            </w:pPr>
          </w:p>
        </w:tc>
        <w:tc>
          <w:tcPr>
            <w:tcW w:w="1980" w:type="dxa"/>
            <w:vAlign w:val="center"/>
          </w:tcPr>
          <w:p>
            <w:pPr>
              <w:widowControl/>
              <w:spacing w:line="26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收到征地批准文件之日起10个工作日内公开。</w:t>
            </w:r>
          </w:p>
        </w:tc>
        <w:tc>
          <w:tcPr>
            <w:tcW w:w="1620" w:type="dxa"/>
            <w:vAlign w:val="center"/>
          </w:tcPr>
          <w:p>
            <w:pPr>
              <w:widowControl/>
              <w:spacing w:line="26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w:t>
            </w:r>
          </w:p>
        </w:tc>
        <w:tc>
          <w:tcPr>
            <w:tcW w:w="1786"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▲征地信息公开平台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tc>
        <w:tc>
          <w:tcPr>
            <w:tcW w:w="554"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551"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征地组织实施</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征收土地公告</w:t>
            </w:r>
          </w:p>
        </w:tc>
        <w:tc>
          <w:tcPr>
            <w:tcW w:w="2714" w:type="dxa"/>
            <w:vAlign w:val="center"/>
          </w:tcPr>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根据用地批复文件，县人民政府拟定征收土地公告并予以公开。</w:t>
            </w:r>
          </w:p>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1.征地批准机关、批准文号、批准时间和批准用途；</w:t>
            </w:r>
          </w:p>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2.被征收土地的所有权人、位置、地类、面积；</w:t>
            </w:r>
          </w:p>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3.征地补偿标准、农业人口安置方式、社会保障途径等；</w:t>
            </w:r>
          </w:p>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4.办理征地补偿登记的期限、地点和要求；</w:t>
            </w:r>
          </w:p>
          <w:p>
            <w:pPr>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5.救济途径。</w:t>
            </w:r>
          </w:p>
        </w:tc>
        <w:tc>
          <w:tcPr>
            <w:tcW w:w="126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《土地管理法》、《征收土地公告办法》</w:t>
            </w:r>
          </w:p>
        </w:tc>
        <w:tc>
          <w:tcPr>
            <w:tcW w:w="198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收到征地批准文件之日起10个工作日内公开。</w:t>
            </w:r>
          </w:p>
        </w:tc>
        <w:tc>
          <w:tcPr>
            <w:tcW w:w="162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▲征地信息公开平台      </w:t>
            </w:r>
          </w:p>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tc>
        <w:tc>
          <w:tcPr>
            <w:tcW w:w="554"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75"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551"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spacing w:line="30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8</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征地组织实施</w:t>
            </w:r>
          </w:p>
        </w:tc>
        <w:tc>
          <w:tcPr>
            <w:tcW w:w="720" w:type="dxa"/>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征地补偿登记</w:t>
            </w:r>
          </w:p>
        </w:tc>
        <w:tc>
          <w:tcPr>
            <w:tcW w:w="2714" w:type="dxa"/>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征地补偿登记汇总表。</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《土地管理法》、《政府信息公开条例》</w:t>
            </w:r>
          </w:p>
        </w:tc>
        <w:tc>
          <w:tcPr>
            <w:tcW w:w="198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征地补偿登记结束后5个工作日内公开。公示结束后，转为依申请公开。</w:t>
            </w:r>
          </w:p>
        </w:tc>
        <w:tc>
          <w:tcPr>
            <w:tcW w:w="1620" w:type="dxa"/>
            <w:vAlign w:val="center"/>
          </w:tcPr>
          <w:p>
            <w:pPr>
              <w:widowControl/>
              <w:spacing w:line="26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■社区/企事业单位/村公示栏（电子屏）  </w:t>
            </w: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√拟征收土地所在地的村集体成员</w:t>
            </w:r>
          </w:p>
        </w:tc>
        <w:tc>
          <w:tcPr>
            <w:tcW w:w="551"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w:t>
            </w: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320" w:lineRule="exact"/>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征地补偿安置方案公告</w:t>
            </w:r>
          </w:p>
        </w:tc>
        <w:tc>
          <w:tcPr>
            <w:tcW w:w="2714" w:type="dxa"/>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征收土地公告期满后，县自然资源主管部门和负责农村集体土地征收的有关部门拟定《征地补偿安置方案》并予以公开。</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1.被征收土地的位置、地类、面积，地上附着物和青苗的种类、数量，需要安置的农业人口和数量；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2.土地补偿费和安置补助费的标准、数额、支付对象和支付方式；</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3.地上附着物和青苗的补偿标准与支付方式；</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4.社会保障费用的筹集方法、缴费比例和办法；</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5.农业人员安置具体途径；</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6.其他有关征地补偿、安置的具体措施；</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7.听证等救济途径；</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〔*征地补偿安置方案前置的，在前置环节一并公开〕。</w:t>
            </w:r>
          </w:p>
        </w:tc>
        <w:tc>
          <w:tcPr>
            <w:tcW w:w="126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拟定《征地补偿安置方案》后5个工作日内公开。</w:t>
            </w:r>
          </w:p>
          <w:p>
            <w:pPr>
              <w:widowControl/>
              <w:spacing w:line="320" w:lineRule="exact"/>
              <w:ind w:firstLine="360" w:firstLineChars="200"/>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公示结束后，转为依申请公开。</w:t>
            </w:r>
          </w:p>
          <w:p>
            <w:pPr>
              <w:widowControl/>
              <w:spacing w:line="320" w:lineRule="exact"/>
              <w:rPr>
                <w:rFonts w:hint="default" w:ascii="Times New Roman" w:hAnsi="Times New Roman" w:eastAsia="方正仿宋简体" w:cs="Times New Roman"/>
                <w:color w:val="000000"/>
                <w:sz w:val="18"/>
                <w:szCs w:val="18"/>
              </w:rPr>
            </w:pPr>
          </w:p>
        </w:tc>
        <w:tc>
          <w:tcPr>
            <w:tcW w:w="162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bookmarkStart w:id="0" w:name="_GoBack"/>
            <w:bookmarkEnd w:id="0"/>
          </w:p>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p>
            <w:pPr>
              <w:widowControl/>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√拟征收土地所在地的村集体成员</w:t>
            </w:r>
          </w:p>
        </w:tc>
        <w:tc>
          <w:tcPr>
            <w:tcW w:w="551"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720" w:type="dxa"/>
            <w:vMerge w:val="restart"/>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征地组织实施</w:t>
            </w:r>
          </w:p>
        </w:tc>
        <w:tc>
          <w:tcPr>
            <w:tcW w:w="720" w:type="dxa"/>
            <w:shd w:val="clear" w:color="auto" w:fill="auto"/>
            <w:vAlign w:val="center"/>
          </w:tcPr>
          <w:p>
            <w:pPr>
              <w:widowControl/>
              <w:spacing w:line="32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征地补偿安置方案听证</w:t>
            </w:r>
          </w:p>
        </w:tc>
        <w:tc>
          <w:tcPr>
            <w:tcW w:w="2714" w:type="dxa"/>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1.《听证通知书》；</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2.听证处理意见；〔*听证笔录有关资料〕。</w:t>
            </w:r>
          </w:p>
        </w:tc>
        <w:tc>
          <w:tcPr>
            <w:tcW w:w="1260"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《国土资源听证规定》、《国土资源部办公厅关于进一步做好市县征地信息公开工作有关问题的通知》</w:t>
            </w:r>
          </w:p>
        </w:tc>
        <w:tc>
          <w:tcPr>
            <w:tcW w:w="1980"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p>
            <w:pPr>
              <w:widowControl/>
              <w:rPr>
                <w:rFonts w:hint="default" w:ascii="Times New Roman" w:hAnsi="Times New Roman" w:eastAsia="方正仿宋简体" w:cs="Times New Roman"/>
                <w:color w:val="000000"/>
                <w:sz w:val="18"/>
                <w:szCs w:val="18"/>
              </w:rPr>
            </w:pP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√拟征收土地所在地的村集体成员</w:t>
            </w:r>
          </w:p>
        </w:tc>
        <w:tc>
          <w:tcPr>
            <w:tcW w:w="551"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11</w:t>
            </w:r>
          </w:p>
        </w:tc>
        <w:tc>
          <w:tcPr>
            <w:tcW w:w="720" w:type="dxa"/>
            <w:vMerge w:val="continue"/>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spacing w:line="320" w:lineRule="exact"/>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征地补偿费用支付</w:t>
            </w:r>
          </w:p>
        </w:tc>
        <w:tc>
          <w:tcPr>
            <w:tcW w:w="2714"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征地补偿费用支付凭证。</w:t>
            </w:r>
          </w:p>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《政府信息公开条例》、《征收土地公告办法》</w:t>
            </w:r>
          </w:p>
          <w:p>
            <w:pPr>
              <w:widowControl/>
              <w:spacing w:line="320" w:lineRule="exact"/>
              <w:rPr>
                <w:rFonts w:hint="default" w:ascii="Times New Roman" w:hAnsi="Times New Roman" w:eastAsia="方正仿宋简体" w:cs="Times New Roman"/>
                <w:color w:val="000000"/>
                <w:sz w:val="18"/>
                <w:szCs w:val="18"/>
              </w:rPr>
            </w:pPr>
          </w:p>
        </w:tc>
        <w:tc>
          <w:tcPr>
            <w:tcW w:w="198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获得支付凭证后5个工作日内予以公开。公示结束后，转为依申请公开。</w:t>
            </w:r>
          </w:p>
        </w:tc>
        <w:tc>
          <w:tcPr>
            <w:tcW w:w="1620" w:type="dxa"/>
            <w:vAlign w:val="center"/>
          </w:tcPr>
          <w:p>
            <w:pPr>
              <w:widowControl/>
              <w:spacing w:line="320" w:lineRule="exac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县自然资源主管部门和负责农村集体土地征收的有关部门</w:t>
            </w:r>
          </w:p>
        </w:tc>
        <w:tc>
          <w:tcPr>
            <w:tcW w:w="1786" w:type="dxa"/>
            <w:vAlign w:val="center"/>
          </w:tcPr>
          <w:p>
            <w:pPr>
              <w:widowControl/>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■社区/企事业单位/村公示栏（电子屏）</w:t>
            </w:r>
          </w:p>
        </w:tc>
        <w:tc>
          <w:tcPr>
            <w:tcW w:w="554"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875"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√拟征收土地所在地的村集体成员</w:t>
            </w:r>
          </w:p>
        </w:tc>
        <w:tc>
          <w:tcPr>
            <w:tcW w:w="551"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p>
        </w:tc>
        <w:tc>
          <w:tcPr>
            <w:tcW w:w="720" w:type="dxa"/>
            <w:shd w:val="clear" w:color="auto" w:fill="auto"/>
            <w:vAlign w:val="center"/>
          </w:tcPr>
          <w:p>
            <w:pPr>
              <w:widowControl/>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bl>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注：1.公开内容中标注为“*”标记的，为可选项，由各地根据实际情况确定。</w:t>
      </w:r>
    </w:p>
    <w:p>
      <w:pPr>
        <w:ind w:firstLine="360" w:firstLineChars="200"/>
        <w:jc w:val="lef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18"/>
          <w:szCs w:val="18"/>
        </w:rPr>
        <w:t>2.公开渠道中标注为“■”标记的，为征地实施中的公开渠道；标注为“▲”标记的，为征地批准后的公开渠道。</w:t>
      </w:r>
    </w:p>
    <w:p>
      <w:pPr>
        <w:rPr>
          <w:rFonts w:hint="default" w:ascii="Times New Roman" w:hAnsi="Times New Roman" w:eastAsia="方正仿宋简体" w:cs="Times New Roma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CF"/>
    <w:rsid w:val="0012037E"/>
    <w:rsid w:val="00347DE8"/>
    <w:rsid w:val="003770AA"/>
    <w:rsid w:val="00484ED7"/>
    <w:rsid w:val="004C5993"/>
    <w:rsid w:val="00517231"/>
    <w:rsid w:val="005552CF"/>
    <w:rsid w:val="0059493F"/>
    <w:rsid w:val="0063058D"/>
    <w:rsid w:val="00643CD9"/>
    <w:rsid w:val="00752CD5"/>
    <w:rsid w:val="008E6F35"/>
    <w:rsid w:val="00901C89"/>
    <w:rsid w:val="00936116"/>
    <w:rsid w:val="009D0AA7"/>
    <w:rsid w:val="00A04F1F"/>
    <w:rsid w:val="00B275C6"/>
    <w:rsid w:val="00BB472E"/>
    <w:rsid w:val="00DF1261"/>
    <w:rsid w:val="2CBA20E0"/>
    <w:rsid w:val="2E8B0BF6"/>
    <w:rsid w:val="64061286"/>
    <w:rsid w:val="6ACD0256"/>
    <w:rsid w:val="6D28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标题 1 Char"/>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PYFL</Company>
  <Pages>6</Pages>
  <Words>522</Words>
  <Characters>2976</Characters>
  <Lines>24</Lines>
  <Paragraphs>6</Paragraphs>
  <TotalTime>0</TotalTime>
  <ScaleCrop>false</ScaleCrop>
  <LinksUpToDate>false</LinksUpToDate>
  <CharactersWithSpaces>3492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2020-08-17T01:55:00Z</dcterms:created>
  <dc:creator>Liu.YP</dc:creator>
  <cp:lastModifiedBy>芦苇草</cp:lastModifiedBy>
  <cp:lastPrinted>2020-09-28T07:15:00Z</cp:lastPrinted>
  <dcterms:modified xsi:type="dcterms:W3CDTF">2020-10-13T02:39:18Z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