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sz w:val="44"/>
          <w:szCs w:val="44"/>
        </w:rPr>
      </w:pPr>
      <w:bookmarkStart w:id="0" w:name="_Toc24724713"/>
      <w:r>
        <w:rPr>
          <w:rFonts w:hint="eastAsia" w:ascii="方正小标宋简体" w:hAnsi="方正小标宋简体" w:eastAsia="方正小标宋简体" w:cs="方正小标宋简体"/>
          <w:b w:val="0"/>
          <w:sz w:val="44"/>
          <w:szCs w:val="44"/>
          <w:lang w:val="en-US" w:eastAsia="zh-CN"/>
        </w:rPr>
        <w:t>五华县</w:t>
      </w:r>
      <w:r>
        <w:rPr>
          <w:rFonts w:hint="eastAsia" w:ascii="方正小标宋简体" w:hAnsi="方正小标宋简体" w:eastAsia="方正小标宋简体" w:cs="方正小标宋简体"/>
          <w:b w:val="0"/>
          <w:sz w:val="44"/>
          <w:szCs w:val="44"/>
        </w:rPr>
        <w:t>社会保险领域基层政务公开</w:t>
      </w:r>
      <w:r>
        <w:rPr>
          <w:rFonts w:hint="eastAsia" w:ascii="方正小标宋简体" w:hAnsi="方正小标宋简体" w:eastAsia="方正小标宋简体" w:cs="方正小标宋简体"/>
          <w:b w:val="0"/>
          <w:sz w:val="44"/>
          <w:szCs w:val="44"/>
          <w:lang w:val="en-US" w:eastAsia="zh-CN"/>
        </w:rPr>
        <w:t>事项</w:t>
      </w:r>
      <w:r>
        <w:rPr>
          <w:rFonts w:hint="eastAsia" w:ascii="方正小标宋简体" w:hAnsi="方正小标宋简体" w:eastAsia="方正小标宋简体" w:cs="方正小标宋简体"/>
          <w:b w:val="0"/>
          <w:sz w:val="44"/>
          <w:szCs w:val="44"/>
        </w:rPr>
        <w:t>标准目录</w:t>
      </w:r>
      <w:bookmarkEnd w:id="0"/>
    </w:p>
    <w:tbl>
      <w:tblPr>
        <w:tblStyle w:val="3"/>
        <w:tblW w:w="15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94"/>
        <w:gridCol w:w="1426"/>
        <w:gridCol w:w="571"/>
        <w:gridCol w:w="869"/>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4"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42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left"/>
              <w:rPr>
                <w:rFonts w:ascii="Times New Roman" w:hAnsi="Times New Roman"/>
                <w:color w:val="000000"/>
                <w:kern w:val="0"/>
                <w:sz w:val="15"/>
                <w:szCs w:val="15"/>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3060" w:type="dxa"/>
            <w:vMerge w:val="continue"/>
            <w:noWrap w:val="0"/>
            <w:vAlign w:val="center"/>
          </w:tcPr>
          <w:p>
            <w:pPr>
              <w:widowControl/>
              <w:rPr>
                <w:rFonts w:ascii="黑体" w:hAnsi="宋体" w:eastAsia="黑体" w:cs="宋体"/>
                <w:color w:val="000000"/>
                <w:kern w:val="0"/>
                <w:sz w:val="22"/>
              </w:rPr>
            </w:pPr>
          </w:p>
        </w:tc>
        <w:tc>
          <w:tcPr>
            <w:tcW w:w="2036" w:type="dxa"/>
            <w:vMerge w:val="continue"/>
            <w:noWrap w:val="0"/>
            <w:vAlign w:val="center"/>
          </w:tcPr>
          <w:p>
            <w:pPr>
              <w:widowControl/>
              <w:jc w:val="left"/>
              <w:rPr>
                <w:rFonts w:ascii="黑体" w:hAnsi="宋体" w:eastAsia="黑体" w:cs="宋体"/>
                <w:color w:val="000000"/>
                <w:kern w:val="0"/>
                <w:sz w:val="22"/>
              </w:rPr>
            </w:pPr>
          </w:p>
        </w:tc>
        <w:tc>
          <w:tcPr>
            <w:tcW w:w="1620" w:type="dxa"/>
            <w:vMerge w:val="continue"/>
            <w:noWrap w:val="0"/>
            <w:vAlign w:val="center"/>
          </w:tcPr>
          <w:p>
            <w:pPr>
              <w:widowControl/>
              <w:jc w:val="left"/>
              <w:rPr>
                <w:rFonts w:ascii="黑体" w:hAnsi="宋体" w:eastAsia="黑体" w:cs="宋体"/>
                <w:color w:val="000000"/>
                <w:kern w:val="0"/>
                <w:sz w:val="22"/>
              </w:rPr>
            </w:pPr>
          </w:p>
        </w:tc>
        <w:tc>
          <w:tcPr>
            <w:tcW w:w="1094" w:type="dxa"/>
            <w:vMerge w:val="continue"/>
            <w:noWrap w:val="0"/>
            <w:vAlign w:val="center"/>
          </w:tcPr>
          <w:p>
            <w:pPr>
              <w:widowControl/>
              <w:jc w:val="left"/>
              <w:rPr>
                <w:rFonts w:ascii="黑体" w:hAnsi="宋体" w:eastAsia="黑体" w:cs="宋体"/>
                <w:color w:val="000000"/>
                <w:kern w:val="0"/>
                <w:sz w:val="22"/>
              </w:rPr>
            </w:pPr>
          </w:p>
        </w:tc>
        <w:tc>
          <w:tcPr>
            <w:tcW w:w="1426" w:type="dxa"/>
            <w:vMerge w:val="continue"/>
            <w:noWrap w:val="0"/>
            <w:vAlign w:val="center"/>
          </w:tcPr>
          <w:p>
            <w:pPr>
              <w:widowControl/>
              <w:jc w:val="left"/>
              <w:rPr>
                <w:rFonts w:ascii="黑体" w:hAnsi="宋体" w:eastAsia="黑体" w:cs="宋体"/>
                <w:kern w:val="0"/>
                <w:sz w:val="22"/>
              </w:rPr>
            </w:pPr>
          </w:p>
        </w:tc>
        <w:tc>
          <w:tcPr>
            <w:tcW w:w="57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6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w:t>
            </w:r>
          </w:p>
        </w:tc>
        <w:tc>
          <w:tcPr>
            <w:tcW w:w="720" w:type="dxa"/>
            <w:vMerge w:val="restart"/>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社会保险登记</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机关事业单位社会保险登记</w:t>
            </w:r>
          </w:p>
        </w:tc>
        <w:tc>
          <w:tcPr>
            <w:tcW w:w="3060" w:type="dxa"/>
            <w:vMerge w:val="restart"/>
            <w:noWrap w:val="0"/>
            <w:vAlign w:val="center"/>
          </w:tcPr>
          <w:p>
            <w:pPr>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《政府信息公开条例》、《社会保险法》、《国务院关于机关事业单位工作人员养老保险制度改革的决定》</w:t>
            </w:r>
          </w:p>
        </w:tc>
        <w:tc>
          <w:tcPr>
            <w:tcW w:w="1620"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p>
            <w:pPr>
              <w:rPr>
                <w:rFonts w:hint="default" w:ascii="Times New Roman" w:hAnsi="Times New Roman" w:eastAsia="方正仿宋简体" w:cs="Times New Roman"/>
                <w:color w:val="000000"/>
                <w:sz w:val="18"/>
                <w:szCs w:val="18"/>
              </w:rPr>
            </w:pPr>
          </w:p>
        </w:tc>
        <w:tc>
          <w:tcPr>
            <w:tcW w:w="1094" w:type="dxa"/>
            <w:vMerge w:val="restart"/>
            <w:noWrap w:val="0"/>
            <w:vAlign w:val="center"/>
          </w:tcPr>
          <w:p>
            <w:pPr>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p>
            <w:pPr>
              <w:rPr>
                <w:rFonts w:hint="default" w:ascii="Times New Roman" w:hAnsi="Times New Roman" w:eastAsia="方正仿宋简体" w:cs="Times New Roman"/>
                <w:color w:val="000000"/>
                <w:sz w:val="18"/>
                <w:szCs w:val="18"/>
              </w:rPr>
            </w:pPr>
          </w:p>
        </w:tc>
        <w:tc>
          <w:tcPr>
            <w:tcW w:w="1426"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工程建设项目办理工伤保险参保登记</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《政府信息公开条例》、《社会保险法》、《社会保险费征缴暂行条例》</w:t>
            </w: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参保单位注销</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《政府信息公开条例》、《社会保险法》、《社会保险费征缴暂行条例》</w:t>
            </w:r>
          </w:p>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职工参保登记</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城乡居民养老保险参保登记</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w:t>
            </w:r>
          </w:p>
        </w:tc>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社会保险参保信息维护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单位（项目）基本信息变更</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《政府信息公开条例》、《社会保险法》、《社会保险费征缴暂行条例》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br w:type="textWrapping"/>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w:t>
            </w:r>
          </w:p>
        </w:tc>
        <w:tc>
          <w:tcPr>
            <w:tcW w:w="7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个人基本信息变更</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8</w:t>
            </w:r>
          </w:p>
        </w:tc>
        <w:tc>
          <w:tcPr>
            <w:tcW w:w="7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养老保险待遇发放账户维护申请</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9</w:t>
            </w:r>
          </w:p>
        </w:tc>
        <w:tc>
          <w:tcPr>
            <w:tcW w:w="7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工伤保险待遇发放账户维护申请</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10</w:t>
            </w:r>
          </w:p>
        </w:tc>
        <w:tc>
          <w:tcPr>
            <w:tcW w:w="7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失业保险待遇发放账户维护申请</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11</w:t>
            </w:r>
          </w:p>
        </w:tc>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社会保险缴费申报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缴费人员增减申报</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《政府信息公开条例》、《社会保险法》、《社会保险费征缴暂行条例》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br w:type="textWrapping"/>
            </w: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12</w:t>
            </w:r>
          </w:p>
        </w:tc>
        <w:tc>
          <w:tcPr>
            <w:tcW w:w="7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社会保险缴费申报与变更</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13</w:t>
            </w:r>
          </w:p>
        </w:tc>
        <w:tc>
          <w:tcPr>
            <w:tcW w:w="7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社会保险费延缴申请</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14</w:t>
            </w:r>
          </w:p>
        </w:tc>
        <w:tc>
          <w:tcPr>
            <w:tcW w:w="7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社会保险费欠费补缴申报</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15</w:t>
            </w:r>
          </w:p>
        </w:tc>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社会保险参保缴费记录查询</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单位参保证明查询打印</w:t>
            </w:r>
          </w:p>
        </w:tc>
        <w:tc>
          <w:tcPr>
            <w:tcW w:w="3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《政府信息公开条例》、《社会保险法》、《社会保险费征缴暂行条例》</w:t>
            </w: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16</w:t>
            </w:r>
          </w:p>
        </w:tc>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个人权益记录查询打印</w:t>
            </w:r>
          </w:p>
        </w:tc>
        <w:tc>
          <w:tcPr>
            <w:tcW w:w="3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20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14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17</w:t>
            </w:r>
          </w:p>
        </w:tc>
        <w:tc>
          <w:tcPr>
            <w:tcW w:w="720" w:type="dxa"/>
            <w:vMerge w:val="restart"/>
            <w:noWrap w:val="0"/>
            <w:vAlign w:val="center"/>
          </w:tcPr>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养老保险服务</w:t>
            </w:r>
          </w:p>
          <w:p>
            <w:pPr>
              <w:jc w:val="cente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职工正常退休</w:t>
            </w:r>
            <w:r>
              <w:rPr>
                <w:rFonts w:hint="eastAsia" w:ascii="Times New Roman" w:hAnsi="Times New Roman" w:eastAsia="方正仿宋简体" w:cs="Times New Roman"/>
                <w:color w:val="000000"/>
                <w:sz w:val="18"/>
                <w:szCs w:val="18"/>
                <w:lang w:eastAsia="zh-CN"/>
              </w:rPr>
              <w:t>（</w:t>
            </w:r>
            <w:r>
              <w:rPr>
                <w:rFonts w:hint="eastAsia" w:ascii="Times New Roman" w:hAnsi="Times New Roman" w:eastAsia="方正仿宋简体" w:cs="Times New Roman"/>
                <w:color w:val="000000"/>
                <w:sz w:val="18"/>
                <w:szCs w:val="18"/>
                <w:lang w:val="en-US" w:eastAsia="zh-CN"/>
              </w:rPr>
              <w:t>职）</w:t>
            </w:r>
            <w:r>
              <w:rPr>
                <w:rFonts w:hint="default" w:ascii="Times New Roman" w:hAnsi="Times New Roman" w:eastAsia="方正仿宋简体" w:cs="Times New Roman"/>
                <w:color w:val="000000"/>
                <w:sz w:val="18"/>
                <w:szCs w:val="18"/>
              </w:rPr>
              <w:t>申请</w:t>
            </w:r>
          </w:p>
        </w:tc>
        <w:tc>
          <w:tcPr>
            <w:tcW w:w="3060" w:type="dxa"/>
            <w:vMerge w:val="restart"/>
            <w:noWrap w:val="0"/>
            <w:vAlign w:val="center"/>
          </w:tcPr>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《政府信息公开条例》、《社会保险法》、《劳动保险条例》</w:t>
            </w:r>
          </w:p>
          <w:p>
            <w:pPr>
              <w:rPr>
                <w:rFonts w:hint="default" w:ascii="Times New Roman" w:hAnsi="Times New Roman" w:eastAsia="方正仿宋简体" w:cs="Times New Roman"/>
                <w:color w:val="000000"/>
                <w:sz w:val="18"/>
                <w:szCs w:val="18"/>
              </w:rPr>
            </w:pPr>
          </w:p>
        </w:tc>
        <w:tc>
          <w:tcPr>
            <w:tcW w:w="1620"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tc>
        <w:tc>
          <w:tcPr>
            <w:tcW w:w="1094" w:type="dxa"/>
            <w:vMerge w:val="restart"/>
            <w:noWrap w:val="0"/>
            <w:vAlign w:val="center"/>
          </w:tcPr>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p>
            <w:pPr>
              <w:rPr>
                <w:rFonts w:hint="eastAsia" w:ascii="Times New Roman" w:hAnsi="Times New Roman" w:eastAsia="方正仿宋简体" w:cs="Times New Roman"/>
                <w:color w:val="000000"/>
                <w:sz w:val="18"/>
                <w:szCs w:val="18"/>
                <w:lang w:eastAsia="zh-CN"/>
              </w:rPr>
            </w:pPr>
          </w:p>
        </w:tc>
        <w:tc>
          <w:tcPr>
            <w:tcW w:w="142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18</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城乡居民养老保险待遇申领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19</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暂停养老保险待遇申请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20</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恢复养老保险待遇申请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21</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个人账户一次性待遇申领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22</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丧葬补助金、抚恤金申领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23</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居民养老保险注销登记</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eastAsia" w:ascii="Times New Roman" w:hAnsi="Times New Roman" w:eastAsia="方正仿宋简体" w:cs="Times New Roman"/>
                <w:color w:val="000000"/>
                <w:sz w:val="18"/>
                <w:szCs w:val="18"/>
                <w:lang w:eastAsia="zh-CN"/>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24</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遗属待遇申领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25</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病残津贴申领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26</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城镇职工基本养老保险关系转移接续申请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《政府信息公开条例》、《社会保险法》、《国务院办公厅关于转发人力资源社会保障部财政部城镇企业职工基本养老保险关系转移接续暂行办法的通知》</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27</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机关事业单位养老保险关系转移接续申请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《政府信息公开条例》、《社会保险法》、《人力资源社会保障部</w:t>
            </w:r>
            <w:r>
              <w:rPr>
                <w:rFonts w:hint="eastAsia" w:ascii="Times New Roman" w:hAnsi="Times New Roman" w:eastAsia="方正仿宋简体" w:cs="Times New Roman"/>
                <w:color w:val="000000"/>
                <w:sz w:val="18"/>
                <w:szCs w:val="18"/>
                <w:lang w:val="en-US" w:eastAsia="zh-CN"/>
              </w:rPr>
              <w:t xml:space="preserve"> </w:t>
            </w:r>
            <w:r>
              <w:rPr>
                <w:rFonts w:hint="default" w:ascii="Times New Roman" w:hAnsi="Times New Roman" w:eastAsia="方正仿宋简体" w:cs="Times New Roman"/>
                <w:color w:val="000000"/>
                <w:sz w:val="18"/>
                <w:szCs w:val="18"/>
              </w:rPr>
              <w:t>财政部关于机关事业单位基本养老保险关系和职业年金转移接续有关问题的通知》</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28</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城乡居民基本养老保险关系转移接续申请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《政府信息公开条例》、《社会保险法》、《劳动保险条例》</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29</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机关事业单位基本养老保险与城镇企业职工基本养老保险互转申请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《政府信息公开条例》、《社会保险法》、《人力资源社会保障部</w:t>
            </w:r>
            <w:r>
              <w:rPr>
                <w:rFonts w:hint="eastAsia" w:ascii="Times New Roman" w:hAnsi="Times New Roman" w:eastAsia="方正仿宋简体" w:cs="Times New Roman"/>
                <w:color w:val="000000"/>
                <w:sz w:val="18"/>
                <w:szCs w:val="18"/>
                <w:lang w:val="en-US" w:eastAsia="zh-CN"/>
              </w:rPr>
              <w:t xml:space="preserve"> </w:t>
            </w:r>
            <w:r>
              <w:rPr>
                <w:rFonts w:hint="default" w:ascii="Times New Roman" w:hAnsi="Times New Roman" w:eastAsia="方正仿宋简体" w:cs="Times New Roman"/>
                <w:color w:val="000000"/>
                <w:sz w:val="18"/>
                <w:szCs w:val="18"/>
              </w:rPr>
              <w:t>财政部关于机关事业单位基本养老保险关系和职业年金转移接续有关问题的通知》</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30</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xml:space="preserve">城镇职工基本养老保险与城乡居民基本养老保险制度衔接申请  </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《政府信息公开条例》、《社会保险法》《人力资源社会保障部</w:t>
            </w:r>
            <w:r>
              <w:rPr>
                <w:rFonts w:hint="eastAsia" w:ascii="Times New Roman" w:hAnsi="Times New Roman" w:eastAsia="方正仿宋简体" w:cs="Times New Roman"/>
                <w:color w:val="000000"/>
                <w:sz w:val="18"/>
                <w:szCs w:val="18"/>
                <w:lang w:val="en-US" w:eastAsia="zh-CN"/>
              </w:rPr>
              <w:t xml:space="preserve"> </w:t>
            </w:r>
            <w:r>
              <w:rPr>
                <w:rFonts w:hint="default" w:ascii="Times New Roman" w:hAnsi="Times New Roman" w:eastAsia="方正仿宋简体" w:cs="Times New Roman"/>
                <w:color w:val="000000"/>
                <w:sz w:val="18"/>
                <w:szCs w:val="18"/>
              </w:rPr>
              <w:t>财政部关于印发</w:t>
            </w:r>
            <w:r>
              <w:rPr>
                <w:rFonts w:hint="eastAsia" w:ascii="仿宋" w:hAnsi="仿宋" w:eastAsia="仿宋" w:cs="仿宋"/>
                <w:color w:val="000000"/>
                <w:sz w:val="18"/>
                <w:szCs w:val="18"/>
              </w:rPr>
              <w:t>〈</w:t>
            </w:r>
            <w:r>
              <w:rPr>
                <w:rFonts w:hint="default" w:ascii="Times New Roman" w:hAnsi="Times New Roman" w:eastAsia="方正仿宋简体" w:cs="Times New Roman"/>
                <w:color w:val="000000"/>
                <w:sz w:val="18"/>
                <w:szCs w:val="18"/>
              </w:rPr>
              <w:t>城乡养老保险制度衔接暂行办法</w:t>
            </w:r>
            <w:r>
              <w:rPr>
                <w:rFonts w:hint="eastAsia" w:ascii="仿宋" w:hAnsi="仿宋" w:eastAsia="仿宋" w:cs="仿宋"/>
                <w:color w:val="000000"/>
                <w:sz w:val="18"/>
                <w:szCs w:val="18"/>
              </w:rPr>
              <w:t>〉</w:t>
            </w:r>
            <w:r>
              <w:rPr>
                <w:rFonts w:hint="default" w:ascii="Times New Roman" w:hAnsi="Times New Roman" w:eastAsia="方正仿宋简体" w:cs="Times New Roman"/>
                <w:color w:val="000000"/>
                <w:sz w:val="18"/>
                <w:szCs w:val="18"/>
              </w:rPr>
              <w:t>的通知》</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31</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军地养老保险关系转移接续申请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《政府信息公开条例》、《社会保险法》、《人力资源社会保障部</w:t>
            </w:r>
            <w:r>
              <w:rPr>
                <w:rFonts w:hint="eastAsia" w:ascii="Times New Roman" w:hAnsi="Times New Roman" w:eastAsia="方正仿宋简体" w:cs="Times New Roman"/>
                <w:color w:val="000000"/>
                <w:sz w:val="18"/>
                <w:szCs w:val="18"/>
                <w:lang w:val="en-US" w:eastAsia="zh-CN"/>
              </w:rPr>
              <w:t xml:space="preserve"> </w:t>
            </w:r>
            <w:r>
              <w:rPr>
                <w:rFonts w:hint="default" w:ascii="Times New Roman" w:hAnsi="Times New Roman" w:eastAsia="方正仿宋简体" w:cs="Times New Roman"/>
                <w:color w:val="000000"/>
                <w:sz w:val="18"/>
                <w:szCs w:val="18"/>
              </w:rPr>
              <w:t>财政部</w:t>
            </w:r>
            <w:r>
              <w:rPr>
                <w:rFonts w:hint="eastAsia" w:ascii="Times New Roman" w:hAnsi="Times New Roman" w:eastAsia="方正仿宋简体" w:cs="Times New Roman"/>
                <w:color w:val="000000"/>
                <w:sz w:val="18"/>
                <w:szCs w:val="18"/>
                <w:lang w:val="en-US" w:eastAsia="zh-CN"/>
              </w:rPr>
              <w:t xml:space="preserve"> </w:t>
            </w:r>
            <w:r>
              <w:rPr>
                <w:rFonts w:hint="default" w:ascii="Times New Roman" w:hAnsi="Times New Roman" w:eastAsia="方正仿宋简体" w:cs="Times New Roman"/>
                <w:color w:val="000000"/>
                <w:sz w:val="18"/>
                <w:szCs w:val="18"/>
              </w:rPr>
              <w:t>总参谋部</w:t>
            </w:r>
            <w:r>
              <w:rPr>
                <w:rFonts w:hint="eastAsia" w:ascii="Times New Roman" w:hAnsi="Times New Roman" w:eastAsia="方正仿宋简体" w:cs="Times New Roman"/>
                <w:color w:val="000000"/>
                <w:sz w:val="18"/>
                <w:szCs w:val="18"/>
                <w:lang w:val="en-US" w:eastAsia="zh-CN"/>
              </w:rPr>
              <w:t xml:space="preserve"> </w:t>
            </w:r>
            <w:r>
              <w:rPr>
                <w:rFonts w:hint="default" w:ascii="Times New Roman" w:hAnsi="Times New Roman" w:eastAsia="方正仿宋简体" w:cs="Times New Roman"/>
                <w:color w:val="000000"/>
                <w:sz w:val="18"/>
                <w:szCs w:val="18"/>
              </w:rPr>
              <w:t>总政治部</w:t>
            </w:r>
            <w:r>
              <w:rPr>
                <w:rFonts w:hint="eastAsia" w:ascii="Times New Roman" w:hAnsi="Times New Roman" w:eastAsia="方正仿宋简体" w:cs="Times New Roman"/>
                <w:color w:val="000000"/>
                <w:sz w:val="18"/>
                <w:szCs w:val="18"/>
                <w:lang w:val="en-US" w:eastAsia="zh-CN"/>
              </w:rPr>
              <w:t xml:space="preserve"> </w:t>
            </w:r>
            <w:r>
              <w:rPr>
                <w:rFonts w:hint="default" w:ascii="Times New Roman" w:hAnsi="Times New Roman" w:eastAsia="方正仿宋简体" w:cs="Times New Roman"/>
                <w:color w:val="000000"/>
                <w:sz w:val="18"/>
                <w:szCs w:val="18"/>
              </w:rPr>
              <w:t>总后勤部关于军人退役基本养老保险关系转移接续有关问题的通知》</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32</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多重养老保险关系个人账户退费</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《政府信息公开条例》、《社会保险法》、《人力资源和社会保障部关于贯彻落实国务院办公厅转发城镇企业职工基本养老保险关系转移接续暂行办法的通知》</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33</w:t>
            </w:r>
          </w:p>
        </w:tc>
        <w:tc>
          <w:tcPr>
            <w:tcW w:w="720" w:type="dxa"/>
            <w:vMerge w:val="restart"/>
            <w:noWrap w:val="0"/>
            <w:vAlign w:val="center"/>
          </w:tcPr>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工伤保险服务</w:t>
            </w:r>
          </w:p>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工伤事故备案</w:t>
            </w:r>
          </w:p>
        </w:tc>
        <w:tc>
          <w:tcPr>
            <w:tcW w:w="3060" w:type="dxa"/>
            <w:vMerge w:val="restart"/>
            <w:noWrap w:val="0"/>
            <w:vAlign w:val="center"/>
          </w:tcPr>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jc w:val="left"/>
              <w:rPr>
                <w:rFonts w:hint="default" w:ascii="Times New Roman" w:hAnsi="Times New Roman" w:eastAsia="方正仿宋简体" w:cs="Times New Roman"/>
                <w:color w:val="000000"/>
                <w:sz w:val="18"/>
                <w:szCs w:val="18"/>
              </w:rPr>
            </w:pPr>
          </w:p>
        </w:tc>
        <w:tc>
          <w:tcPr>
            <w:tcW w:w="203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《政府信息公开条例》、《社会保险法》、《工伤保险条例》</w:t>
            </w:r>
          </w:p>
        </w:tc>
        <w:tc>
          <w:tcPr>
            <w:tcW w:w="162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34</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用人单位办理工伤登记</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《政府信息公开条例》、《社会保险法》、《工伤保险条例》</w:t>
            </w:r>
          </w:p>
        </w:tc>
        <w:tc>
          <w:tcPr>
            <w:tcW w:w="1620"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vMerge w:val="restart"/>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35</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变更工伤登记</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36</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协议医疗机构的确认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37</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协议康复机构的确认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38</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辅助器具配置协议机构的确认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39</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异地居住就医申请确认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40</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异地工伤就医报告</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41</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旧伤复发申请确认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《政府信息公开条例》、《社会保险法》、《工伤保险条例》</w:t>
            </w:r>
          </w:p>
        </w:tc>
        <w:tc>
          <w:tcPr>
            <w:tcW w:w="1620"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vMerge w:val="restart"/>
            <w:noWrap w:val="0"/>
            <w:vAlign w:val="center"/>
          </w:tcPr>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vMerge w:val="restart"/>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42</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转诊转院申请确认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43</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工伤康复申请确认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44</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工伤康复治疗期延长申请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45</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辅助器具配置或更换申请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46</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辅助器具异地配置申请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47</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停工留薪期确认和延长确认</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48</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工伤医疗（康复）费用申报</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《政府信息公开条例》、《社会保险法》、《工伤保险条例》</w:t>
            </w:r>
          </w:p>
        </w:tc>
        <w:tc>
          <w:tcPr>
            <w:tcW w:w="1620"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vMerge w:val="restart"/>
            <w:noWrap w:val="0"/>
            <w:vAlign w:val="center"/>
          </w:tcPr>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49</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住院伙食补助费申领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50</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统筹地区以外交通、食宿费申领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51</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一次性工伤医疗补助金申请</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52</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辅助器具配置（更换）费用申报</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53</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伤残待遇申领（一次性伤残补助金、伤残津贴和生活护理费）</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《政府信息公开条例》、《社会保险法》、《工伤保险条例》</w:t>
            </w:r>
          </w:p>
        </w:tc>
        <w:tc>
          <w:tcPr>
            <w:tcW w:w="1620"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94" w:type="dxa"/>
            <w:vMerge w:val="restart"/>
            <w:noWrap w:val="0"/>
            <w:vAlign w:val="center"/>
          </w:tcPr>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tc>
        <w:tc>
          <w:tcPr>
            <w:tcW w:w="142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bookmarkStart w:id="1" w:name="_GoBack"/>
            <w:bookmarkEnd w:id="1"/>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54</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一次性工亡补助金（含生活困难，预支50%确认）、丧葬补助金申领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55</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供养亲属抚恤金申领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56</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工伤保险待遇变更</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noWrap w:val="0"/>
            <w:vAlign w:val="center"/>
          </w:tcPr>
          <w:p>
            <w:pPr>
              <w:rPr>
                <w:rFonts w:hint="default" w:ascii="Times New Roman" w:hAnsi="Times New Roman" w:eastAsia="方正仿宋简体" w:cs="Times New Roman"/>
                <w:color w:val="000000"/>
                <w:sz w:val="18"/>
                <w:szCs w:val="18"/>
              </w:rPr>
            </w:pPr>
          </w:p>
        </w:tc>
        <w:tc>
          <w:tcPr>
            <w:tcW w:w="1620" w:type="dxa"/>
            <w:vMerge w:val="continue"/>
            <w:noWrap w:val="0"/>
            <w:vAlign w:val="center"/>
          </w:tcPr>
          <w:p>
            <w:pPr>
              <w:rPr>
                <w:rFonts w:hint="default" w:ascii="Times New Roman" w:hAnsi="Times New Roman" w:eastAsia="方正仿宋简体" w:cs="Times New Roman"/>
                <w:color w:val="000000"/>
                <w:sz w:val="18"/>
                <w:szCs w:val="18"/>
              </w:rPr>
            </w:pPr>
          </w:p>
        </w:tc>
        <w:tc>
          <w:tcPr>
            <w:tcW w:w="1094" w:type="dxa"/>
            <w:vMerge w:val="continue"/>
            <w:noWrap w:val="0"/>
            <w:vAlign w:val="center"/>
          </w:tcPr>
          <w:p>
            <w:pPr>
              <w:rPr>
                <w:rFonts w:hint="default" w:ascii="Times New Roman" w:hAnsi="Times New Roman" w:eastAsia="方正仿宋简体" w:cs="Times New Roman"/>
                <w:color w:val="000000"/>
                <w:sz w:val="18"/>
                <w:szCs w:val="18"/>
              </w:rPr>
            </w:pPr>
          </w:p>
        </w:tc>
        <w:tc>
          <w:tcPr>
            <w:tcW w:w="1426" w:type="dxa"/>
            <w:vMerge w:val="continue"/>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57</w:t>
            </w:r>
          </w:p>
        </w:tc>
        <w:tc>
          <w:tcPr>
            <w:tcW w:w="720" w:type="dxa"/>
            <w:vMerge w:val="restart"/>
            <w:noWrap w:val="0"/>
            <w:vAlign w:val="center"/>
          </w:tcPr>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失业保险服务</w:t>
            </w:r>
          </w:p>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失业保险金申领</w:t>
            </w:r>
          </w:p>
        </w:tc>
        <w:tc>
          <w:tcPr>
            <w:tcW w:w="3060" w:type="dxa"/>
            <w:vMerge w:val="restart"/>
            <w:noWrap w:val="0"/>
            <w:vAlign w:val="center"/>
          </w:tcPr>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《政府信息公开条例》、《社会保险法》、《失业保险条例》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restart"/>
            <w:noWrap w:val="0"/>
            <w:vAlign w:val="center"/>
          </w:tcPr>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简体" w:cs="Times New Roman"/>
                <w:color w:val="00000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简体" w:cs="Times New Roman"/>
                <w:color w:val="000000"/>
                <w:sz w:val="18"/>
                <w:szCs w:val="18"/>
                <w:lang w:eastAsia="zh-CN"/>
              </w:rPr>
            </w:pPr>
          </w:p>
        </w:tc>
        <w:tc>
          <w:tcPr>
            <w:tcW w:w="142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58</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丧葬补助金和抚恤金申领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59</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职业培训补贴申领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60</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职业介绍补贴申领</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61</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农民合同制工人一次性生活补助申领</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62</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代缴基本医疗保险费</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63</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价格临时补贴申领</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简体" w:cs="Times New Roman"/>
                <w:color w:val="000000"/>
                <w:sz w:val="18"/>
                <w:szCs w:val="18"/>
                <w:lang w:eastAsia="zh-CN"/>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64</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失业保险关系转移接续</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65</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稳岗补贴申领</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66</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技能提升补贴申领</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67</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东部7省（市）扩大支出试点项目</w:t>
            </w:r>
          </w:p>
        </w:tc>
        <w:tc>
          <w:tcPr>
            <w:tcW w:w="30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000000"/>
                <w:sz w:val="18"/>
                <w:szCs w:val="18"/>
              </w:rPr>
            </w:pP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68</w:t>
            </w:r>
          </w:p>
        </w:tc>
        <w:tc>
          <w:tcPr>
            <w:tcW w:w="720" w:type="dxa"/>
            <w:vMerge w:val="restart"/>
            <w:noWrap w:val="0"/>
            <w:vAlign w:val="center"/>
          </w:tcPr>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企业年金方案备案</w:t>
            </w:r>
          </w:p>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企业年金方案备案</w:t>
            </w:r>
          </w:p>
        </w:tc>
        <w:tc>
          <w:tcPr>
            <w:tcW w:w="3060" w:type="dxa"/>
            <w:vMerge w:val="restart"/>
            <w:noWrap w:val="0"/>
            <w:vAlign w:val="center"/>
          </w:tcPr>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《政府信息公开条例》、《社会保险法》、《企业年金办法》</w:t>
            </w:r>
          </w:p>
          <w:p>
            <w:pPr>
              <w:rPr>
                <w:rFonts w:hint="default" w:ascii="Times New Roman" w:hAnsi="Times New Roman" w:eastAsia="方正仿宋简体" w:cs="Times New Roman"/>
                <w:color w:val="000000"/>
                <w:sz w:val="18"/>
                <w:szCs w:val="18"/>
              </w:rPr>
            </w:pPr>
          </w:p>
        </w:tc>
        <w:tc>
          <w:tcPr>
            <w:tcW w:w="1620"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p>
            <w:pPr>
              <w:rPr>
                <w:rFonts w:hint="default" w:ascii="Times New Roman" w:hAnsi="Times New Roman" w:eastAsia="方正仿宋简体" w:cs="Times New Roman"/>
                <w:color w:val="000000"/>
                <w:sz w:val="18"/>
                <w:szCs w:val="18"/>
              </w:rPr>
            </w:pPr>
          </w:p>
        </w:tc>
        <w:tc>
          <w:tcPr>
            <w:tcW w:w="1094" w:type="dxa"/>
            <w:vMerge w:val="restart"/>
            <w:noWrap w:val="0"/>
            <w:vAlign w:val="center"/>
          </w:tcPr>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p>
            <w:pPr>
              <w:rPr>
                <w:rFonts w:hint="eastAsia" w:ascii="Times New Roman" w:hAnsi="Times New Roman" w:eastAsia="方正仿宋简体" w:cs="Times New Roman"/>
                <w:color w:val="000000"/>
                <w:sz w:val="18"/>
                <w:szCs w:val="18"/>
                <w:lang w:eastAsia="zh-CN"/>
              </w:rPr>
            </w:pPr>
          </w:p>
        </w:tc>
        <w:tc>
          <w:tcPr>
            <w:tcW w:w="142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69</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企业年金方案重要条款变更备案</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eastAsia" w:ascii="Times New Roman" w:hAnsi="Times New Roman" w:eastAsia="方正仿宋简体" w:cs="Times New Roman"/>
                <w:color w:val="000000"/>
                <w:sz w:val="18"/>
                <w:szCs w:val="18"/>
                <w:lang w:eastAsia="zh-CN"/>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70</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企业年金方案终止备案</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71</w:t>
            </w:r>
          </w:p>
        </w:tc>
        <w:tc>
          <w:tcPr>
            <w:tcW w:w="720" w:type="dxa"/>
            <w:vMerge w:val="restart"/>
            <w:noWrap w:val="0"/>
            <w:vAlign w:val="center"/>
          </w:tcPr>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p>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社会保障卡服务</w:t>
            </w:r>
          </w:p>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社会保障卡申领</w:t>
            </w:r>
          </w:p>
        </w:tc>
        <w:tc>
          <w:tcPr>
            <w:tcW w:w="3060" w:type="dxa"/>
            <w:vMerge w:val="restart"/>
            <w:noWrap w:val="0"/>
            <w:vAlign w:val="center"/>
          </w:tcPr>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p>
          <w:p>
            <w:pPr>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事项名称、事项简述、办理材料、办理方式、办理时限、结果送达、收费依据及标准、办事时间、办理机构及地点、咨询查询途径、监督投诉渠道</w:t>
            </w:r>
          </w:p>
          <w:p>
            <w:pPr>
              <w:jc w:val="left"/>
              <w:rPr>
                <w:rFonts w:hint="default" w:ascii="Times New Roman" w:hAnsi="Times New Roman" w:eastAsia="方正仿宋简体" w:cs="Times New Roman"/>
                <w:color w:val="000000"/>
                <w:sz w:val="18"/>
                <w:szCs w:val="18"/>
              </w:rPr>
            </w:pPr>
          </w:p>
        </w:tc>
        <w:tc>
          <w:tcPr>
            <w:tcW w:w="203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《政府信息公开条例》、《社会保险法》、《人力资源和社会保障部关于印发“中华人民共和国社会保障卡”管理办法的通知》</w:t>
            </w:r>
          </w:p>
          <w:p>
            <w:pPr>
              <w:rPr>
                <w:rFonts w:hint="default" w:ascii="Times New Roman" w:hAnsi="Times New Roman" w:eastAsia="方正仿宋简体" w:cs="Times New Roman"/>
                <w:color w:val="000000"/>
                <w:sz w:val="18"/>
                <w:szCs w:val="18"/>
              </w:rPr>
            </w:pPr>
          </w:p>
        </w:tc>
        <w:tc>
          <w:tcPr>
            <w:tcW w:w="1620"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p>
            <w:pPr>
              <w:rPr>
                <w:rFonts w:hint="default" w:ascii="Times New Roman" w:hAnsi="Times New Roman" w:eastAsia="方正仿宋简体" w:cs="Times New Roman"/>
                <w:color w:val="000000"/>
                <w:sz w:val="18"/>
                <w:szCs w:val="18"/>
              </w:rPr>
            </w:pPr>
          </w:p>
        </w:tc>
        <w:tc>
          <w:tcPr>
            <w:tcW w:w="1094" w:type="dxa"/>
            <w:vMerge w:val="restart"/>
            <w:noWrap w:val="0"/>
            <w:vAlign w:val="center"/>
          </w:tcPr>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p>
          <w:p>
            <w:pPr>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五华县</w:t>
            </w:r>
            <w:r>
              <w:rPr>
                <w:rFonts w:hint="default" w:ascii="Times New Roman" w:hAnsi="Times New Roman" w:eastAsia="方正仿宋简体" w:cs="Times New Roman"/>
                <w:color w:val="000000"/>
                <w:sz w:val="18"/>
                <w:szCs w:val="18"/>
              </w:rPr>
              <w:t>人力资源</w:t>
            </w:r>
            <w:r>
              <w:rPr>
                <w:rFonts w:hint="eastAsia" w:ascii="Times New Roman" w:hAnsi="Times New Roman" w:eastAsia="方正仿宋简体" w:cs="Times New Roman"/>
                <w:color w:val="000000"/>
                <w:sz w:val="18"/>
                <w:szCs w:val="18"/>
                <w:lang w:val="en-US" w:eastAsia="zh-CN"/>
              </w:rPr>
              <w:t>和</w:t>
            </w:r>
            <w:r>
              <w:rPr>
                <w:rFonts w:hint="default" w:ascii="Times New Roman" w:hAnsi="Times New Roman" w:eastAsia="方正仿宋简体" w:cs="Times New Roman"/>
                <w:color w:val="000000"/>
                <w:sz w:val="18"/>
                <w:szCs w:val="18"/>
              </w:rPr>
              <w:t>社会保障</w:t>
            </w:r>
            <w:r>
              <w:rPr>
                <w:rFonts w:hint="eastAsia" w:ascii="Times New Roman" w:hAnsi="Times New Roman" w:eastAsia="方正仿宋简体" w:cs="Times New Roman"/>
                <w:color w:val="000000"/>
                <w:sz w:val="18"/>
                <w:szCs w:val="18"/>
                <w:lang w:val="en-US" w:eastAsia="zh-CN"/>
              </w:rPr>
              <w:t>局</w:t>
            </w:r>
          </w:p>
          <w:p>
            <w:pPr>
              <w:rPr>
                <w:rFonts w:hint="default" w:ascii="Times New Roman" w:hAnsi="Times New Roman" w:eastAsia="方正仿宋简体" w:cs="Times New Roman"/>
                <w:color w:val="000000"/>
                <w:sz w:val="18"/>
                <w:szCs w:val="18"/>
              </w:rPr>
            </w:pPr>
          </w:p>
        </w:tc>
        <w:tc>
          <w:tcPr>
            <w:tcW w:w="1426" w:type="dxa"/>
            <w:vMerge w:val="restart"/>
            <w:noWrap w:val="0"/>
            <w:vAlign w:val="center"/>
          </w:tcPr>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r>
              <w:rPr>
                <w:rFonts w:hint="eastAsia" w:ascii="Times New Roman" w:hAnsi="Times New Roman" w:eastAsia="方正仿宋简体" w:cs="Times New Roman"/>
                <w:color w:val="000000"/>
                <w:sz w:val="18"/>
                <w:szCs w:val="18"/>
                <w:lang w:val="en-US" w:eastAsia="zh-CN"/>
              </w:rPr>
              <w:t>五华县人民</w:t>
            </w:r>
            <w:r>
              <w:rPr>
                <w:rFonts w:hint="default" w:ascii="Times New Roman" w:hAnsi="Times New Roman" w:eastAsia="方正仿宋简体" w:cs="Times New Roman"/>
                <w:color w:val="000000"/>
                <w:sz w:val="18"/>
                <w:szCs w:val="18"/>
              </w:rPr>
              <w:t>政府</w:t>
            </w:r>
            <w:r>
              <w:rPr>
                <w:rFonts w:hint="eastAsia" w:ascii="Times New Roman" w:hAnsi="Times New Roman" w:eastAsia="方正仿宋简体" w:cs="Times New Roman"/>
                <w:color w:val="000000"/>
                <w:sz w:val="18"/>
                <w:szCs w:val="18"/>
                <w:lang w:val="en-US" w:eastAsia="zh-CN"/>
              </w:rPr>
              <w:t>门户</w:t>
            </w:r>
            <w:r>
              <w:rPr>
                <w:rFonts w:hint="default" w:ascii="Times New Roman" w:hAnsi="Times New Roman" w:eastAsia="方正仿宋简体" w:cs="Times New Roman"/>
                <w:color w:val="000000"/>
                <w:sz w:val="18"/>
                <w:szCs w:val="18"/>
              </w:rPr>
              <w:t xml:space="preserve">网站    </w:t>
            </w:r>
          </w:p>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■政务服务中心</w:t>
            </w:r>
            <w:r>
              <w:rPr>
                <w:rFonts w:hint="default" w:ascii="Times New Roman" w:hAnsi="Times New Roman" w:eastAsia="方正仿宋简体" w:cs="Times New Roman"/>
                <w:color w:val="000000"/>
                <w:sz w:val="18"/>
                <w:szCs w:val="18"/>
              </w:rPr>
              <w:br w:type="textWrapping"/>
            </w:r>
          </w:p>
          <w:p>
            <w:pPr>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br w:type="textWrapping"/>
            </w: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72</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社会保障卡启用（含社会保障卡银行账户激活）</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73</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社会保障卡应用状态查询</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74</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社会保障卡信息变更（非关键信息）</w:t>
            </w:r>
          </w:p>
        </w:tc>
        <w:tc>
          <w:tcPr>
            <w:tcW w:w="3060"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jc w:val="left"/>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75</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社会保障卡密码修改与重置</w:t>
            </w:r>
          </w:p>
        </w:tc>
        <w:tc>
          <w:tcPr>
            <w:tcW w:w="306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76</w:t>
            </w:r>
          </w:p>
        </w:tc>
        <w:tc>
          <w:tcPr>
            <w:tcW w:w="720" w:type="dxa"/>
            <w:vMerge w:val="continue"/>
            <w:tcBorders/>
            <w:noWrap w:val="0"/>
            <w:vAlign w:val="center"/>
          </w:tcPr>
          <w:p>
            <w:pPr>
              <w:jc w:val="cente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社会保障卡挂失与解挂</w:t>
            </w:r>
          </w:p>
        </w:tc>
        <w:tc>
          <w:tcPr>
            <w:tcW w:w="306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77</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社会保障卡补换、换领、换发</w:t>
            </w:r>
          </w:p>
        </w:tc>
        <w:tc>
          <w:tcPr>
            <w:tcW w:w="306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78</w:t>
            </w:r>
          </w:p>
        </w:tc>
        <w:tc>
          <w:tcPr>
            <w:tcW w:w="7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80" w:type="dxa"/>
            <w:noWrap w:val="0"/>
            <w:vAlign w:val="center"/>
          </w:tcPr>
          <w:p>
            <w:pP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社会保障卡注销</w:t>
            </w:r>
          </w:p>
        </w:tc>
        <w:tc>
          <w:tcPr>
            <w:tcW w:w="306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203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620"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094"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1426" w:type="dxa"/>
            <w:vMerge w:val="continue"/>
            <w:tcBorders/>
            <w:noWrap w:val="0"/>
            <w:vAlign w:val="center"/>
          </w:tcPr>
          <w:p>
            <w:pPr>
              <w:rPr>
                <w:rFonts w:hint="default" w:ascii="Times New Roman" w:hAnsi="Times New Roman" w:eastAsia="方正仿宋简体" w:cs="Times New Roman"/>
                <w:color w:val="000000"/>
                <w:sz w:val="18"/>
                <w:szCs w:val="18"/>
              </w:rPr>
            </w:pPr>
          </w:p>
        </w:tc>
        <w:tc>
          <w:tcPr>
            <w:tcW w:w="571"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69"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4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noWrap w:val="0"/>
            <w:vAlign w:val="center"/>
          </w:tcPr>
          <w:p>
            <w:pPr>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bl>
    <w:p>
      <w:pPr>
        <w:rPr>
          <w:rFonts w:hint="default" w:ascii="Times New Roman" w:hAnsi="Times New Roman" w:eastAsia="方正仿宋简体"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444CC"/>
    <w:rsid w:val="0C596C26"/>
    <w:rsid w:val="13EF2E45"/>
    <w:rsid w:val="27944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2020-10-26T06:47:00Z</dcterms:created>
  <dc:creator>芦苇草</dc:creator>
  <cp:lastModifiedBy>芦苇草</cp:lastModifiedBy>
  <dcterms:modified xsi:type="dcterms:W3CDTF">2020-10-26T08:42:30Z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