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Lines="0" w:afterLines="0" w:line="560" w:lineRule="exact"/>
        <w:jc w:val="left"/>
        <w:rPr>
          <w:rFonts w:hint="default" w:ascii="Times New Roman" w:hAnsi="Times New Roman" w:eastAsia="方正黑体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widowControl/>
        <w:autoSpaceDN w:val="0"/>
        <w:spacing w:beforeLines="0" w:afterLines="0" w:line="560" w:lineRule="exact"/>
        <w:jc w:val="left"/>
        <w:rPr>
          <w:rFonts w:ascii="Times New Roman" w:hAnsi="Times New Roman" w:eastAsia="方正黑体" w:cs="Times New Roman"/>
          <w:sz w:val="32"/>
          <w:szCs w:val="32"/>
          <w:highlight w:val="none"/>
        </w:rPr>
      </w:pPr>
    </w:p>
    <w:p>
      <w:pPr>
        <w:widowControl/>
        <w:autoSpaceDN w:val="0"/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年省级促进经济高质量发展专项资金（</w:t>
      </w:r>
      <w:r>
        <w:rPr>
          <w:rFonts w:hint="default" w:ascii="Times New Roman" w:hAnsi="Times New Roman" w:eastAsia="方正小标宋简体"/>
          <w:sz w:val="44"/>
          <w:szCs w:val="44"/>
          <w:highlight w:val="none"/>
        </w:rPr>
        <w:t>信息化和信息产业发展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）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信息技术应用创新产业发展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项目入库</w:t>
      </w:r>
      <w:r>
        <w:rPr>
          <w:rFonts w:hint="eastAsia" w:eastAsia="方正小标宋简体"/>
          <w:bCs/>
          <w:sz w:val="44"/>
          <w:szCs w:val="44"/>
          <w:lang w:eastAsia="zh-CN"/>
        </w:rPr>
        <w:t>（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地市级</w:t>
      </w:r>
      <w:r>
        <w:rPr>
          <w:rFonts w:hint="eastAsia" w:eastAsia="方正小标宋简体"/>
          <w:bCs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申报指南</w:t>
      </w:r>
    </w:p>
    <w:p>
      <w:pPr>
        <w:autoSpaceDN w:val="0"/>
        <w:spacing w:beforeLines="0" w:afterLines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widowControl/>
        <w:autoSpaceDN w:val="0"/>
        <w:spacing w:beforeLines="0" w:afterLines="0" w:line="560" w:lineRule="exact"/>
        <w:ind w:firstLine="640" w:firstLineChars="200"/>
        <w:jc w:val="left"/>
        <w:rPr>
          <w:rFonts w:ascii="Times New Roman" w:hAnsi="Times New Roman" w:eastAsia="方正黑体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" w:cs="Times New Roman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方正黑体" w:cs="Times New Roman"/>
          <w:sz w:val="32"/>
          <w:szCs w:val="32"/>
          <w:highlight w:val="none"/>
          <w:lang w:eastAsia="zh-CN"/>
        </w:rPr>
        <w:t>建设目标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国家、省委省政府关于信息技术应用创新有关战略部署，以夯实产业基础能力为根本，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推动基础软件、高端软件等关键核心技术和产品突破</w:t>
      </w:r>
      <w:r>
        <w:rPr>
          <w:rStyle w:val="4"/>
          <w:rFonts w:hint="eastAsia" w:ascii="Times New Roman" w:hAnsi="Times New Roman" w:eastAsia="仿宋_GB2312" w:cs="Times New Roman"/>
          <w:b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夯实产业基础，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完善产业生态，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自主软硬件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产业自主发展能力，促进产业基础高级化发展</w:t>
      </w:r>
      <w:r>
        <w:rPr>
          <w:rStyle w:val="4"/>
          <w:rFonts w:hint="default" w:ascii="Times New Roman" w:hAnsi="Times New Roman" w:eastAsia="仿宋_GB2312" w:cs="Times New Roman"/>
          <w:b w:val="0"/>
          <w:kern w:val="0"/>
          <w:sz w:val="32"/>
          <w:szCs w:val="32"/>
          <w:highlight w:val="none"/>
        </w:rPr>
        <w:t>。</w:t>
      </w:r>
    </w:p>
    <w:p>
      <w:pPr>
        <w:widowControl/>
        <w:autoSpaceDN w:val="0"/>
        <w:spacing w:beforeLines="0" w:afterLines="0" w:line="560" w:lineRule="exact"/>
        <w:ind w:firstLine="640" w:firstLineChars="200"/>
        <w:jc w:val="left"/>
        <w:rPr>
          <w:rFonts w:ascii="Times New Roman" w:hAnsi="Times New Roman" w:eastAsia="方正黑体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" w:cs="Times New Roman"/>
          <w:sz w:val="32"/>
          <w:szCs w:val="32"/>
          <w:highlight w:val="none"/>
        </w:rPr>
        <w:t>二、支持方向</w:t>
      </w:r>
    </w:p>
    <w:p>
      <w:pPr>
        <w:adjustRightInd w:val="0"/>
        <w:snapToGrid w:val="0"/>
        <w:spacing w:line="520" w:lineRule="exact"/>
        <w:ind w:firstLine="640" w:firstLineChars="200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支持自主系统软件和基础软件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自主软硬件环境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核心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工业软件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行业基础软件的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关键核心技术研发突破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、开源社区建设和产业化，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系统软件和基础软件包括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操作系统（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含云操作系统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）、数据库、中间件、高端打印引擎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（须具备自研的计算机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产品）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、办公套件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安全软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工业软件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行业基础软件包括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CAD、CAE、EDA、高端ERP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等。</w:t>
      </w:r>
    </w:p>
    <w:p>
      <w:pPr>
        <w:widowControl/>
        <w:autoSpaceDN/>
        <w:spacing w:beforeLines="0" w:afterLines="0" w:line="560" w:lineRule="exact"/>
        <w:ind w:firstLine="640" w:firstLineChars="200"/>
        <w:jc w:val="left"/>
        <w:rPr>
          <w:rFonts w:ascii="Times New Roman" w:hAnsi="Times New Roman" w:eastAsia="方正黑体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" w:cs="Times New Roman"/>
          <w:sz w:val="32"/>
          <w:szCs w:val="32"/>
          <w:highlight w:val="none"/>
        </w:rPr>
        <w:t>三、申报要求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是在广东省行政区域内注册的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事业法人单位。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）项目实施必须在广东省境内，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项目的实施主体、开发主体和应用推广主体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在广东省境内。</w:t>
      </w:r>
    </w:p>
    <w:p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（三）申报单位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具备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自主系统软件和基础软件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自主软硬件环境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核心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工业软件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行业基础软件中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至少一类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的必要研发和产业化软硬件环境，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具有较强的研发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力量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，具备技术和产品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研发攻关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、开源社区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建设和产业化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outlineLvl w:val="1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项目须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围绕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操作系统（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含云操作系统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）、数据库、中间件、高端打印引擎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（须具备自研的计算机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产品）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、办公套件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安全软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等自主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系统软件和基础软件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，或者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CAD、CAE、EDA、高端ERP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工业软件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行业基础软件中至少一类产品开展研发攻关、开源社区建设和产业化应用推广。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目产品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应用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基础较好，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服务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运营模式可行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能够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提供持续优质的服务和保障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有较明确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，有完整的项目策划/启动、实施和管理记录，项目实施方案能够体现包括实施内容、人员配置、经费安排、工作成果等内容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eastAsia="仿宋_GB2312"/>
          <w:sz w:val="32"/>
          <w:szCs w:val="32"/>
          <w:highlight w:val="none"/>
        </w:rPr>
        <w:t>本方向财政资金采用事后奖补方式，</w:t>
      </w:r>
      <w:r>
        <w:rPr>
          <w:rFonts w:hint="eastAsia" w:eastAsia="仿宋_GB2312"/>
          <w:color w:val="000000"/>
          <w:sz w:val="32"/>
          <w:szCs w:val="32"/>
        </w:rPr>
        <w:t>项目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启动时间</w:t>
      </w:r>
      <w:r>
        <w:rPr>
          <w:rFonts w:hint="eastAsia" w:eastAsia="仿宋_GB2312"/>
          <w:color w:val="000000"/>
          <w:sz w:val="32"/>
          <w:szCs w:val="32"/>
        </w:rPr>
        <w:t>不得早于2018年9月1日，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完工时间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不迟于</w:t>
      </w:r>
      <w:r>
        <w:rPr>
          <w:rFonts w:hint="eastAsia" w:eastAsia="仿宋_GB2312"/>
          <w:color w:val="000000"/>
          <w:sz w:val="32"/>
          <w:szCs w:val="32"/>
        </w:rPr>
        <w:t>2020年8月31日。</w:t>
      </w:r>
    </w:p>
    <w:p>
      <w:pPr>
        <w:spacing w:beforeLines="0" w:afterLines="0"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项目应根据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自主软件关键核心技术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基于自主软硬件环境的核心工业软件和行业基础软件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突破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开源社区建设、产业化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目标，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3个客观可行且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量化的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绩效评价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指标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，将作为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绩效评价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依据标准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包括但不限于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技术指标、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项目产品或服务实现的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效益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产生的社会效益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</w:rPr>
        <w:t>申报单位要按时按质完成项目绩效评价工作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若项目不能按时完成绩效评价或绩效评价结果较差，我厅将追回相关财政资金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tabs>
          <w:tab w:val="left" w:pos="1440"/>
        </w:tabs>
        <w:spacing w:beforeLines="0" w:afterLines="0" w:line="560" w:lineRule="exact"/>
        <w:ind w:firstLine="636" w:firstLineChars="19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主营业务收入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平均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00万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利润之和为正值（事业单位不作主营业务收入和利润要求）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，提供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财务审计报告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年申报主体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及其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在我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省财政资金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申报的项目无重大商业或法律纠纷，无重特大生产安全事故；不接受联合申报；同一单位不得申报同个方向2个及以上项目；同一项目不得重复申报、多头申报。</w:t>
      </w:r>
    </w:p>
    <w:p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）申报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在我厅无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应验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未验项目。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Administrator.BF-20180915WMIM</dc:creator>
  <cp:lastModifiedBy>单位管理员</cp:lastModifiedBy>
  <dcterms:modified xsi:type="dcterms:W3CDTF">2020-12-10T03:33:03Z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