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龙村镇2020年政府信息公开工作年度报告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color w:val="2F2F2F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color w:val="4A4A4A"/>
          <w:sz w:val="32"/>
          <w:szCs w:val="32"/>
          <w:u w:val="none"/>
          <w:bdr w:val="none" w:color="auto" w:sz="0" w:space="0"/>
        </w:rPr>
        <w:t>　　</w:t>
      </w:r>
      <w:bookmarkEnd w:id="0"/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我镇领导班子高度重视政府信息公开工作，将其作为一项重要任务来抓，严格按照中央、省和市关于政府信息公开工作的部署，积极开展政府信息公开工作，提高政府工作透明度，严格按照“公开为原则，不公开为例外”的总体要求，主动、及时公开本部门政府信息，确保政府信息公开工作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一是认真做好政府信息主动公开工作。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在单位网页频道和县政府信息公开目录系统上主动发布工作动态、部门文件、政府信息公开工作年度报告、部门预决算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和“三公”经费预决算、更新单位机构相关信息等。全年共发布工作动态类信息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val="en-US"/>
        </w:rPr>
        <w:t>50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篇、部门文件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val="en-US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份、信息公开工作年度报告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1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篇、预决算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二是全年未收到任何书面或其它形式要求公开政府信息的申请，没有不予公开的政府信息。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三是认真做好政府信息管理工作。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主动公开政府信息，及时更新公开指南，认真完成政务信息发布统计工作，如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20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val="en-US"/>
        </w:rPr>
        <w:t>20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年上半年、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20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val="en-US"/>
        </w:rPr>
        <w:t>20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年下半年政府信息公开数量统计并上传系统。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四是认真做好平台建设。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认真做好政务平台集约化建设相关工作，按时完成本单位信息补录、双向更新，以及新平台使用问题反馈等工作。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五是认真做好监督保障工作。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严格落实政务信息公开发布、审批制度，确保政府信息公开各项工作有序开展。同时，保障政府信息公开工作机构和队伍健全，按时按质按量完成政府信息公开各项工作。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  <w:lang w:eastAsia="zh-CN"/>
        </w:rPr>
        <w:t>　　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tbl>
      <w:tblPr>
        <w:tblW w:w="853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00"/>
        <w:gridCol w:w="1300"/>
        <w:gridCol w:w="484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本年新制作数量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本年新公开数量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对外公开总数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规章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规范性文件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本年增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+98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其他对外管理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服务事项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+37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2189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本年增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行政处罚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行政强制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本年增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行政事业性收费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第二十条第（九）项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采购项目数量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采购总金额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政府集中采购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248200元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  <w:lang w:eastAsia="zh-CN"/>
        </w:rPr>
        <w:t>　　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tbl>
      <w:tblPr>
        <w:tblW w:w="853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20"/>
        <w:gridCol w:w="2008"/>
        <w:gridCol w:w="540"/>
        <w:gridCol w:w="540"/>
        <w:gridCol w:w="540"/>
        <w:gridCol w:w="540"/>
        <w:gridCol w:w="540"/>
        <w:gridCol w:w="650"/>
        <w:gridCol w:w="137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72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自然人</w:t>
            </w:r>
          </w:p>
        </w:tc>
        <w:tc>
          <w:tcPr>
            <w:tcW w:w="27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法人或其他组织</w:t>
            </w:r>
          </w:p>
        </w:tc>
        <w:tc>
          <w:tcPr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商业企业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科研机构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社会公益组织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法律服务机构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</w:t>
            </w:r>
          </w:p>
        </w:tc>
        <w:tc>
          <w:tcPr>
            <w:tcW w:w="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一、本年新收政府信息公开申请数量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二、上年结转政府信息公开申请数量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三、本年度办理结果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（一）予以公开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不予公开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属于国家秘密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其他法律行政法规禁止公开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危及“三安全一稳定”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保护第三方合法权益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属于三类内部事务信息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属于四类过程性信息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属于行政执法案卷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属于行政查询事项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（四）无法提供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本机关不掌握相关政府信息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没有现成信息需要另行制作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补正后申请内容仍不明确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（五）不予处理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信访举报投诉类申请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要求提供公开出版物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无正当理由大量反复申请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要求行政机关确认或重新出具已获取信息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（六）其他处理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（七）总计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四、结转下年度继续办理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  <w:lang w:eastAsia="zh-CN"/>
        </w:rPr>
        <w:t>　　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tbl>
      <w:tblPr>
        <w:tblW w:w="853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540"/>
        <w:gridCol w:w="540"/>
        <w:gridCol w:w="679"/>
        <w:gridCol w:w="540"/>
        <w:gridCol w:w="540"/>
        <w:gridCol w:w="540"/>
        <w:gridCol w:w="540"/>
        <w:gridCol w:w="570"/>
        <w:gridCol w:w="540"/>
        <w:gridCol w:w="540"/>
        <w:gridCol w:w="540"/>
        <w:gridCol w:w="540"/>
        <w:gridCol w:w="80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9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行政复议</w:t>
            </w:r>
          </w:p>
        </w:tc>
        <w:tc>
          <w:tcPr>
            <w:tcW w:w="1033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行政诉讼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结果维持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结果纠正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其他结果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尚未审结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总计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未经复议直接起诉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总计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  <w:lang w:eastAsia="zh-CN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2F2F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2F2F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  <w:lang w:eastAsia="zh-CN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我镇在信息公开工作中，进一步强化了组织管理水平，完善了工作制度建设，更好地实现了广大群众对政府信息的需求。同时不能忽视在工作中仍存在的一些问题，主要表现在：一是存在页面链接不能正常访问的情况，少数图片链接和栏目链接打不开或错误。二是服务实用性有待提高，在线申报和查询系统等方面有待升级管理。三是经费、人员不足，导致网站的管理、采编力量不强，门户网站建设投入不足。四是人员技能专业度不足，缺少专门的培训，对网站等管理有待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为进一步做好政府信息公开工作，把政府信息公开工作进一步制度化和规范化，切实发挥政府信息对人民群众生产、生活和经济社会活动的服务作用，我镇将着力从以下几个方面加强工作：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　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一）认真排查链接，保证可用性。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对出现问题的链接，立即在网站后台进行重新审核发布，确保链接可用，对出现的错误链接，更改链接地址，确保链接正确。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科学设置栏目，提高实用性。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精简网站栏目，对内容重复的栏目进行整合，对过时和不实用的栏目进行删除。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及时更新信息，确保时效性。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对于动态要闻类信息保证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2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周更新一次，对于通知公告政策文件类信息保证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6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个月更新一次，对于人事、规划类信息保证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1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年内有更新。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四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积极互动回应，突出及时性。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及时回复领导信箱的网友留言，认真开展调查征集活动，广泛征求民意，保证群众的参与权。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加大政府门户网站人力、物力、财力的投入。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进一步完善网站功能，进一步提高我镇信息公开服务质量、良好树立政府公正、公开、透明的形象，更好地服务人民群众，促进社会和谐。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</w:rPr>
        <w:t>　　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(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六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</w:rPr>
        <w:t>)</w:t>
      </w:r>
      <w:r>
        <w:rPr>
          <w:rFonts w:hint="eastAsia" w:ascii="方正楷体简体" w:hAnsi="方正楷体简体" w:eastAsia="方正楷体简体" w:cs="方正楷体简体"/>
          <w:color w:val="2F2F2F"/>
          <w:sz w:val="32"/>
          <w:szCs w:val="32"/>
          <w:bdr w:val="none" w:color="auto" w:sz="0" w:space="0"/>
          <w:lang w:eastAsia="zh-CN"/>
        </w:rPr>
        <w:t>进一步加强政府门户网站管理、维护队伍的建建设。</w:t>
      </w: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通过多种形式加强对网站管理人员、技术维护人员、信息采编人员综合能力、专业技能等方面的培训，提高管理能力。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2F2F2F"/>
          <w:sz w:val="32"/>
          <w:szCs w:val="32"/>
        </w:rPr>
      </w:pPr>
      <w:r>
        <w:rPr>
          <w:rFonts w:hint="eastAsia" w:ascii="黑体" w:hAnsi="黑体" w:eastAsia="黑体" w:cs="黑体"/>
          <w:color w:val="2F2F2F"/>
          <w:sz w:val="32"/>
          <w:szCs w:val="32"/>
          <w:bdr w:val="none" w:color="auto" w:sz="0" w:space="0"/>
          <w:lang w:eastAsia="zh-CN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/>
        <w:jc w:val="left"/>
        <w:rPr>
          <w:rFonts w:hint="default" w:ascii="Times New Roman" w:hAnsi="Times New Roman" w:eastAsia="方正仿宋简体" w:cs="Times New Roman"/>
          <w:color w:val="2F2F2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F2F2F"/>
          <w:sz w:val="32"/>
          <w:szCs w:val="32"/>
          <w:bdr w:val="none" w:color="auto" w:sz="0" w:space="0"/>
          <w:lang w:eastAsia="zh-CN"/>
        </w:rPr>
        <w:t>　　在今后的工作中，我镇将加强改进，扬长补短做好政府网站的管理工作，提高政府网站信息发布、互动交流和便民服务水平，发挥好政府网站的宣传窗口作用。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2F2F2F"/>
          <w:sz w:val="24"/>
          <w:szCs w:val="24"/>
        </w:rPr>
      </w:pPr>
    </w:p>
    <w:p/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21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F95857E804D24478B5B8ECE478CB455C</vt:lpwstr>
  </property>
</Properties>
</file>