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jc w:val="center"/>
        <w:rPr>
          <w:rFonts w:ascii="仿宋_GB2312" w:hAnsi="仿宋_GB2312" w:cs="仿宋_GB2312"/>
          <w:b/>
          <w:bCs/>
          <w:color w:val="FF0000"/>
          <w:sz w:val="86"/>
          <w:szCs w:val="86"/>
        </w:rPr>
      </w:pPr>
      <w:bookmarkStart w:id="0" w:name="_GoBack"/>
      <w:bookmarkEnd w:id="0"/>
      <w:r>
        <w:rPr>
          <w:rFonts w:hint="eastAsia" w:ascii="仿宋_GB2312" w:hAnsi="仿宋_GB2312" w:cs="仿宋_GB2312"/>
          <w:b/>
          <w:bCs/>
          <w:color w:val="FF0000"/>
          <w:sz w:val="86"/>
          <w:szCs w:val="86"/>
        </w:rPr>
        <w:t>岐岭镇人民政府文件</w:t>
      </w:r>
    </w:p>
    <w:p>
      <w:pPr>
        <w:spacing w:line="500" w:lineRule="atLeast"/>
        <w:rPr>
          <w:sz w:val="28"/>
        </w:rPr>
      </w:pPr>
    </w:p>
    <w:p>
      <w:pPr>
        <w:spacing w:line="500" w:lineRule="atLeast"/>
        <w:rPr>
          <w:sz w:val="28"/>
        </w:rPr>
      </w:pPr>
    </w:p>
    <w:p>
      <w:pPr>
        <w:spacing w:line="500" w:lineRule="atLeas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岐府发[2018]41号</w:t>
      </w:r>
    </w:p>
    <w:p>
      <w:pPr>
        <w:spacing w:line="400" w:lineRule="atLeast"/>
        <w:rPr>
          <w:rFonts w:ascii="仿宋_GB2312" w:eastAsia="仿宋_GB2312"/>
          <w:sz w:val="44"/>
          <w:szCs w:val="44"/>
        </w:rPr>
      </w:pPr>
      <w:r>
        <w:rPr>
          <w:rFonts w:ascii="仿宋_GB2312" w:eastAsia="仿宋_GB2312"/>
          <w:sz w:val="44"/>
          <w:szCs w:val="24"/>
        </w:rPr>
        <mc:AlternateContent>
          <mc:Choice Requires="wps">
            <w:drawing>
              <wp:anchor distT="0" distB="0" distL="114300" distR="114300" simplePos="0" relativeHeight="251660288" behindDoc="0" locked="0" layoutInCell="1" allowOverlap="1">
                <wp:simplePos x="0" y="0"/>
                <wp:positionH relativeFrom="column">
                  <wp:posOffset>2809240</wp:posOffset>
                </wp:positionH>
                <wp:positionV relativeFrom="paragraph">
                  <wp:posOffset>339090</wp:posOffset>
                </wp:positionV>
                <wp:extent cx="2486660" cy="635"/>
                <wp:effectExtent l="0" t="13970" r="12700" b="15875"/>
                <wp:wrapNone/>
                <wp:docPr id="1" name="直线 5"/>
                <wp:cNvGraphicFramePr/>
                <a:graphic xmlns:a="http://schemas.openxmlformats.org/drawingml/2006/main">
                  <a:graphicData uri="http://schemas.microsoft.com/office/word/2010/wordprocessingShape">
                    <wps:wsp>
                      <wps:cNvCnPr/>
                      <wps:spPr>
                        <a:xfrm>
                          <a:off x="0" y="0"/>
                          <a:ext cx="248666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221.2pt;margin-top:26.7pt;height:0.05pt;width:195.8pt;z-index:251660288;mso-width-relative:page;mso-height-relative:page;" filled="f" stroked="t" coordsize="21600,21600" o:gfxdata="UEsDBAoAAAAAAIdO4kAAAAAAAAAAAAAAAAAEAAAAZHJzL1BLAwQUAAAACACHTuJAsYbINdgAAAAJ&#10;AQAADwAAAGRycy9kb3ducmV2LnhtbE2PzU7DMBCE70i8g7VI3KjTNEVRiFMBghsSIvz06sZLHDVe&#10;R7Gbpm/P9kRPq90ZzX5TbmbXiwnH0HlSsFwkIJAabzpqFXx9vt7lIELUZHTvCRWcMMCmur4qdWH8&#10;kT5wqmMrOIRCoRXYGIdCytBYdDos/IDE2q8fnY68jq00oz5yuOtlmiT30umO+IPVAz5bbPb1wSmY&#10;f/JHu32LTy/++93u523tpvSk1O3NMnkAEXGO/2Y44zM6VMy08wcyQfQKsizN2KpgveLJhnyVcbnd&#10;+bAGWZXyskH1B1BLAwQUAAAACACHTuJAfs3lrdgBAACeAwAADgAAAGRycy9lMm9Eb2MueG1srVPN&#10;jhMxDL4j8Q5R7nSmhZZq1OketpQLgkosD+AmmZlI+VOc7bTPwmtw4sLj7GvgpKUs7GWF6CF1Yvuz&#10;v8+e1c3RGnZQEbV3LZ9Oas6UE15q17f8y9321ZIzTOAkGO9Uy08K+c365YvVGBo184M3UkVGIA6b&#10;MbR8SCk0VYViUBZw4oNy5Ox8tJDoGvtKRhgJ3ZpqVteLavRRhuiFQqTXzdnJ1wW/65RIn7oOVWKm&#10;5dRbKmcs5z6f1XoFTR8hDFpc2oB/6MKCdlT0CrWBBOw+6idQVovo0XdpIrytfNdpoQoHYjOt/2Lz&#10;eYCgChcSB8NVJvx/sOLjYReZljQ7zhxYGtHD128P33+wedZmDNhQyK3bxcsNwy5moscu2vxPFNix&#10;6Hm66qmOiQl6nL1ZLhYLkl2Qb/G6IFa/U0PE9F55y7LRcqNdJgsNHD5gonIU+iskPxvHRsJczt/O&#10;CRFoWToDiUwbqH10fUlGb7TcamNyCsZ+f2siOwCNf7ut6ZdZEfAfYbnKBnA4xxXXeTEGBfKdkyyd&#10;AgnjaIN57sEqyZlRtPDZIkBoEmjznEgqbVxOUGU5L0SzzGdhs7X38kRDuQ9R9wMJMy09Zw8tQen+&#10;srB5yx7fyX78Wa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GyDXYAAAACQEAAA8AAAAAAAAA&#10;AQAgAAAAIgAAAGRycy9kb3ducmV2LnhtbFBLAQIUABQAAAAIAIdO4kB+zeWt2AEAAJ4DAAAOAAAA&#10;AAAAAAEAIAAAACcBAABkcnMvZTJvRG9jLnhtbFBLBQYAAAAABgAGAFkBAABxBQAAAAA=&#10;">
                <v:fill on="f" focussize="0,0"/>
                <v:stroke weight="2.25pt" color="#FF0000" joinstyle="round"/>
                <v:imagedata o:title=""/>
                <o:lock v:ext="edit" aspectratio="f"/>
              </v:line>
            </w:pict>
          </mc:Fallback>
        </mc:AlternateContent>
      </w:r>
      <w:r>
        <w:rPr>
          <w:rFonts w:ascii="仿宋_GB2312" w:eastAsia="仿宋_GB2312"/>
          <w:sz w:val="44"/>
          <w:szCs w:val="24"/>
        </w:rPr>
        <mc:AlternateContent>
          <mc:Choice Requires="wps">
            <w:drawing>
              <wp:anchor distT="0" distB="0" distL="114300" distR="114300" simplePos="0" relativeHeight="251661312" behindDoc="0" locked="0" layoutInCell="1" allowOverlap="1">
                <wp:simplePos x="0" y="0"/>
                <wp:positionH relativeFrom="column">
                  <wp:posOffset>-181610</wp:posOffset>
                </wp:positionH>
                <wp:positionV relativeFrom="paragraph">
                  <wp:posOffset>330200</wp:posOffset>
                </wp:positionV>
                <wp:extent cx="2505075" cy="635"/>
                <wp:effectExtent l="0" t="13970" r="9525" b="15875"/>
                <wp:wrapNone/>
                <wp:docPr id="2" name="直线 2"/>
                <wp:cNvGraphicFramePr/>
                <a:graphic xmlns:a="http://schemas.openxmlformats.org/drawingml/2006/main">
                  <a:graphicData uri="http://schemas.microsoft.com/office/word/2010/wordprocessingShape">
                    <wps:wsp>
                      <wps:cNvCnPr/>
                      <wps:spPr>
                        <a:xfrm>
                          <a:off x="0" y="0"/>
                          <a:ext cx="250507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4.3pt;margin-top:26pt;height:0.05pt;width:197.25pt;z-index:251661312;mso-width-relative:page;mso-height-relative:page;" filled="f" stroked="t" coordsize="21600,21600" o:gfxdata="UEsDBAoAAAAAAIdO4kAAAAAAAAAAAAAAAAAEAAAAZHJzL1BLAwQUAAAACACHTuJA7JI7XtcAAAAJ&#10;AQAADwAAAGRycy9kb3ducmV2LnhtbE2PwU6DQBCG7ya+w2ZMvLULmBKkLI0avZkYUdvrFkaWlJ0l&#10;7JbSt3d6sseZ+fLP9xeb2fZiwtF3jhTEywgEUu2ajloF319viwyED5oa3TtCBWf0sClvbwqdN+5E&#10;nzhVoRUcQj7XCkwIQy6lrw1a7ZduQOLbrxutDjyOrWxGfeJw28skilJpdUf8wegBXwzWh+poFczb&#10;7Mns3sPzq/v5MId5V9kpOSt1fxdHaxAB5/APw0Wf1aFkp707UuNFr2CRZCmjClYJd2LgIV09gthf&#10;FjHIspDXDco/UEsDBBQAAAAIAIdO4kD6ZC3c0wEAAJ4DAAAOAAAAZHJzL2Uyb0RvYy54bWytU82O&#10;0zAQviPxDpbvNGlQl1XUdA9bygVBJeABpraTWPKfPN6mfRZegxMXHmdfg7EbygIXhMjBGXs+f57v&#10;83h9d7KGHVVE7V3Hl4uaM+WEl9oNHf/0cffiljNM4CQY71THzwr53eb5s/UUWtX40RupIiMSh+0U&#10;Oj6mFNqqQjEqC7jwQTlK9j5aSDSNQyUjTMRuTdXU9U01+ShD9EIh0ur2kuSbwt/3SqT3fY8qMdNx&#10;qi2VMZbxkMdqs4Z2iBBGLeYy4B+qsKAdHXql2kIC9hD1H1RWi+jR92khvK1832uhigZSs6x/U/Nh&#10;hKCKFjIHw9Um/H+04t1xH5mWHW84c2Dpih4/f3n8+o012ZspYEuQe7eP8wzDPmahpz7a/CcJ7FT8&#10;PF/9VKfEBC02q3pVv1pxJih383KVGaufW0PE9EZ5y3LQcaNdFgstHN9iukB/QPKycWwizttVYQRq&#10;lt5AInIbqHx0Q9mM3mi508bkLRiHw72J7Ah0/btdTd9cwy+wfMoWcLzgSirDoB0VyNdOsnQOZIyj&#10;Dua5BqskZ0ZRw+eoIBNo8zdIkm9cplalOWeh2eaLsTk6eHmmS3kIUQ8jGbMsNecMNUFxcG7Y3GVP&#10;5xQ/fVab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ySO17XAAAACQEAAA8AAAAAAAAAAQAgAAAA&#10;IgAAAGRycy9kb3ducmV2LnhtbFBLAQIUABQAAAAIAIdO4kD6ZC3c0wEAAJ4DAAAOAAAAAAAAAAEA&#10;IAAAACYBAABkcnMvZTJvRG9jLnhtbFBLBQYAAAAABgAGAFkBAABrBQAAAAA=&#10;">
                <v:fill on="f" focussize="0,0"/>
                <v:stroke weight="2.25pt" color="#FF0000" joinstyle="round"/>
                <v:imagedata o:title=""/>
                <o:lock v:ext="edit" aspectratio="f"/>
              </v:line>
            </w:pict>
          </mc:Fallback>
        </mc:AlternateContent>
      </w:r>
      <w:r>
        <w:rPr>
          <w:rFonts w:ascii="仿宋_GB2312" w:eastAsia="仿宋_GB2312"/>
          <w:sz w:val="44"/>
          <w:szCs w:val="24"/>
        </w:rPr>
        <mc:AlternateContent>
          <mc:Choice Requires="wps">
            <w:drawing>
              <wp:anchor distT="0" distB="0" distL="114300" distR="114300" simplePos="0" relativeHeight="251662336" behindDoc="0" locked="0" layoutInCell="1" allowOverlap="1">
                <wp:simplePos x="0" y="0"/>
                <wp:positionH relativeFrom="column">
                  <wp:posOffset>2399665</wp:posOffset>
                </wp:positionH>
                <wp:positionV relativeFrom="paragraph">
                  <wp:posOffset>168275</wp:posOffset>
                </wp:positionV>
                <wp:extent cx="323850" cy="323850"/>
                <wp:effectExtent l="13970" t="15875" r="27940" b="26035"/>
                <wp:wrapNone/>
                <wp:docPr id="3" name="自选图形 3"/>
                <wp:cNvGraphicFramePr/>
                <a:graphic xmlns:a="http://schemas.openxmlformats.org/drawingml/2006/main">
                  <a:graphicData uri="http://schemas.microsoft.com/office/word/2010/wordprocessingShape">
                    <wps:wsp>
                      <wps:cNvSpPr/>
                      <wps:spPr>
                        <a:xfrm>
                          <a:off x="0" y="0"/>
                          <a:ext cx="323850" cy="32385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自选图形 3" o:spid="_x0000_s1026" style="position:absolute;left:0pt;margin-left:188.95pt;margin-top:13.25pt;height:25.5pt;width:25.5pt;z-index:251662336;mso-width-relative:page;mso-height-relative:page;" fillcolor="#FF0000" filled="t" stroked="t" coordsize="323850,323850" o:gfxdata="UEsDBAoAAAAAAIdO4kAAAAAAAAAAAAAAAAAEAAAAZHJzL1BLAwQUAAAACACHTuJAS/xErNgAAAAJ&#10;AQAADwAAAGRycy9kb3ducmV2LnhtbE2PsU7DQAyGdyTe4WQkNnppSps05NKhAgbEQqEDm5szSUTO&#10;F+WuTeHpMROMtn99/v5yc3a9OtEYOs8G5rMEFHHtbceNgbfXh5scVIjIFnvPZOCLAmyqy4sSC+sn&#10;fqHTLjZKIBwKNNDGOBRah7olh2HmB2K5ffjRYZRxbLQdcRK463WaJCvtsGP50OJA25bqz93RGVi8&#10;7/HeL9Ln/Cnffk/7Lj5qvTbm+mqe3IGKdI5/YfjVF3WoxOngj2yD6oWRZWuJGkhXS1ASuE1zWRwM&#10;ZNkSdFXq/w2qH1BLAwQUAAAACACHTuJAyoaMtOsBAADkAwAADgAAAGRycy9lMm9Eb2MueG1srVNL&#10;jhMxEN0jcQfLe9KdREFDK51ZEMIGwUgDB6j4023JP9medLJjhzgDO5bcAW4zEtyCsrsJM7AZIXrh&#10;rnKVn+u9Kq8vj0aTgwhROdvS+aymRFjmuLJdS9+93T25oCQmsBy0s6KlJxHp5ebxo/XgG7FwvdNc&#10;BIIgNjaDb2mfkm+qKrJeGIgz54XFoHTBQEI3dBUPMCC60dWirp9WgwvcB8dEjLi7HYN0U/ClFCy9&#10;kTKKRHRLsbZU1lDWfV6rzRqaLoDvFZvKgH+owoCyeOkZagsJyE1Qf0EZxYKLTqYZc6ZyUiomCgdk&#10;M6//YHPdgxeFC4oT/Vmm+P9g2evDVSCKt3RJiQWDLfr+4cuP9x9vP327/fqZLLNCg48NJl77qzB5&#10;Ec1M9yiDyX8kQo5F1dNZVXFMhOHmcrG8WKH2DEOTjSjV78M+xPRSOEOy0VIcl7AqYsLhVUxj7q+c&#10;fFl0WvGd0ro4ods/14EcADu829X45ZIR/l6atmRo6bPVYoWFAA6a1JDQNB6pR9uV++6diA8DzoVt&#10;IfZjAQVhHCqjkshyQdML4C8sJ+nkUV6L74DmYozglGiBzyZbJTOB0g/JRHbaZmhRRnxSKbdpbEy2&#10;9o6fsLU3PqiuR1nnRZYcwVEqAk1jn2f1ro/23ce5+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ESs2AAAAAkBAAAPAAAAAAAAAAEAIAAAACIAAABkcnMvZG93bnJldi54bWxQSwECFAAUAAAACACH&#10;TuJAyoaMtOsBAADkAwAADgAAAAAAAAABACAAAAAnAQAAZHJzL2Uyb0RvYy54bWxQSwUGAAAAAAYA&#10;BgBZAQAAhAUAAAAA&#10;" path="m0,123699l123700,123700,161925,0,200149,123700,323849,123699,223773,200149,261999,323849,161925,247397,61850,323849,100076,200149xe">
                <v:path o:connectlocs="161925,0;0,123699;61850,323849;261999,323849;323849,123699" o:connectangles="247,164,82,82,0"/>
                <v:fill on="t" focussize="0,0"/>
                <v:stroke color="#FF0000" joinstyle="miter"/>
                <v:imagedata o:title=""/>
                <o:lock v:ext="edit" aspectratio="f"/>
              </v:shape>
            </w:pict>
          </mc:Fallback>
        </mc:AlternateContent>
      </w:r>
    </w:p>
    <w:p>
      <w:pPr>
        <w:rPr>
          <w:rFonts w:asciiTheme="majorEastAsia" w:hAnsiTheme="majorEastAsia" w:eastAsiaTheme="majorEastAsia"/>
          <w:sz w:val="44"/>
          <w:szCs w:val="44"/>
        </w:rPr>
      </w:pPr>
    </w:p>
    <w:p>
      <w:pPr>
        <w:spacing w:line="540" w:lineRule="exact"/>
        <w:jc w:val="center"/>
        <w:rPr>
          <w:rFonts w:ascii="宋体" w:hAnsi="宋体"/>
          <w:b/>
          <w:sz w:val="44"/>
          <w:szCs w:val="44"/>
        </w:rPr>
      </w:pPr>
      <w:r>
        <w:rPr>
          <w:rFonts w:hint="eastAsia" w:ascii="宋体" w:hAnsi="宋体"/>
          <w:b/>
          <w:sz w:val="44"/>
          <w:szCs w:val="44"/>
        </w:rPr>
        <w:t>关于下达2018年新时期精准扶贫精准脱贫专项资金（第11批）</w:t>
      </w:r>
      <w:r>
        <w:rPr>
          <w:rFonts w:hint="eastAsia" w:asciiTheme="majorEastAsia" w:hAnsiTheme="majorEastAsia" w:eastAsiaTheme="majorEastAsia"/>
          <w:b/>
          <w:sz w:val="44"/>
          <w:szCs w:val="44"/>
        </w:rPr>
        <w:t>的通知</w:t>
      </w:r>
    </w:p>
    <w:p>
      <w:pPr>
        <w:spacing w:line="540" w:lineRule="exact"/>
        <w:rPr>
          <w:rFonts w:ascii="仿宋_GB2312" w:eastAsia="仿宋_GB2312"/>
          <w:sz w:val="32"/>
          <w:szCs w:val="32"/>
        </w:rPr>
      </w:pPr>
    </w:p>
    <w:p>
      <w:pPr>
        <w:spacing w:line="54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各相关村委会，帮扶工作组：</w:t>
      </w:r>
    </w:p>
    <w:p>
      <w:pPr>
        <w:spacing w:line="54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为加快推进精准扶贫精准脱贫工作，根据《广东省精准扶贫开发资金筹集使用监管办法》（粤财农</w:t>
      </w:r>
      <w:r>
        <w:rPr>
          <w:rFonts w:hint="eastAsia" w:ascii="仿宋" w:hAnsi="仿宋" w:eastAsia="仿宋"/>
          <w:sz w:val="32"/>
          <w:szCs w:val="32"/>
        </w:rPr>
        <w:t>〔2016〕166号</w:t>
      </w:r>
      <w:r>
        <w:rPr>
          <w:rFonts w:hint="eastAsia" w:ascii="仿宋" w:hAnsi="仿宋" w:eastAsia="仿宋"/>
          <w:color w:val="000000" w:themeColor="text1"/>
          <w:sz w:val="32"/>
          <w:szCs w:val="32"/>
        </w:rPr>
        <w:t>）、</w:t>
      </w:r>
      <w:r>
        <w:rPr>
          <w:rFonts w:hint="eastAsia" w:ascii="仿宋" w:hAnsi="仿宋" w:eastAsia="仿宋"/>
          <w:sz w:val="32"/>
          <w:szCs w:val="32"/>
        </w:rPr>
        <w:t>《关于我省财政支持新时期精准扶贫精准脱贫三年攻坚的资金筹措方案》</w:t>
      </w:r>
      <w:r>
        <w:rPr>
          <w:rFonts w:hint="eastAsia" w:ascii="仿宋" w:hAnsi="仿宋" w:eastAsia="仿宋"/>
          <w:color w:val="000000" w:themeColor="text1"/>
          <w:sz w:val="32"/>
          <w:szCs w:val="32"/>
        </w:rPr>
        <w:t>（粤财农</w:t>
      </w:r>
      <w:r>
        <w:rPr>
          <w:rFonts w:hint="eastAsia" w:ascii="仿宋" w:hAnsi="仿宋" w:eastAsia="仿宋"/>
          <w:sz w:val="32"/>
          <w:szCs w:val="32"/>
        </w:rPr>
        <w:t>〔2016〕216号</w:t>
      </w:r>
      <w:r>
        <w:rPr>
          <w:rFonts w:hint="eastAsia" w:ascii="仿宋" w:hAnsi="仿宋" w:eastAsia="仿宋"/>
          <w:color w:val="000000" w:themeColor="text1"/>
          <w:sz w:val="32"/>
          <w:szCs w:val="32"/>
        </w:rPr>
        <w:t>）和县财政局、扶贫开发局《关于下达2018年分散贫困人口精准扶贫精准脱贫专项资金的通知》华财农[2018]54号。</w:t>
      </w:r>
      <w:r>
        <w:rPr>
          <w:rFonts w:hint="eastAsia" w:ascii="仿宋" w:hAnsi="仿宋" w:eastAsia="仿宋"/>
          <w:sz w:val="32"/>
          <w:szCs w:val="32"/>
        </w:rPr>
        <w:t>结合我镇工作实际，经镇政府主要领导同意，现将2018年</w:t>
      </w:r>
      <w:r>
        <w:rPr>
          <w:rFonts w:hint="eastAsia" w:ascii="仿宋" w:hAnsi="仿宋" w:eastAsia="仿宋"/>
          <w:color w:val="000000" w:themeColor="text1"/>
          <w:sz w:val="32"/>
          <w:szCs w:val="32"/>
        </w:rPr>
        <w:t>新时期精准扶贫精准脱贫资金（第11批）</w:t>
      </w:r>
      <w:r>
        <w:rPr>
          <w:rFonts w:hint="eastAsia" w:ascii="仿宋" w:hAnsi="仿宋" w:eastAsia="仿宋"/>
          <w:sz w:val="32"/>
          <w:szCs w:val="32"/>
        </w:rPr>
        <w:t>安排给你们（详见附表），并就有关事项通知如下：</w:t>
      </w:r>
    </w:p>
    <w:p>
      <w:pPr>
        <w:numPr>
          <w:ilvl w:val="0"/>
          <w:numId w:val="1"/>
        </w:numPr>
        <w:spacing w:line="540" w:lineRule="exact"/>
        <w:ind w:firstLine="640"/>
        <w:rPr>
          <w:rFonts w:ascii="仿宋" w:hAnsi="仿宋" w:eastAsia="仿宋"/>
          <w:sz w:val="32"/>
          <w:szCs w:val="32"/>
        </w:rPr>
      </w:pPr>
      <w:r>
        <w:rPr>
          <w:rFonts w:hint="eastAsia" w:ascii="仿宋" w:hAnsi="仿宋" w:eastAsia="仿宋"/>
          <w:color w:val="000000" w:themeColor="text1"/>
          <w:sz w:val="32"/>
          <w:szCs w:val="32"/>
        </w:rPr>
        <w:t>本次下达的资金</w:t>
      </w:r>
      <w:r>
        <w:rPr>
          <w:rFonts w:hint="eastAsia" w:ascii="仿宋" w:hAnsi="仿宋" w:eastAsia="仿宋"/>
          <w:sz w:val="32"/>
          <w:szCs w:val="32"/>
        </w:rPr>
        <w:t>专项用于改善贫困村基本生产生活条件项目。</w:t>
      </w:r>
    </w:p>
    <w:p>
      <w:pPr>
        <w:spacing w:line="54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二、建设内容按照支持修建微小型公益性生产设施、微小型农村安全配套设施、贫困村村组道路等方面，申请补助不超过20万元。</w:t>
      </w:r>
    </w:p>
    <w:p>
      <w:pPr>
        <w:spacing w:line="54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三、意见建议</w:t>
      </w:r>
    </w:p>
    <w:p>
      <w:pPr>
        <w:spacing w:line="54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1、此项目资金在确保贫困户实现脱贫的情况下，由各村结合实际需求合理安排。</w:t>
      </w:r>
    </w:p>
    <w:p>
      <w:pPr>
        <w:spacing w:line="54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2、各村要把精准扶贫精准脱贫工作与贫困村新农村建设结合起来，围绕发送农村贫困地区基本生产生活条件，支持修建微小型生产设施、微小型农村安全配套设施、贫困村村组道路等方面，安排目前急需解决的项目，并填写《改善贫困村基本生产生活条件项目资金使用方案》。</w:t>
      </w:r>
    </w:p>
    <w:p>
      <w:pPr>
        <w:spacing w:line="54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3、各村要加强项目管理，对安排资金在10万元及以上的项目，要在镇“三资”交易中心公开招标，按照相关规定组织招标工作，确定中标单位。</w:t>
      </w:r>
    </w:p>
    <w:p>
      <w:pPr>
        <w:spacing w:line="54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4、做好项目公示，接受社会监督。</w:t>
      </w:r>
    </w:p>
    <w:p>
      <w:pPr>
        <w:spacing w:line="540" w:lineRule="exact"/>
        <w:ind w:firstLine="640"/>
        <w:rPr>
          <w:rFonts w:ascii="仿宋" w:hAnsi="仿宋" w:eastAsia="仿宋"/>
          <w:color w:val="000000"/>
          <w:kern w:val="0"/>
          <w:sz w:val="32"/>
          <w:szCs w:val="32"/>
        </w:rPr>
      </w:pPr>
      <w:r>
        <w:rPr>
          <w:rFonts w:hint="eastAsia" w:ascii="仿宋" w:hAnsi="仿宋" w:eastAsia="仿宋"/>
          <w:color w:val="000000" w:themeColor="text1"/>
          <w:sz w:val="32"/>
          <w:szCs w:val="32"/>
        </w:rPr>
        <w:t>5、严格财务管理。严格执行财务规章制度和会计核算规定，对扶贫资金进行专账核算、专人管理，保证资金管理规范、安全。</w:t>
      </w:r>
    </w:p>
    <w:p>
      <w:pPr>
        <w:spacing w:line="540" w:lineRule="exact"/>
        <w:ind w:firstLine="5440" w:firstLineChars="1700"/>
        <w:jc w:val="left"/>
        <w:rPr>
          <w:rFonts w:ascii="仿宋" w:hAnsi="仿宋" w:eastAsia="仿宋"/>
          <w:sz w:val="32"/>
          <w:szCs w:val="32"/>
        </w:rPr>
      </w:pPr>
    </w:p>
    <w:p>
      <w:pPr>
        <w:spacing w:line="540" w:lineRule="exact"/>
        <w:ind w:firstLine="5440" w:firstLineChars="1700"/>
        <w:jc w:val="left"/>
        <w:rPr>
          <w:rFonts w:ascii="仿宋" w:hAnsi="仿宋" w:eastAsia="仿宋"/>
          <w:sz w:val="32"/>
          <w:szCs w:val="32"/>
        </w:rPr>
      </w:pPr>
    </w:p>
    <w:p>
      <w:pPr>
        <w:spacing w:line="540" w:lineRule="exact"/>
        <w:ind w:firstLine="5440" w:firstLineChars="1700"/>
        <w:jc w:val="left"/>
        <w:rPr>
          <w:rFonts w:ascii="仿宋" w:hAnsi="仿宋" w:eastAsia="仿宋"/>
          <w:sz w:val="32"/>
          <w:szCs w:val="32"/>
        </w:rPr>
      </w:pPr>
      <w:r>
        <w:rPr>
          <w:rFonts w:hint="eastAsia" w:ascii="仿宋" w:hAnsi="仿宋" w:eastAsia="仿宋"/>
          <w:sz w:val="32"/>
          <w:szCs w:val="32"/>
        </w:rPr>
        <w:t>岐岭镇人民政府</w:t>
      </w:r>
    </w:p>
    <w:p>
      <w:pPr>
        <w:spacing w:line="540" w:lineRule="exact"/>
        <w:ind w:right="320"/>
        <w:jc w:val="right"/>
        <w:rPr>
          <w:rFonts w:ascii="仿宋" w:hAnsi="仿宋" w:eastAsia="仿宋"/>
          <w:sz w:val="32"/>
          <w:szCs w:val="32"/>
        </w:rPr>
      </w:pPr>
      <w:r>
        <w:rPr>
          <w:rFonts w:hint="eastAsia" w:ascii="仿宋" w:hAnsi="仿宋" w:eastAsia="仿宋"/>
          <w:sz w:val="32"/>
          <w:szCs w:val="32"/>
        </w:rPr>
        <w:t>2018年10月19日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A2DD23"/>
    <w:multiLevelType w:val="singleLevel"/>
    <w:tmpl w:val="B3A2DD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FE"/>
    <w:rsid w:val="000276EC"/>
    <w:rsid w:val="0006527B"/>
    <w:rsid w:val="00083EAA"/>
    <w:rsid w:val="000D010F"/>
    <w:rsid w:val="000F22E3"/>
    <w:rsid w:val="000F685C"/>
    <w:rsid w:val="001132B4"/>
    <w:rsid w:val="0012279C"/>
    <w:rsid w:val="001419EB"/>
    <w:rsid w:val="00165EB8"/>
    <w:rsid w:val="001A5795"/>
    <w:rsid w:val="001D3756"/>
    <w:rsid w:val="001F1AB0"/>
    <w:rsid w:val="001F5816"/>
    <w:rsid w:val="001F7CDA"/>
    <w:rsid w:val="00216663"/>
    <w:rsid w:val="00223491"/>
    <w:rsid w:val="0023320A"/>
    <w:rsid w:val="0027296C"/>
    <w:rsid w:val="00276BFE"/>
    <w:rsid w:val="002B0A4D"/>
    <w:rsid w:val="003423A4"/>
    <w:rsid w:val="00347E2E"/>
    <w:rsid w:val="00397A75"/>
    <w:rsid w:val="003A5D43"/>
    <w:rsid w:val="003B072A"/>
    <w:rsid w:val="00422823"/>
    <w:rsid w:val="00437499"/>
    <w:rsid w:val="004543D1"/>
    <w:rsid w:val="00476E57"/>
    <w:rsid w:val="0048390A"/>
    <w:rsid w:val="00484581"/>
    <w:rsid w:val="00493379"/>
    <w:rsid w:val="004A38FF"/>
    <w:rsid w:val="004A55DD"/>
    <w:rsid w:val="004B2020"/>
    <w:rsid w:val="004E7D9B"/>
    <w:rsid w:val="004F049A"/>
    <w:rsid w:val="005624DC"/>
    <w:rsid w:val="005705CC"/>
    <w:rsid w:val="00572854"/>
    <w:rsid w:val="00580879"/>
    <w:rsid w:val="005E5689"/>
    <w:rsid w:val="00603A07"/>
    <w:rsid w:val="0061236F"/>
    <w:rsid w:val="0061370F"/>
    <w:rsid w:val="006350C0"/>
    <w:rsid w:val="006A0394"/>
    <w:rsid w:val="006E437D"/>
    <w:rsid w:val="00712BD2"/>
    <w:rsid w:val="007171F1"/>
    <w:rsid w:val="00783262"/>
    <w:rsid w:val="007A0F26"/>
    <w:rsid w:val="007A749B"/>
    <w:rsid w:val="007B14FB"/>
    <w:rsid w:val="007F0A52"/>
    <w:rsid w:val="00813AC5"/>
    <w:rsid w:val="00850E42"/>
    <w:rsid w:val="00877CCD"/>
    <w:rsid w:val="00877FBB"/>
    <w:rsid w:val="008962E4"/>
    <w:rsid w:val="008A4E1F"/>
    <w:rsid w:val="008D7A3A"/>
    <w:rsid w:val="00904109"/>
    <w:rsid w:val="00914946"/>
    <w:rsid w:val="00930D2A"/>
    <w:rsid w:val="00951F99"/>
    <w:rsid w:val="0095334A"/>
    <w:rsid w:val="0096524A"/>
    <w:rsid w:val="009A7883"/>
    <w:rsid w:val="009B4D69"/>
    <w:rsid w:val="009F1743"/>
    <w:rsid w:val="00A02AC2"/>
    <w:rsid w:val="00A14FC1"/>
    <w:rsid w:val="00A17D16"/>
    <w:rsid w:val="00A41FDD"/>
    <w:rsid w:val="00A75388"/>
    <w:rsid w:val="00AF1F13"/>
    <w:rsid w:val="00AF572C"/>
    <w:rsid w:val="00B03C2F"/>
    <w:rsid w:val="00B06845"/>
    <w:rsid w:val="00B407E9"/>
    <w:rsid w:val="00B47BCF"/>
    <w:rsid w:val="00B518A1"/>
    <w:rsid w:val="00B87B64"/>
    <w:rsid w:val="00B90FCD"/>
    <w:rsid w:val="00BA4531"/>
    <w:rsid w:val="00BA71FC"/>
    <w:rsid w:val="00BC7AEB"/>
    <w:rsid w:val="00BE3319"/>
    <w:rsid w:val="00BF0BA9"/>
    <w:rsid w:val="00BF6A8B"/>
    <w:rsid w:val="00C92250"/>
    <w:rsid w:val="00CB5D3F"/>
    <w:rsid w:val="00CD1BEF"/>
    <w:rsid w:val="00CE327F"/>
    <w:rsid w:val="00D56AD0"/>
    <w:rsid w:val="00D93CB0"/>
    <w:rsid w:val="00DA480A"/>
    <w:rsid w:val="00DC0F6A"/>
    <w:rsid w:val="00E003B5"/>
    <w:rsid w:val="00E24F28"/>
    <w:rsid w:val="00E30E2A"/>
    <w:rsid w:val="00E46EBA"/>
    <w:rsid w:val="00E64EEC"/>
    <w:rsid w:val="00E67DF3"/>
    <w:rsid w:val="00E73A4B"/>
    <w:rsid w:val="00E915CE"/>
    <w:rsid w:val="00EA105F"/>
    <w:rsid w:val="00EA1E78"/>
    <w:rsid w:val="00EA34DC"/>
    <w:rsid w:val="00EB7F15"/>
    <w:rsid w:val="00EF7200"/>
    <w:rsid w:val="00F02204"/>
    <w:rsid w:val="00F02783"/>
    <w:rsid w:val="00F26D6B"/>
    <w:rsid w:val="00F4724A"/>
    <w:rsid w:val="00F63C91"/>
    <w:rsid w:val="00F84F4F"/>
    <w:rsid w:val="00F87D32"/>
    <w:rsid w:val="00F94264"/>
    <w:rsid w:val="00FB1468"/>
    <w:rsid w:val="00FB71E3"/>
    <w:rsid w:val="00FC1453"/>
    <w:rsid w:val="00FC1658"/>
    <w:rsid w:val="00FF42AD"/>
    <w:rsid w:val="00FF57E7"/>
    <w:rsid w:val="00FF582D"/>
    <w:rsid w:val="1A2C658C"/>
    <w:rsid w:val="22EA1612"/>
    <w:rsid w:val="35E171D0"/>
    <w:rsid w:val="3FC1486E"/>
    <w:rsid w:val="5ECE32E3"/>
    <w:rsid w:val="618A69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unhideWhenUsed/>
    <w:qFormat/>
    <w:uiPriority w:val="39"/>
    <w:pPr>
      <w:ind w:left="420"/>
      <w:jc w:val="left"/>
    </w:pPr>
    <w:rPr>
      <w:rFonts w:asciiTheme="minorHAnsi" w:hAnsiTheme="minorHAnsi" w:cstheme="minorHAnsi"/>
      <w:i/>
      <w:iCs/>
      <w:sz w:val="20"/>
      <w:szCs w:val="20"/>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7">
    <w:name w:val="toc 2"/>
    <w:basedOn w:val="1"/>
    <w:next w:val="1"/>
    <w:unhideWhenUsed/>
    <w:qFormat/>
    <w:uiPriority w:val="39"/>
    <w:pPr>
      <w:ind w:left="210"/>
      <w:jc w:val="left"/>
    </w:pPr>
    <w:rPr>
      <w:rFonts w:asciiTheme="minorHAnsi" w:hAnsiTheme="minorHAnsi" w:cstheme="minorHAnsi"/>
      <w:smallCaps/>
      <w:sz w:val="20"/>
      <w:szCs w:val="20"/>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标题 1 Char"/>
    <w:link w:val="2"/>
    <w:uiPriority w:val="0"/>
    <w:rPr>
      <w:b/>
      <w:bCs/>
      <w:kern w:val="44"/>
      <w:sz w:val="44"/>
      <w:szCs w:val="44"/>
    </w:rPr>
  </w:style>
  <w:style w:type="paragraph" w:styleId="12">
    <w:name w:val="List Paragraph"/>
    <w:basedOn w:val="1"/>
    <w:qFormat/>
    <w:uiPriority w:val="0"/>
    <w:pPr>
      <w:ind w:firstLine="420" w:firstLineChars="200"/>
    </w:pPr>
  </w:style>
  <w:style w:type="paragraph" w:customStyle="1" w:styleId="13">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4">
    <w:name w:val="页眉 Char"/>
    <w:basedOn w:val="10"/>
    <w:link w:val="5"/>
    <w:semiHidden/>
    <w:uiPriority w:val="99"/>
    <w:rPr>
      <w:kern w:val="2"/>
      <w:sz w:val="18"/>
      <w:szCs w:val="18"/>
    </w:rPr>
  </w:style>
  <w:style w:type="character" w:customStyle="1" w:styleId="15">
    <w:name w:val="页脚 Char"/>
    <w:basedOn w:val="10"/>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whfpj</Company>
  <Pages>2</Pages>
  <Words>108</Words>
  <Characters>616</Characters>
  <Lines>5</Lines>
  <Paragraphs>1</Paragraphs>
  <TotalTime>53</TotalTime>
  <ScaleCrop>false</ScaleCrop>
  <LinksUpToDate>false</LinksUpToDate>
  <CharactersWithSpaces>723</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2017-03-20T03:19:00Z</dcterms:created>
  <dc:creator>whfpj</dc:creator>
  <cp:lastModifiedBy>Administrator</cp:lastModifiedBy>
  <cp:lastPrinted>2016-12-21T02:40:00Z</cp:lastPrinted>
  <dcterms:modified xsi:type="dcterms:W3CDTF">2019-03-06T03:06:28Z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