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atLeast"/>
        <w:jc w:val="center"/>
        <w:rPr>
          <w:rFonts w:ascii="宋体" w:hAnsi="宋体" w:cs="仿宋_GB2312"/>
          <w:b/>
          <w:bCs/>
          <w:color w:val="FF0000"/>
          <w:sz w:val="88"/>
          <w:szCs w:val="88"/>
        </w:rPr>
      </w:pPr>
      <w:bookmarkStart w:id="0" w:name="_GoBack"/>
      <w:bookmarkEnd w:id="0"/>
      <w:r>
        <w:rPr>
          <w:rFonts w:hint="eastAsia" w:ascii="宋体" w:hAnsi="宋体" w:cs="仿宋_GB2312"/>
          <w:b/>
          <w:bCs/>
          <w:color w:val="FF0000"/>
          <w:sz w:val="88"/>
          <w:szCs w:val="88"/>
        </w:rPr>
        <w:t>岐岭镇人民政府文件</w:t>
      </w:r>
    </w:p>
    <w:p>
      <w:pPr>
        <w:tabs>
          <w:tab w:val="left" w:pos="6075"/>
          <w:tab w:val="left" w:pos="7251"/>
        </w:tabs>
        <w:snapToGrid w:val="0"/>
        <w:spacing w:line="500" w:lineRule="atLeast"/>
        <w:rPr>
          <w:sz w:val="44"/>
          <w:szCs w:val="44"/>
        </w:rPr>
      </w:pPr>
    </w:p>
    <w:p>
      <w:pPr>
        <w:snapToGrid w:val="0"/>
        <w:spacing w:line="500" w:lineRule="atLeast"/>
        <w:rPr>
          <w:sz w:val="28"/>
        </w:rPr>
      </w:pPr>
    </w:p>
    <w:p>
      <w:pPr>
        <w:snapToGrid w:val="0"/>
        <w:spacing w:line="500" w:lineRule="atLeas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岐府发[2019]3号</w:t>
      </w:r>
    </w:p>
    <w:p>
      <w:pPr>
        <w:snapToGrid w:val="0"/>
        <w:spacing w:line="400" w:lineRule="atLeast"/>
        <w:rPr>
          <w:sz w:val="44"/>
          <w:szCs w:val="44"/>
        </w:rPr>
      </w:pPr>
      <w:r>
        <w:rPr>
          <w:sz w:val="44"/>
          <w:szCs w:val="24"/>
        </w:rPr>
        <mc:AlternateContent>
          <mc:Choice Requires="wps">
            <w:drawing>
              <wp:anchor distT="0" distB="0" distL="114300" distR="114300" simplePos="0" relativeHeight="251660288" behindDoc="0" locked="0" layoutInCell="1" allowOverlap="1">
                <wp:simplePos x="0" y="0"/>
                <wp:positionH relativeFrom="column">
                  <wp:posOffset>2809240</wp:posOffset>
                </wp:positionH>
                <wp:positionV relativeFrom="paragraph">
                  <wp:posOffset>339090</wp:posOffset>
                </wp:positionV>
                <wp:extent cx="2486660" cy="635"/>
                <wp:effectExtent l="0" t="13970" r="12700" b="15875"/>
                <wp:wrapNone/>
                <wp:docPr id="1" name="直线 5"/>
                <wp:cNvGraphicFramePr/>
                <a:graphic xmlns:a="http://schemas.openxmlformats.org/drawingml/2006/main">
                  <a:graphicData uri="http://schemas.microsoft.com/office/word/2010/wordprocessingShape">
                    <wps:wsp>
                      <wps:cNvSpPr/>
                      <wps:spPr>
                        <a:xfrm>
                          <a:off x="0" y="0"/>
                          <a:ext cx="248666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221.2pt;margin-top:26.7pt;height:0.05pt;width:195.8pt;z-index:251660288;mso-width-relative:page;mso-height-relative:page;" filled="f" stroked="t" coordsize="21600,21600" o:gfxdata="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GGyDXYAAAACQEAAA8AAAAAAAAAAQAgAAAA&#10;IgAAAGRycy9kb3ducmV2LnhtbFBLAQIUABQAAAAIAIdO4kAiTkmz0gEAAJADAAAOAAAAAAAAAAEA&#10;IAAAACcBAABkcnMvZTJvRG9jLnhtbFBLBQYAAAAABgAGAFkBAABrBQAAAAA=&#10;">
                <v:fill on="f" focussize="0,0"/>
                <v:stroke weight="2.25pt" color="#FF0000" joinstyle="round"/>
                <v:imagedata o:title=""/>
                <o:lock v:ext="edit" aspectratio="f"/>
              </v:line>
            </w:pict>
          </mc:Fallback>
        </mc:AlternateContent>
      </w:r>
      <w:r>
        <w:rPr>
          <w:sz w:val="44"/>
          <w:szCs w:val="24"/>
        </w:rPr>
        <mc:AlternateContent>
          <mc:Choice Requires="wps">
            <w:drawing>
              <wp:anchor distT="0" distB="0" distL="114300" distR="114300" simplePos="0" relativeHeight="251661312" behindDoc="0" locked="0" layoutInCell="1" allowOverlap="1">
                <wp:simplePos x="0" y="0"/>
                <wp:positionH relativeFrom="column">
                  <wp:posOffset>-181610</wp:posOffset>
                </wp:positionH>
                <wp:positionV relativeFrom="paragraph">
                  <wp:posOffset>330200</wp:posOffset>
                </wp:positionV>
                <wp:extent cx="2505075" cy="635"/>
                <wp:effectExtent l="0" t="13970" r="9525" b="15875"/>
                <wp:wrapNone/>
                <wp:docPr id="2" name="直线 2"/>
                <wp:cNvGraphicFramePr/>
                <a:graphic xmlns:a="http://schemas.openxmlformats.org/drawingml/2006/main">
                  <a:graphicData uri="http://schemas.microsoft.com/office/word/2010/wordprocessingShape">
                    <wps:wsp>
                      <wps:cNvSpPr/>
                      <wps:spPr>
                        <a:xfrm>
                          <a:off x="0" y="0"/>
                          <a:ext cx="2505075"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4.3pt;margin-top:26pt;height:0.05pt;width:197.25pt;z-index:251661312;mso-width-relative:page;mso-height-relative:page;" filled="f" stroked="t" coordsize="21600,21600" o:gfxdata="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7JI7XtcAAAAJAQAADwAAAAAAAAABACAAAAAiAAAA&#10;ZHJzL2Rvd25yZXYueG1sUEsBAhQAFAAAAAgAh07iQE5vKdLPAQAAkAMAAA4AAAAAAAAAAQAgAAAA&#10;JgEAAGRycy9lMm9Eb2MueG1sUEsFBgAAAAAGAAYAWQEAAGcFAAAAAA==&#10;">
                <v:fill on="f" focussize="0,0"/>
                <v:stroke weight="2.25pt" color="#FF0000" joinstyle="round"/>
                <v:imagedata o:title=""/>
                <o:lock v:ext="edit" aspectratio="f"/>
              </v:line>
            </w:pict>
          </mc:Fallback>
        </mc:AlternateContent>
      </w:r>
      <w:r>
        <w:rPr>
          <w:sz w:val="44"/>
          <w:szCs w:val="24"/>
        </w:rPr>
        <mc:AlternateContent>
          <mc:Choice Requires="wps">
            <w:drawing>
              <wp:anchor distT="0" distB="0" distL="114300" distR="114300" simplePos="0" relativeHeight="251662336" behindDoc="0" locked="0" layoutInCell="1" allowOverlap="1">
                <wp:simplePos x="0" y="0"/>
                <wp:positionH relativeFrom="column">
                  <wp:posOffset>2399665</wp:posOffset>
                </wp:positionH>
                <wp:positionV relativeFrom="paragraph">
                  <wp:posOffset>168275</wp:posOffset>
                </wp:positionV>
                <wp:extent cx="323850" cy="323850"/>
                <wp:effectExtent l="13970" t="15875" r="27940" b="26035"/>
                <wp:wrapNone/>
                <wp:docPr id="3" name="自选图形 3"/>
                <wp:cNvGraphicFramePr/>
                <a:graphic xmlns:a="http://schemas.openxmlformats.org/drawingml/2006/main">
                  <a:graphicData uri="http://schemas.microsoft.com/office/word/2010/wordprocessingShape">
                    <wps:wsp>
                      <wps:cNvSpPr/>
                      <wps:spPr>
                        <a:xfrm>
                          <a:off x="0" y="0"/>
                          <a:ext cx="323850" cy="323850"/>
                        </a:xfrm>
                        <a:prstGeom prst="star5">
                          <a:avLst/>
                        </a:prstGeom>
                        <a:solidFill>
                          <a:srgbClr val="FF0000"/>
                        </a:solidFill>
                        <a:ln w="9525" cap="flat" cmpd="sng">
                          <a:solidFill>
                            <a:srgbClr val="FF0000"/>
                          </a:solidFill>
                          <a:prstDash val="solid"/>
                          <a:miter/>
                          <a:headEnd type="none" w="med" len="med"/>
                          <a:tailEnd type="none" w="med" len="med"/>
                        </a:ln>
                      </wps:spPr>
                      <wps:bodyPr upright="1"/>
                    </wps:wsp>
                  </a:graphicData>
                </a:graphic>
              </wp:anchor>
            </w:drawing>
          </mc:Choice>
          <mc:Fallback>
            <w:pict>
              <v:shape id="自选图形 3" o:spid="_x0000_s1026" style="position:absolute;left:0pt;margin-left:188.95pt;margin-top:13.25pt;height:25.5pt;width:25.5pt;z-index:251662336;mso-width-relative:page;mso-height-relative:page;" fillcolor="#FF0000" filled="t" stroked="t" coordsize="323850,323850" o:gfxdata="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v8RKzY&#10;AAAACQEAAA8AAAAAAAAAAQAgAAAAIgAAAGRycy9kb3ducmV2LnhtbFBLAQIUABQAAAAIAIdO4kCk&#10;YUuM5wEAANYDAAAOAAAAAAAAAAEAIAAAACcBAABkcnMvZTJvRG9jLnhtbFBLBQYAAAAABgAGAFkB&#10;AACABQAAAAA=&#10;" path="m0,123699l123700,123700,161925,0,200149,123700,323849,123699,223773,200149,261999,323849,161925,247397,61850,323849,100076,200149xe">
                <v:path o:connectlocs="161925,0;0,123699;61850,323849;261999,323849;323849,123699" o:connectangles="247,164,82,82,0"/>
                <v:fill on="t" focussize="0,0"/>
                <v:stroke color="#FF0000" joinstyle="miter"/>
                <v:imagedata o:title=""/>
                <o:lock v:ext="edit" aspectratio="f"/>
              </v:shape>
            </w:pict>
          </mc:Fallback>
        </mc:AlternateContent>
      </w:r>
    </w:p>
    <w:p>
      <w:pPr>
        <w:rPr>
          <w:rFonts w:asciiTheme="majorEastAsia" w:hAnsiTheme="majorEastAsia" w:eastAsiaTheme="majorEastAsia"/>
          <w:sz w:val="44"/>
          <w:szCs w:val="44"/>
        </w:rPr>
      </w:pPr>
    </w:p>
    <w:p>
      <w:pPr>
        <w:spacing w:line="360" w:lineRule="auto"/>
        <w:jc w:val="center"/>
        <w:rPr>
          <w:rFonts w:ascii="宋体" w:hAnsi="宋体"/>
          <w:sz w:val="44"/>
          <w:szCs w:val="44"/>
        </w:rPr>
      </w:pPr>
      <w:r>
        <w:rPr>
          <w:rFonts w:hint="eastAsia" w:ascii="宋体" w:hAnsi="宋体"/>
          <w:sz w:val="44"/>
          <w:szCs w:val="44"/>
        </w:rPr>
        <w:t>关于下达2019年精准扶贫精准脱贫</w:t>
      </w:r>
    </w:p>
    <w:p>
      <w:pPr>
        <w:spacing w:line="360" w:lineRule="auto"/>
        <w:jc w:val="center"/>
        <w:rPr>
          <w:rFonts w:ascii="宋体" w:hAnsi="宋体"/>
          <w:sz w:val="44"/>
          <w:szCs w:val="44"/>
        </w:rPr>
      </w:pPr>
      <w:r>
        <w:rPr>
          <w:rFonts w:hint="eastAsia" w:ascii="宋体" w:hAnsi="宋体"/>
          <w:sz w:val="44"/>
          <w:szCs w:val="44"/>
        </w:rPr>
        <w:t>扶贫专项资金的通知</w:t>
      </w:r>
    </w:p>
    <w:p>
      <w:pPr>
        <w:spacing w:line="360" w:lineRule="auto"/>
        <w:rPr>
          <w:rFonts w:ascii="仿宋_GB2312"/>
          <w:sz w:val="32"/>
          <w:szCs w:val="32"/>
        </w:rPr>
      </w:pPr>
      <w:r>
        <w:rPr>
          <w:rFonts w:ascii="仿宋_GB2312"/>
          <w:sz w:val="32"/>
          <w:szCs w:val="32"/>
        </w:rPr>
        <w:t xml:space="preserve"> </w:t>
      </w:r>
    </w:p>
    <w:p>
      <w:pPr>
        <w:spacing w:line="360" w:lineRule="auto"/>
        <w:rPr>
          <w:rFonts w:ascii="仿宋" w:hAnsi="仿宋" w:eastAsia="仿宋"/>
          <w:color w:val="000000"/>
          <w:sz w:val="32"/>
          <w:szCs w:val="32"/>
        </w:rPr>
      </w:pPr>
      <w:r>
        <w:rPr>
          <w:rFonts w:hint="eastAsia" w:ascii="仿宋" w:hAnsi="仿宋" w:eastAsia="仿宋"/>
          <w:color w:val="000000"/>
          <w:sz w:val="32"/>
          <w:szCs w:val="32"/>
        </w:rPr>
        <w:t>各相关村委会，帮扶工作队：</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为加快推进精准扶贫精准脱贫工作，根据《广东省精准扶贫开发资金筹集使用监管办法》（粤财农</w:t>
      </w:r>
      <w:r>
        <w:rPr>
          <w:rFonts w:hint="eastAsia" w:ascii="仿宋" w:hAnsi="仿宋" w:eastAsia="仿宋"/>
          <w:sz w:val="32"/>
          <w:szCs w:val="32"/>
        </w:rPr>
        <w:t>〔2016〕166号</w:t>
      </w:r>
      <w:r>
        <w:rPr>
          <w:rFonts w:hint="eastAsia" w:ascii="仿宋" w:hAnsi="仿宋" w:eastAsia="仿宋"/>
          <w:color w:val="000000"/>
          <w:sz w:val="32"/>
          <w:szCs w:val="32"/>
        </w:rPr>
        <w:t>）和</w:t>
      </w:r>
      <w:r>
        <w:rPr>
          <w:rFonts w:hint="eastAsia" w:ascii="仿宋" w:hAnsi="仿宋" w:eastAsia="仿宋"/>
          <w:sz w:val="32"/>
          <w:szCs w:val="32"/>
        </w:rPr>
        <w:t>《关于我省财政支持新时期精准扶贫精准脱贫三年攻坚的资金筹措方案》</w:t>
      </w:r>
      <w:r>
        <w:rPr>
          <w:rFonts w:hint="eastAsia" w:ascii="仿宋" w:hAnsi="仿宋" w:eastAsia="仿宋"/>
          <w:color w:val="000000"/>
          <w:sz w:val="32"/>
          <w:szCs w:val="32"/>
        </w:rPr>
        <w:t>（粤财农</w:t>
      </w:r>
      <w:r>
        <w:rPr>
          <w:rFonts w:hint="eastAsia" w:ascii="仿宋" w:hAnsi="仿宋" w:eastAsia="仿宋"/>
          <w:sz w:val="32"/>
          <w:szCs w:val="32"/>
        </w:rPr>
        <w:t>〔2016〕216号</w:t>
      </w:r>
      <w:r>
        <w:rPr>
          <w:rFonts w:hint="eastAsia" w:ascii="仿宋" w:hAnsi="仿宋" w:eastAsia="仿宋"/>
          <w:color w:val="000000"/>
          <w:sz w:val="32"/>
          <w:szCs w:val="32"/>
        </w:rPr>
        <w:t>），</w:t>
      </w:r>
      <w:r>
        <w:rPr>
          <w:rFonts w:hint="eastAsia" w:ascii="仿宋" w:hAnsi="仿宋" w:eastAsia="仿宋"/>
          <w:sz w:val="32"/>
          <w:szCs w:val="32"/>
        </w:rPr>
        <w:t>结合工作实际，现将我镇2019年</w:t>
      </w:r>
      <w:r>
        <w:rPr>
          <w:rFonts w:hint="eastAsia" w:ascii="仿宋" w:hAnsi="仿宋" w:eastAsia="仿宋"/>
          <w:color w:val="000000"/>
          <w:sz w:val="32"/>
          <w:szCs w:val="32"/>
        </w:rPr>
        <w:t>精准扶贫精准脱贫扶贫专项资金</w:t>
      </w:r>
      <w:r>
        <w:rPr>
          <w:rFonts w:hint="eastAsia" w:ascii="仿宋" w:hAnsi="仿宋" w:eastAsia="仿宋"/>
          <w:sz w:val="32"/>
          <w:szCs w:val="32"/>
        </w:rPr>
        <w:t>下达给你们（详见附表），并就有关事项通知如下：</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w:t>
      </w:r>
      <w:r>
        <w:rPr>
          <w:rFonts w:hint="eastAsia" w:ascii="仿宋" w:hAnsi="仿宋" w:eastAsia="仿宋"/>
          <w:color w:val="000000"/>
          <w:sz w:val="32"/>
          <w:szCs w:val="32"/>
        </w:rPr>
        <w:t>本次下达的资金</w:t>
      </w:r>
      <w:r>
        <w:rPr>
          <w:rFonts w:hint="eastAsia" w:ascii="仿宋" w:hAnsi="仿宋" w:eastAsia="仿宋"/>
          <w:sz w:val="32"/>
          <w:szCs w:val="32"/>
        </w:rPr>
        <w:t>专项用于直接促进扶贫开发帮扶对象增收的项目。1.支持扶贫开发帮扶对象发展生产；2.为扶贫开发帮扶对象实施就业技能培训。</w:t>
      </w:r>
      <w:r>
        <w:rPr>
          <w:rFonts w:hint="eastAsia" w:ascii="仿宋" w:hAnsi="仿宋" w:eastAsia="仿宋" w:cs="Arial"/>
          <w:color w:val="000000"/>
          <w:sz w:val="32"/>
          <w:szCs w:val="32"/>
        </w:rPr>
        <w:t>人数按</w:t>
      </w:r>
      <w:r>
        <w:rPr>
          <w:rFonts w:hint="eastAsia" w:ascii="仿宋" w:hAnsi="仿宋" w:eastAsia="仿宋"/>
          <w:sz w:val="32"/>
          <w:szCs w:val="32"/>
        </w:rPr>
        <w:t>2018年12月25日广东省新时期精准扶贫信息管理平台计。</w:t>
      </w:r>
    </w:p>
    <w:p>
      <w:pPr>
        <w:spacing w:line="360" w:lineRule="auto"/>
        <w:ind w:firstLine="640" w:firstLineChars="200"/>
        <w:rPr>
          <w:rFonts w:ascii="仿宋" w:hAnsi="仿宋" w:eastAsia="仿宋"/>
          <w:sz w:val="32"/>
          <w:szCs w:val="32"/>
        </w:rPr>
      </w:pPr>
      <w:r>
        <w:rPr>
          <w:rFonts w:hint="eastAsia" w:ascii="仿宋" w:hAnsi="仿宋" w:eastAsia="仿宋"/>
          <w:color w:val="000000"/>
          <w:sz w:val="32"/>
          <w:szCs w:val="32"/>
        </w:rPr>
        <w:t>二、</w:t>
      </w:r>
      <w:r>
        <w:rPr>
          <w:rFonts w:hint="eastAsia" w:ascii="仿宋" w:hAnsi="仿宋" w:eastAsia="仿宋"/>
          <w:sz w:val="32"/>
          <w:szCs w:val="32"/>
        </w:rPr>
        <w:t>各村按“以规划定项目、以项目定资金，项目安排精准、资金使用精准”的要求安排使用，健全完善工作机制，</w:t>
      </w:r>
      <w:r>
        <w:rPr>
          <w:rFonts w:hint="eastAsia" w:ascii="仿宋" w:hAnsi="仿宋" w:eastAsia="仿宋" w:cs="Arial"/>
          <w:color w:val="000000"/>
          <w:sz w:val="32"/>
          <w:szCs w:val="32"/>
        </w:rPr>
        <w:t>实行公告公示制度，</w:t>
      </w:r>
      <w:r>
        <w:rPr>
          <w:rFonts w:hint="eastAsia" w:ascii="仿宋" w:hAnsi="仿宋" w:eastAsia="仿宋"/>
          <w:sz w:val="32"/>
          <w:szCs w:val="32"/>
        </w:rPr>
        <w:t>加强扶贫项目和资金使用管理，尽快发挥社会效益。其中：</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1.实施产业发展项目。根据贫困户贫困程度、家庭人员结构、劳动力状况等因素，合理安排产业帮扶资金。各镇</w:t>
      </w:r>
      <w:r>
        <w:rPr>
          <w:rFonts w:ascii="仿宋" w:hAnsi="仿宋" w:eastAsia="仿宋"/>
          <w:sz w:val="32"/>
          <w:szCs w:val="32"/>
        </w:rPr>
        <w:t>立足本地资源和产业基础，</w:t>
      </w:r>
      <w:r>
        <w:rPr>
          <w:rFonts w:ascii="仿宋" w:hAnsi="仿宋" w:eastAsia="仿宋"/>
          <w:color w:val="000000"/>
          <w:kern w:val="0"/>
          <w:sz w:val="32"/>
          <w:szCs w:val="32"/>
        </w:rPr>
        <w:t>围绕精准扶贫、精准脱贫到村到户到人，培育各具特色的扶贫支柱产业，</w:t>
      </w:r>
      <w:r>
        <w:rPr>
          <w:rFonts w:hint="eastAsia" w:ascii="仿宋" w:hAnsi="仿宋" w:eastAsia="仿宋"/>
          <w:sz w:val="32"/>
          <w:szCs w:val="32"/>
        </w:rPr>
        <w:t>大力推进</w:t>
      </w:r>
      <w:r>
        <w:rPr>
          <w:rFonts w:hint="eastAsia" w:eastAsia="仿宋"/>
          <w:sz w:val="32"/>
          <w:szCs w:val="32"/>
        </w:rPr>
        <w:t>“一镇一业”、“一村一品”特色产业发展，</w:t>
      </w:r>
      <w:r>
        <w:rPr>
          <w:rFonts w:ascii="仿宋" w:hAnsi="仿宋" w:eastAsia="仿宋"/>
          <w:color w:val="000000"/>
          <w:kern w:val="0"/>
          <w:sz w:val="32"/>
          <w:szCs w:val="32"/>
        </w:rPr>
        <w:t>拓宽贫困群众增收渠道，有效增加农民收入，建立稳定脱贫的长效机制。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实施劳动力就业技能培训项目。以镇或村为单位组织实施，采取宣传发动、分类指导、统一培训的方式，通过聘请专家、教授或者有培训组织机构单位对贫困户进行适用技能培训，并按相关要求做好培训计划、参训人员签名造册、培训材料及现场照片等相关资料并整理装订成册。</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三、各村要加强扶贫项目实施的日常管理指导，强化扶贫项目管理工作，</w:t>
      </w:r>
      <w:r>
        <w:rPr>
          <w:rFonts w:ascii="仿宋" w:hAnsi="仿宋" w:eastAsia="仿宋"/>
          <w:sz w:val="32"/>
          <w:szCs w:val="32"/>
        </w:rPr>
        <w:t>加强扶贫项目论证和储备，按照《广东省县级脱贫攻坚项目库建设的实施意见》等要求，组织</w:t>
      </w:r>
      <w:r>
        <w:rPr>
          <w:rFonts w:hint="eastAsia" w:ascii="仿宋" w:hAnsi="仿宋" w:eastAsia="仿宋"/>
          <w:sz w:val="32"/>
          <w:szCs w:val="32"/>
        </w:rPr>
        <w:t>各村结合本地区资源优势和产业发展基础，围绕培育和壮大贫困地区特色优势产业、改善小型公益性生产生活设施条件、增强贫困人口自我发展能力和抵御风险能力等方面，因地制宜选择项目，并组织人员填报《五华县纳入脱贫攻坚项目库申报书》，</w:t>
      </w:r>
      <w:r>
        <w:rPr>
          <w:rFonts w:ascii="仿宋" w:hAnsi="仿宋" w:eastAsia="仿宋"/>
          <w:sz w:val="32"/>
          <w:szCs w:val="32"/>
        </w:rPr>
        <w:t>按照“村申报、镇审核、县审定“的工作步骤，建立县镇脱贫攻坚项目库，有序组织推进扶贫开发项目建设。</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四、各村要</w:t>
      </w:r>
      <w:r>
        <w:rPr>
          <w:rFonts w:hint="eastAsia" w:ascii="仿宋" w:hAnsi="仿宋" w:eastAsia="仿宋"/>
          <w:color w:val="000000"/>
          <w:sz w:val="32"/>
          <w:szCs w:val="32"/>
        </w:rPr>
        <w:t>建立健全财务管理和会计核算制度，</w:t>
      </w:r>
      <w:r>
        <w:rPr>
          <w:rFonts w:hint="eastAsia" w:ascii="仿宋" w:hAnsi="仿宋" w:eastAsia="仿宋"/>
          <w:sz w:val="32"/>
          <w:szCs w:val="32"/>
        </w:rPr>
        <w:t>完善工作台账，</w:t>
      </w:r>
      <w:r>
        <w:rPr>
          <w:rFonts w:hint="eastAsia" w:ascii="仿宋" w:hAnsi="仿宋" w:eastAsia="仿宋" w:cs="宋体"/>
          <w:color w:val="111111"/>
          <w:kern w:val="0"/>
          <w:sz w:val="32"/>
          <w:szCs w:val="32"/>
        </w:rPr>
        <w:t>严格按照《广东省精准扶贫开发资金筹集和使用监管办法》规定使用</w:t>
      </w:r>
      <w:r>
        <w:rPr>
          <w:rFonts w:hint="eastAsia" w:ascii="仿宋" w:hAnsi="仿宋" w:eastAsia="仿宋"/>
          <w:sz w:val="32"/>
          <w:szCs w:val="32"/>
        </w:rPr>
        <w:t>并按照省财政厅《广东省财政支农专项资金报账制实施办法》（粤财农〔2005〕117号）有关规定实行报账制管理，并分类整理装订成册，妥善保管备查。</w:t>
      </w:r>
    </w:p>
    <w:p>
      <w:pPr>
        <w:widowControl/>
        <w:shd w:val="clear" w:color="auto" w:fill="FFFFFF"/>
        <w:spacing w:line="560" w:lineRule="exact"/>
        <w:ind w:firstLine="640" w:firstLineChars="200"/>
        <w:rPr>
          <w:rFonts w:ascii="仿宋" w:hAnsi="仿宋" w:eastAsia="仿宋"/>
          <w:color w:val="111111"/>
          <w:sz w:val="32"/>
          <w:szCs w:val="32"/>
        </w:rPr>
      </w:pPr>
      <w:r>
        <w:rPr>
          <w:rFonts w:hint="eastAsia" w:ascii="仿宋" w:hAnsi="仿宋" w:eastAsia="仿宋"/>
          <w:sz w:val="32"/>
          <w:szCs w:val="32"/>
        </w:rPr>
        <w:t>五、建立日常监管和专项检查相结合的扶贫开发资金筹集使用监督检查制度，</w:t>
      </w:r>
      <w:r>
        <w:rPr>
          <w:rFonts w:hint="eastAsia" w:ascii="仿宋" w:hAnsi="仿宋" w:eastAsia="仿宋" w:cs="宋体"/>
          <w:color w:val="111111"/>
          <w:kern w:val="0"/>
          <w:sz w:val="32"/>
          <w:szCs w:val="32"/>
        </w:rPr>
        <w:t>建立最严格的扶贫开发资金违规使用责任追究制度，</w:t>
      </w:r>
      <w:r>
        <w:rPr>
          <w:rFonts w:hint="eastAsia" w:ascii="仿宋" w:hAnsi="仿宋" w:eastAsia="仿宋"/>
          <w:sz w:val="32"/>
          <w:szCs w:val="32"/>
        </w:rPr>
        <w:t>镇财政、扶贫、纪委等部门对项目实施和资金使用情况进行监督检查，</w:t>
      </w:r>
      <w:r>
        <w:rPr>
          <w:rFonts w:hint="eastAsia" w:ascii="仿宋" w:hAnsi="仿宋" w:eastAsia="仿宋" w:cs="宋体"/>
          <w:color w:val="111111"/>
          <w:kern w:val="0"/>
          <w:sz w:val="32"/>
          <w:szCs w:val="32"/>
        </w:rPr>
        <w:t>对扶贫开发资金筹集、分配、使用中违反有关规定的，依法依规从严惩处，并按《财政违法行为处罚处分条例（国务院令427号）》的有关规定追回扶贫资金，给予相应的处罚处理，追究相关责任人的纪律责任；涉嫌犯罪的，移送司法机关依法追究刑事责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 </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sz w:val="32"/>
          <w:szCs w:val="32"/>
        </w:rPr>
        <w:t>附件1： 支持扶贫开发帮扶对象发展生产</w:t>
      </w:r>
      <w:r>
        <w:rPr>
          <w:rFonts w:hint="eastAsia" w:ascii="仿宋" w:hAnsi="仿宋" w:eastAsia="仿宋"/>
          <w:color w:val="000000"/>
          <w:sz w:val="32"/>
          <w:szCs w:val="32"/>
        </w:rPr>
        <w:t>资金及培训资金安排表</w:t>
      </w:r>
    </w:p>
    <w:p>
      <w:pPr>
        <w:spacing w:line="560" w:lineRule="exact"/>
        <w:ind w:firstLine="640" w:firstLineChars="200"/>
        <w:rPr>
          <w:rFonts w:ascii="仿宋" w:hAnsi="仿宋" w:eastAsia="仿宋"/>
          <w:color w:val="000000"/>
          <w:sz w:val="32"/>
          <w:szCs w:val="32"/>
        </w:rPr>
      </w:pPr>
    </w:p>
    <w:p/>
    <w:p/>
    <w:p>
      <w:pPr>
        <w:rPr>
          <w:sz w:val="32"/>
          <w:szCs w:val="32"/>
        </w:rPr>
      </w:pPr>
      <w:r>
        <w:rPr>
          <w:rFonts w:hint="eastAsia"/>
        </w:rPr>
        <w:t xml:space="preserve">                                                    </w:t>
      </w:r>
      <w:r>
        <w:rPr>
          <w:rFonts w:hint="eastAsia"/>
          <w:sz w:val="32"/>
          <w:szCs w:val="32"/>
        </w:rPr>
        <w:t xml:space="preserve">   岐岭镇人民政府</w:t>
      </w:r>
    </w:p>
    <w:p>
      <w:pPr>
        <w:rPr>
          <w:sz w:val="32"/>
          <w:szCs w:val="32"/>
        </w:rPr>
      </w:pPr>
      <w:r>
        <w:rPr>
          <w:rFonts w:hint="eastAsia"/>
          <w:sz w:val="32"/>
          <w:szCs w:val="32"/>
        </w:rPr>
        <w:t xml:space="preserve">                                    2019年1月14日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7C5"/>
    <w:rsid w:val="00072640"/>
    <w:rsid w:val="000A27C5"/>
    <w:rsid w:val="00526B62"/>
    <w:rsid w:val="005A5A45"/>
    <w:rsid w:val="00A11152"/>
    <w:rsid w:val="00BA776B"/>
    <w:rsid w:val="00BD2FE5"/>
    <w:rsid w:val="00BE0151"/>
    <w:rsid w:val="00C405BA"/>
    <w:rsid w:val="00CD2EEE"/>
    <w:rsid w:val="00E07E38"/>
    <w:rsid w:val="62681860"/>
    <w:rsid w:val="652B0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eastAsia="宋体" w:cs="Times New Roman"/>
      <w:kern w:val="2"/>
      <w:sz w:val="18"/>
      <w:szCs w:val="18"/>
    </w:rPr>
  </w:style>
  <w:style w:type="character" w:customStyle="1" w:styleId="7">
    <w:name w:val="页脚 Char"/>
    <w:basedOn w:val="5"/>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209</Words>
  <Characters>1197</Characters>
  <Lines>9</Lines>
  <Paragraphs>2</Paragraphs>
  <TotalTime>9</TotalTime>
  <ScaleCrop>false</ScaleCrop>
  <LinksUpToDate>false</LinksUpToDate>
  <CharactersWithSpaces>1404</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2019-01-21T00:57:00Z</dcterms:created>
  <dc:creator>Administrator</dc:creator>
  <cp:lastModifiedBy>Administrator</cp:lastModifiedBy>
  <dcterms:modified xsi:type="dcterms:W3CDTF">2019-03-06T03:12:27Z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